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drawing>
          <wp:inline distT="0" distB="0" distL="0" distR="0">
            <wp:extent cx="2190750" cy="1143000"/>
            <wp:effectExtent t="0" r="0" b="0" l="0"/>
            <wp:docPr id="1" name="logo" descr="Logo Groupe BCP" title="Groupe B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1143000"/>
                    </a:xfrm>
                    <a:prstGeom prst="rect">
                      <a:avLst/>
                    </a:prstGeom>
                  </pic:spPr>
                </pic:pic>
              </a:graphicData>
            </a:graphic>
          </wp:inline>
        </w:drawing>
      </w:r>
    </w:p>
    <w:p>
      <w:pPr>
        <w:spacing w:after="200"/>
        <w:jc w:val="center"/>
      </w:pPr>
      <w:r>
        <w:rPr>
          <w:rFonts w:ascii="Arial" w:cs="Arial" w:eastAsia="Arial" w:hAnsi="Arial"/>
          <w:b/>
          <w:bCs/>
          <w:color w:val="E37B05"/>
          <w:sz w:val="56"/>
          <w:szCs w:val="56"/>
        </w:rPr>
        <w:t xml:space="preserve">GUIDE UTILISATEUR</w:t>
      </w:r>
    </w:p>
    <w:p>
      <w:pPr>
        <w:spacing w:after="600"/>
        <w:jc w:val="center"/>
      </w:pPr>
      <w:r>
        <w:rPr>
          <w:rFonts w:ascii="Arial" w:cs="Arial" w:eastAsia="Arial" w:hAnsi="Arial"/>
          <w:color w:val="462016"/>
          <w:sz w:val="28"/>
          <w:szCs w:val="28"/>
        </w:rPr>
        <w:t xml:space="preserve">Outil de notation interne des entreprises — TPE, PME et grandes entreprises</w:t>
      </w:r>
    </w:p>
    <w:p>
      <w:pPr>
        <w:spacing w:after="1400"/>
        <w:jc w:val="center"/>
      </w:pPr>
      <w:r>
        <w:drawing>
          <wp:inline distT="0" distB="0" distL="0" distR="0">
            <wp:extent cx="5905500" cy="428625"/>
            <wp:effectExtent t="0" r="0" b="0" l="0"/>
            <wp:docPr id="1" name="bandeau" descr="Bandeau décoratif Groupe BCP" title="Band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28625"/>
                    </a:xfrm>
                    <a:prstGeom prst="rect">
                      <a:avLst/>
                    </a:prstGeom>
                  </pic:spPr>
                </pic:pic>
              </a:graphicData>
            </a:graphic>
          </wp:inline>
        </w:drawing>
      </w:r>
    </w:p>
    <w:p>
      <w:pPr>
        <w:spacing w:after="120"/>
        <w:jc w:val="center"/>
      </w:pPr>
      <w:r>
        <w:rPr>
          <w:rFonts w:ascii="Arial" w:cs="Arial" w:eastAsia="Arial" w:hAnsi="Arial"/>
          <w:color w:val="3D3D3B"/>
          <w:sz w:val="22"/>
          <w:szCs w:val="22"/>
        </w:rPr>
        <w:t xml:space="preserve">Octobre 2026</w:t>
      </w:r>
    </w:p>
    <w:p>
      <w:pPr>
        <w:jc w:val="center"/>
      </w:pPr>
      <w:r>
        <w:rPr>
          <w:rFonts w:ascii="Arial" w:cs="Arial" w:eastAsia="Arial" w:hAnsi="Arial"/>
          <w:i/>
          <w:iCs/>
          <w:color w:val="8A7A6A"/>
          <w:sz w:val="18"/>
          <w:szCs w:val="18"/>
        </w:rPr>
        <w:t xml:space="preserve">Captures réalisées sur l'outil, avec des données fictives.</w:t>
      </w:r>
    </w:p>
    <w:p>
      <w:pPr>
        <w:pageBreakBefore/>
        <w:spacing w:after="240"/>
      </w:pPr>
      <w:r>
        <w:rPr>
          <w:rFonts w:ascii="Arial" w:cs="Arial" w:eastAsia="Arial" w:hAnsi="Arial"/>
          <w:b/>
          <w:bCs/>
          <w:color w:val="E37B05"/>
          <w:sz w:val="34"/>
          <w:szCs w:val="34"/>
        </w:rPr>
        <w:t xml:space="preserve">Sommaire</w:t>
      </w:r>
    </w:p>
    <w:p>
      <w:pPr>
        <w:keepNext/>
        <w:spacing w:after="60" w:before="140"/>
      </w:pPr>
      <w:r>
        <w:rPr>
          <w:rFonts w:ascii="Arial" w:cs="Arial" w:eastAsia="Arial" w:hAnsi="Arial"/>
          <w:b/>
          <w:bCs/>
          <w:color w:val="462016"/>
          <w:sz w:val="23"/>
          <w:szCs w:val="23"/>
        </w:rPr>
        <w:t xml:space="preserve">Présentation</w:t>
      </w:r>
    </w:p>
    <w:p>
      <w:pPr>
        <w:spacing w:after="20"/>
        <w:ind w:left="360"/>
      </w:pPr>
      <w:r>
        <w:rPr>
          <w:rFonts w:ascii="Arial" w:cs="Arial" w:eastAsia="Arial" w:hAnsi="Arial"/>
          <w:color w:val="3D3D3B"/>
          <w:sz w:val="19"/>
          <w:szCs w:val="19"/>
        </w:rPr>
        <w:t xml:space="preserve">Les profils d'utilisateur</w:t>
      </w:r>
    </w:p>
    <w:p>
      <w:pPr>
        <w:spacing w:after="20"/>
        <w:ind w:left="360"/>
      </w:pPr>
      <w:r>
        <w:rPr>
          <w:rFonts w:ascii="Arial" w:cs="Arial" w:eastAsia="Arial" w:hAnsi="Arial"/>
          <w:color w:val="3D3D3B"/>
          <w:sz w:val="19"/>
          <w:szCs w:val="19"/>
        </w:rPr>
        <w:t xml:space="preserve">Le circuit d'une notation</w:t>
      </w:r>
    </w:p>
    <w:p>
      <w:pPr>
        <w:keepNext/>
        <w:spacing w:after="60" w:before="140"/>
      </w:pPr>
      <w:r>
        <w:rPr>
          <w:rFonts w:ascii="Arial" w:cs="Arial" w:eastAsia="Arial" w:hAnsi="Arial"/>
          <w:b/>
          <w:bCs/>
          <w:color w:val="462016"/>
          <w:sz w:val="23"/>
          <w:szCs w:val="23"/>
        </w:rPr>
        <w:t xml:space="preserve">1. Prendre en main l'outil</w:t>
      </w:r>
    </w:p>
    <w:p>
      <w:pPr>
        <w:spacing w:after="20"/>
        <w:ind w:left="360"/>
      </w:pPr>
      <w:r>
        <w:rPr>
          <w:rFonts w:ascii="Arial" w:cs="Arial" w:eastAsia="Arial" w:hAnsi="Arial"/>
          <w:color w:val="3D3D3B"/>
          <w:sz w:val="19"/>
          <w:szCs w:val="19"/>
        </w:rPr>
        <w:t xml:space="preserve">Se connecter</w:t>
      </w:r>
    </w:p>
    <w:p>
      <w:pPr>
        <w:spacing w:after="20"/>
        <w:ind w:left="360"/>
      </w:pPr>
      <w:r>
        <w:rPr>
          <w:rFonts w:ascii="Arial" w:cs="Arial" w:eastAsia="Arial" w:hAnsi="Arial"/>
          <w:color w:val="3D3D3B"/>
          <w:sz w:val="19"/>
          <w:szCs w:val="19"/>
        </w:rPr>
        <w:t xml:space="preserve">Changer son mot de passe</w:t>
      </w:r>
    </w:p>
    <w:p>
      <w:pPr>
        <w:spacing w:after="20"/>
        <w:ind w:left="360"/>
      </w:pPr>
      <w:r>
        <w:rPr>
          <w:rFonts w:ascii="Arial" w:cs="Arial" w:eastAsia="Arial" w:hAnsi="Arial"/>
          <w:color w:val="3D3D3B"/>
          <w:sz w:val="19"/>
          <w:szCs w:val="19"/>
        </w:rPr>
        <w:t xml:space="preserve">Le menu principal</w:t>
      </w:r>
    </w:p>
    <w:p>
      <w:pPr>
        <w:spacing w:after="20"/>
        <w:ind w:left="360"/>
      </w:pPr>
      <w:r>
        <w:rPr>
          <w:rFonts w:ascii="Arial" w:cs="Arial" w:eastAsia="Arial" w:hAnsi="Arial"/>
          <w:color w:val="3D3D3B"/>
          <w:sz w:val="19"/>
          <w:szCs w:val="19"/>
        </w:rPr>
        <w:t xml:space="preserve">Lire le tableau de bord</w:t>
      </w:r>
    </w:p>
    <w:p>
      <w:pPr>
        <w:keepNext/>
        <w:spacing w:after="60" w:before="140"/>
      </w:pPr>
      <w:r>
        <w:rPr>
          <w:rFonts w:ascii="Arial" w:cs="Arial" w:eastAsia="Arial" w:hAnsi="Arial"/>
          <w:b/>
          <w:bCs/>
          <w:color w:val="462016"/>
          <w:sz w:val="23"/>
          <w:szCs w:val="23"/>
        </w:rPr>
        <w:t xml:space="preserve">2. Gérer les contreparties</w:t>
      </w:r>
    </w:p>
    <w:p>
      <w:pPr>
        <w:spacing w:after="20"/>
        <w:ind w:left="360"/>
      </w:pPr>
      <w:r>
        <w:rPr>
          <w:rFonts w:ascii="Arial" w:cs="Arial" w:eastAsia="Arial" w:hAnsi="Arial"/>
          <w:color w:val="3D3D3B"/>
          <w:sz w:val="19"/>
          <w:szCs w:val="19"/>
        </w:rPr>
        <w:t xml:space="preserve">La liste des contreparties</w:t>
      </w:r>
    </w:p>
    <w:p>
      <w:pPr>
        <w:spacing w:after="20"/>
        <w:ind w:left="360"/>
      </w:pPr>
      <w:r>
        <w:rPr>
          <w:rFonts w:ascii="Arial" w:cs="Arial" w:eastAsia="Arial" w:hAnsi="Arial"/>
          <w:color w:val="3D3D3B"/>
          <w:sz w:val="19"/>
          <w:szCs w:val="19"/>
        </w:rPr>
        <w:t xml:space="preserve">Créer une contrepartie avec l'IA</w:t>
      </w:r>
    </w:p>
    <w:p>
      <w:pPr>
        <w:spacing w:after="20"/>
        <w:ind w:left="360"/>
      </w:pPr>
      <w:r>
        <w:rPr>
          <w:rFonts w:ascii="Arial" w:cs="Arial" w:eastAsia="Arial" w:hAnsi="Arial"/>
          <w:color w:val="3D3D3B"/>
          <w:sz w:val="19"/>
          <w:szCs w:val="19"/>
        </w:rPr>
        <w:t xml:space="preserve">Relire et enregistrer la fiche</w:t>
      </w:r>
    </w:p>
    <w:p>
      <w:pPr>
        <w:spacing w:after="20"/>
        <w:ind w:left="360"/>
      </w:pPr>
      <w:r>
        <w:rPr>
          <w:rFonts w:ascii="Arial" w:cs="Arial" w:eastAsia="Arial" w:hAnsi="Arial"/>
          <w:color w:val="3D3D3B"/>
          <w:sz w:val="19"/>
          <w:szCs w:val="19"/>
        </w:rPr>
        <w:t xml:space="preserve">La fiche d'une contrepartie</w:t>
      </w:r>
    </w:p>
    <w:p>
      <w:pPr>
        <w:keepNext/>
        <w:spacing w:after="60" w:before="140"/>
      </w:pPr>
      <w:r>
        <w:rPr>
          <w:rFonts w:ascii="Arial" w:cs="Arial" w:eastAsia="Arial" w:hAnsi="Arial"/>
          <w:b/>
          <w:bCs/>
          <w:color w:val="462016"/>
          <w:sz w:val="23"/>
          <w:szCs w:val="23"/>
        </w:rPr>
        <w:t xml:space="preserve">3. Noter une entreprise</w:t>
      </w:r>
    </w:p>
    <w:p>
      <w:pPr>
        <w:spacing w:after="20"/>
        <w:ind w:left="360"/>
      </w:pPr>
      <w:r>
        <w:rPr>
          <w:rFonts w:ascii="Arial" w:cs="Arial" w:eastAsia="Arial" w:hAnsi="Arial"/>
          <w:color w:val="3D3D3B"/>
          <w:sz w:val="19"/>
          <w:szCs w:val="19"/>
        </w:rPr>
        <w:t xml:space="preserve">Ouvrir un dossier de notation</w:t>
      </w:r>
    </w:p>
    <w:p>
      <w:pPr>
        <w:spacing w:after="20"/>
        <w:ind w:left="360"/>
      </w:pPr>
      <w:r>
        <w:rPr>
          <w:rFonts w:ascii="Arial" w:cs="Arial" w:eastAsia="Arial" w:hAnsi="Arial"/>
          <w:color w:val="3D3D3B"/>
          <w:sz w:val="19"/>
          <w:szCs w:val="19"/>
        </w:rPr>
        <w:t xml:space="preserve">Le dossier en brouillon</w:t>
      </w:r>
    </w:p>
    <w:p>
      <w:pPr>
        <w:spacing w:after="20"/>
        <w:ind w:left="360"/>
      </w:pPr>
      <w:r>
        <w:rPr>
          <w:rFonts w:ascii="Arial" w:cs="Arial" w:eastAsia="Arial" w:hAnsi="Arial"/>
          <w:color w:val="3D3D3B"/>
          <w:sz w:val="19"/>
          <w:szCs w:val="19"/>
        </w:rPr>
        <w:t xml:space="preserve">Le cadrage du dossier</w:t>
      </w:r>
    </w:p>
    <w:p>
      <w:pPr>
        <w:spacing w:after="20"/>
        <w:ind w:left="360"/>
      </w:pPr>
      <w:r>
        <w:rPr>
          <w:rFonts w:ascii="Arial" w:cs="Arial" w:eastAsia="Arial" w:hAnsi="Arial"/>
          <w:color w:val="3D3D3B"/>
          <w:sz w:val="19"/>
          <w:szCs w:val="19"/>
        </w:rPr>
        <w:t xml:space="preserve">Ajouter les pièces</w:t>
      </w:r>
    </w:p>
    <w:p>
      <w:pPr>
        <w:spacing w:after="20"/>
        <w:ind w:left="360"/>
      </w:pPr>
      <w:r>
        <w:rPr>
          <w:rFonts w:ascii="Arial" w:cs="Arial" w:eastAsia="Arial" w:hAnsi="Arial"/>
          <w:color w:val="3D3D3B"/>
          <w:sz w:val="19"/>
          <w:szCs w:val="19"/>
        </w:rPr>
        <w:t xml:space="preserve">Demander des propositions à l'IA</w:t>
      </w:r>
    </w:p>
    <w:p>
      <w:pPr>
        <w:spacing w:after="20"/>
        <w:ind w:left="360"/>
      </w:pPr>
      <w:r>
        <w:rPr>
          <w:rFonts w:ascii="Arial" w:cs="Arial" w:eastAsia="Arial" w:hAnsi="Arial"/>
          <w:color w:val="3D3D3B"/>
          <w:sz w:val="19"/>
          <w:szCs w:val="19"/>
        </w:rPr>
        <w:t xml:space="preserve">Examiner les propositions</w:t>
      </w:r>
    </w:p>
    <w:p>
      <w:pPr>
        <w:spacing w:after="20"/>
        <w:ind w:left="360"/>
      </w:pPr>
      <w:r>
        <w:rPr>
          <w:rFonts w:ascii="Arial" w:cs="Arial" w:eastAsia="Arial" w:hAnsi="Arial"/>
          <w:color w:val="3D3D3B"/>
          <w:sz w:val="19"/>
          <w:szCs w:val="19"/>
        </w:rPr>
        <w:t xml:space="preserve">Contrôler la grille</w:t>
      </w:r>
    </w:p>
    <w:p>
      <w:pPr>
        <w:spacing w:after="20"/>
        <w:ind w:left="360"/>
      </w:pPr>
      <w:r>
        <w:rPr>
          <w:rFonts w:ascii="Arial" w:cs="Arial" w:eastAsia="Arial" w:hAnsi="Arial"/>
          <w:color w:val="3D3D3B"/>
          <w:sz w:val="19"/>
          <w:szCs w:val="19"/>
        </w:rPr>
        <w:t xml:space="preserve">Noter un critère qualitatif</w:t>
      </w:r>
    </w:p>
    <w:p>
      <w:pPr>
        <w:spacing w:after="20"/>
        <w:ind w:left="360"/>
      </w:pPr>
      <w:r>
        <w:rPr>
          <w:rFonts w:ascii="Arial" w:cs="Arial" w:eastAsia="Arial" w:hAnsi="Arial"/>
          <w:color w:val="3D3D3B"/>
          <w:sz w:val="19"/>
          <w:szCs w:val="19"/>
        </w:rPr>
        <w:t xml:space="preserve">Qualifier le statut d'une donnée</w:t>
      </w:r>
    </w:p>
    <w:p>
      <w:pPr>
        <w:spacing w:after="20"/>
        <w:ind w:left="360"/>
      </w:pPr>
      <w:r>
        <w:rPr>
          <w:rFonts w:ascii="Arial" w:cs="Arial" w:eastAsia="Arial" w:hAnsi="Arial"/>
          <w:color w:val="3D3D3B"/>
          <w:sz w:val="19"/>
          <w:szCs w:val="19"/>
        </w:rPr>
        <w:t xml:space="preserve">Enregistrer le brouillon</w:t>
      </w:r>
    </w:p>
    <w:p>
      <w:pPr>
        <w:spacing w:after="20"/>
        <w:ind w:left="360"/>
      </w:pPr>
      <w:r>
        <w:rPr>
          <w:rFonts w:ascii="Arial" w:cs="Arial" w:eastAsia="Arial" w:hAnsi="Arial"/>
          <w:color w:val="3D3D3B"/>
          <w:sz w:val="19"/>
          <w:szCs w:val="19"/>
        </w:rPr>
        <w:t xml:space="preserve">Vérifier avec l'aperçu</w:t>
      </w:r>
    </w:p>
    <w:p>
      <w:pPr>
        <w:spacing w:after="20"/>
        <w:ind w:left="360"/>
      </w:pPr>
      <w:r>
        <w:rPr>
          <w:rFonts w:ascii="Arial" w:cs="Arial" w:eastAsia="Arial" w:hAnsi="Arial"/>
          <w:color w:val="3D3D3B"/>
          <w:sz w:val="19"/>
          <w:szCs w:val="19"/>
        </w:rPr>
        <w:t xml:space="preserve">Soumettre à validation</w:t>
      </w:r>
    </w:p>
    <w:p>
      <w:pPr>
        <w:spacing w:after="20"/>
        <w:ind w:left="360"/>
      </w:pPr>
      <w:r>
        <w:rPr>
          <w:rFonts w:ascii="Arial" w:cs="Arial" w:eastAsia="Arial" w:hAnsi="Arial"/>
          <w:color w:val="3D3D3B"/>
          <w:sz w:val="19"/>
          <w:szCs w:val="19"/>
        </w:rPr>
        <w:t xml:space="preserve">Si la soumission est refusée</w:t>
      </w:r>
    </w:p>
    <w:p>
      <w:pPr>
        <w:keepNext/>
        <w:spacing w:after="60" w:before="140"/>
      </w:pPr>
      <w:r>
        <w:rPr>
          <w:rFonts w:ascii="Arial" w:cs="Arial" w:eastAsia="Arial" w:hAnsi="Arial"/>
          <w:b/>
          <w:bCs/>
          <w:color w:val="462016"/>
          <w:sz w:val="23"/>
          <w:szCs w:val="23"/>
        </w:rPr>
        <w:t xml:space="preserve">4. Valider une notation</w:t>
      </w:r>
    </w:p>
    <w:p>
      <w:pPr>
        <w:spacing w:after="20"/>
        <w:ind w:left="360"/>
      </w:pPr>
      <w:r>
        <w:rPr>
          <w:rFonts w:ascii="Arial" w:cs="Arial" w:eastAsia="Arial" w:hAnsi="Arial"/>
          <w:color w:val="3D3D3B"/>
          <w:sz w:val="19"/>
          <w:szCs w:val="19"/>
        </w:rPr>
        <w:t xml:space="preserve">La file « À traiter »</w:t>
      </w:r>
    </w:p>
    <w:p>
      <w:pPr>
        <w:spacing w:after="20"/>
        <w:ind w:left="360"/>
      </w:pPr>
      <w:r>
        <w:rPr>
          <w:rFonts w:ascii="Arial" w:cs="Arial" w:eastAsia="Arial" w:hAnsi="Arial"/>
          <w:color w:val="3D3D3B"/>
          <w:sz w:val="19"/>
          <w:szCs w:val="19"/>
        </w:rPr>
        <w:t xml:space="preserve">Valider ou rejeter</w:t>
      </w:r>
    </w:p>
    <w:p>
      <w:pPr>
        <w:spacing w:after="20"/>
        <w:ind w:left="360"/>
      </w:pPr>
      <w:r>
        <w:rPr>
          <w:rFonts w:ascii="Arial" w:cs="Arial" w:eastAsia="Arial" w:hAnsi="Arial"/>
          <w:color w:val="3D3D3B"/>
          <w:sz w:val="19"/>
          <w:szCs w:val="19"/>
        </w:rPr>
        <w:t xml:space="preserve">La note officielle</w:t>
      </w:r>
    </w:p>
    <w:p>
      <w:pPr>
        <w:spacing w:after="20"/>
        <w:ind w:left="360"/>
      </w:pPr>
      <w:r>
        <w:rPr>
          <w:rFonts w:ascii="Arial" w:cs="Arial" w:eastAsia="Arial" w:hAnsi="Arial"/>
          <w:color w:val="3D3D3B"/>
          <w:sz w:val="19"/>
          <w:szCs w:val="19"/>
        </w:rPr>
        <w:t xml:space="preserve">Lire le résultat</w:t>
      </w:r>
    </w:p>
    <w:p>
      <w:pPr>
        <w:spacing w:after="20"/>
        <w:ind w:left="360"/>
      </w:pPr>
      <w:r>
        <w:rPr>
          <w:rFonts w:ascii="Arial" w:cs="Arial" w:eastAsia="Arial" w:hAnsi="Arial"/>
          <w:color w:val="3D3D3B"/>
          <w:sz w:val="19"/>
          <w:szCs w:val="19"/>
        </w:rPr>
        <w:t xml:space="preserve">Reprendre un dossier rejeté</w:t>
      </w:r>
    </w:p>
    <w:p>
      <w:pPr>
        <w:spacing w:after="20"/>
        <w:ind w:left="360"/>
      </w:pPr>
      <w:r>
        <w:rPr>
          <w:rFonts w:ascii="Arial" w:cs="Arial" w:eastAsia="Arial" w:hAnsi="Arial"/>
          <w:color w:val="3D3D3B"/>
          <w:sz w:val="19"/>
          <w:szCs w:val="19"/>
        </w:rPr>
        <w:t xml:space="preserve">Suivre tous les dossiers</w:t>
      </w:r>
    </w:p>
    <w:p>
      <w:pPr>
        <w:keepNext/>
        <w:spacing w:after="60" w:before="140"/>
      </w:pPr>
      <w:r>
        <w:rPr>
          <w:rFonts w:ascii="Arial" w:cs="Arial" w:eastAsia="Arial" w:hAnsi="Arial"/>
          <w:b/>
          <w:bCs/>
          <w:color w:val="462016"/>
          <w:sz w:val="23"/>
          <w:szCs w:val="23"/>
        </w:rPr>
        <w:t xml:space="preserve">5. Demander et décider une dérogation</w:t>
      </w:r>
    </w:p>
    <w:p>
      <w:pPr>
        <w:spacing w:after="20"/>
        <w:ind w:left="360"/>
      </w:pPr>
      <w:r>
        <w:rPr>
          <w:rFonts w:ascii="Arial" w:cs="Arial" w:eastAsia="Arial" w:hAnsi="Arial"/>
          <w:color w:val="3D3D3B"/>
          <w:sz w:val="19"/>
          <w:szCs w:val="19"/>
        </w:rPr>
        <w:t xml:space="preserve">Demander une dérogation</w:t>
      </w:r>
    </w:p>
    <w:p>
      <w:pPr>
        <w:spacing w:after="20"/>
        <w:ind w:left="360"/>
      </w:pPr>
      <w:r>
        <w:rPr>
          <w:rFonts w:ascii="Arial" w:cs="Arial" w:eastAsia="Arial" w:hAnsi="Arial"/>
          <w:color w:val="3D3D3B"/>
          <w:sz w:val="19"/>
          <w:szCs w:val="19"/>
        </w:rPr>
        <w:t xml:space="preserve">Décider d'une dérogation</w:t>
      </w:r>
    </w:p>
    <w:p>
      <w:pPr>
        <w:keepNext/>
        <w:spacing w:after="60" w:before="140"/>
      </w:pPr>
      <w:r>
        <w:rPr>
          <w:rFonts w:ascii="Arial" w:cs="Arial" w:eastAsia="Arial" w:hAnsi="Arial"/>
          <w:b/>
          <w:bCs/>
          <w:color w:val="462016"/>
          <w:sz w:val="23"/>
          <w:szCs w:val="23"/>
        </w:rPr>
        <w:t xml:space="preserve">6. Groupes d'affaires et renotation</w:t>
      </w:r>
    </w:p>
    <w:p>
      <w:pPr>
        <w:spacing w:after="20"/>
        <w:ind w:left="360"/>
      </w:pPr>
      <w:r>
        <w:rPr>
          <w:rFonts w:ascii="Arial" w:cs="Arial" w:eastAsia="Arial" w:hAnsi="Arial"/>
          <w:color w:val="3D3D3B"/>
          <w:sz w:val="19"/>
          <w:szCs w:val="19"/>
        </w:rPr>
        <w:t xml:space="preserve">Les groupes d'affaires</w:t>
      </w:r>
    </w:p>
    <w:p>
      <w:pPr>
        <w:spacing w:after="20"/>
        <w:ind w:left="360"/>
      </w:pPr>
      <w:r>
        <w:rPr>
          <w:rFonts w:ascii="Arial" w:cs="Arial" w:eastAsia="Arial" w:hAnsi="Arial"/>
          <w:color w:val="3D3D3B"/>
          <w:sz w:val="19"/>
          <w:szCs w:val="19"/>
        </w:rPr>
        <w:t xml:space="preserve">La fiche d'un groupe</w:t>
      </w:r>
    </w:p>
    <w:p>
      <w:pPr>
        <w:spacing w:after="20"/>
        <w:ind w:left="360"/>
      </w:pPr>
      <w:r>
        <w:rPr>
          <w:rFonts w:ascii="Arial" w:cs="Arial" w:eastAsia="Arial" w:hAnsi="Arial"/>
          <w:color w:val="3D3D3B"/>
          <w:sz w:val="19"/>
          <w:szCs w:val="19"/>
        </w:rPr>
        <w:t xml:space="preserve">Lancer une renotation</w:t>
      </w:r>
    </w:p>
    <w:p>
      <w:pPr>
        <w:spacing w:after="20"/>
        <w:ind w:left="360"/>
      </w:pPr>
      <w:r>
        <w:rPr>
          <w:rFonts w:ascii="Arial" w:cs="Arial" w:eastAsia="Arial" w:hAnsi="Arial"/>
          <w:color w:val="3D3D3B"/>
          <w:sz w:val="19"/>
          <w:szCs w:val="19"/>
        </w:rPr>
        <w:t xml:space="preserve">Suivre un lot et lire la migration</w:t>
      </w:r>
    </w:p>
    <w:p>
      <w:pPr>
        <w:spacing w:after="20"/>
        <w:ind w:left="360"/>
      </w:pPr>
      <w:r>
        <w:rPr>
          <w:rFonts w:ascii="Arial" w:cs="Arial" w:eastAsia="Arial" w:hAnsi="Arial"/>
          <w:color w:val="3D3D3B"/>
          <w:sz w:val="19"/>
          <w:szCs w:val="19"/>
        </w:rPr>
        <w:t xml:space="preserve">Les contreparties à revoir</w:t>
      </w:r>
    </w:p>
    <w:p>
      <w:pPr>
        <w:spacing w:after="20"/>
        <w:ind w:left="360"/>
      </w:pPr>
      <w:r>
        <w:rPr>
          <w:rFonts w:ascii="Arial" w:cs="Arial" w:eastAsia="Arial" w:hAnsi="Arial"/>
          <w:color w:val="3D3D3B"/>
          <w:sz w:val="19"/>
          <w:szCs w:val="19"/>
        </w:rPr>
        <w:t xml:space="preserve">Planifier une renotation périodique</w:t>
      </w:r>
    </w:p>
    <w:p>
      <w:pPr>
        <w:spacing w:after="20"/>
        <w:ind w:left="360"/>
      </w:pPr>
      <w:r>
        <w:rPr>
          <w:rFonts w:ascii="Arial" w:cs="Arial" w:eastAsia="Arial" w:hAnsi="Arial"/>
          <w:color w:val="3D3D3B"/>
          <w:sz w:val="19"/>
          <w:szCs w:val="19"/>
        </w:rPr>
        <w:t xml:space="preserve">Instruire un dossier de revue</w:t>
      </w:r>
    </w:p>
    <w:p>
      <w:pPr>
        <w:keepNext/>
        <w:spacing w:after="60" w:before="140"/>
      </w:pPr>
      <w:r>
        <w:rPr>
          <w:rFonts w:ascii="Arial" w:cs="Arial" w:eastAsia="Arial" w:hAnsi="Arial"/>
          <w:b/>
          <w:bCs/>
          <w:color w:val="462016"/>
          <w:sz w:val="23"/>
          <w:szCs w:val="23"/>
        </w:rPr>
        <w:t xml:space="preserve">7. Autres fonctions</w:t>
      </w:r>
    </w:p>
    <w:p>
      <w:pPr>
        <w:spacing w:after="20"/>
        <w:ind w:left="360"/>
      </w:pPr>
      <w:r>
        <w:rPr>
          <w:rFonts w:ascii="Arial" w:cs="Arial" w:eastAsia="Arial" w:hAnsi="Arial"/>
          <w:color w:val="3D3D3B"/>
          <w:sz w:val="19"/>
          <w:szCs w:val="19"/>
        </w:rPr>
        <w:t xml:space="preserve">Simuler sans enregistrer</w:t>
      </w:r>
    </w:p>
    <w:p>
      <w:pPr>
        <w:spacing w:after="20"/>
        <w:ind w:left="360"/>
      </w:pPr>
      <w:r>
        <w:rPr>
          <w:rFonts w:ascii="Arial" w:cs="Arial" w:eastAsia="Arial" w:hAnsi="Arial"/>
          <w:color w:val="3D3D3B"/>
          <w:sz w:val="19"/>
          <w:szCs w:val="19"/>
        </w:rPr>
        <w:t xml:space="preserve">Consulter la grille du modèle</w:t>
      </w:r>
    </w:p>
    <w:p>
      <w:pPr>
        <w:spacing w:after="20"/>
        <w:ind w:left="360"/>
      </w:pPr>
      <w:r>
        <w:rPr>
          <w:rFonts w:ascii="Arial" w:cs="Arial" w:eastAsia="Arial" w:hAnsi="Arial"/>
          <w:color w:val="3D3D3B"/>
          <w:sz w:val="19"/>
          <w:szCs w:val="19"/>
        </w:rPr>
        <w:t xml:space="preserve">Sur téléphone</w:t>
      </w:r>
    </w:p>
    <w:p>
      <w:pPr>
        <w:keepNext/>
        <w:spacing w:after="60" w:before="140"/>
      </w:pPr>
      <w:r>
        <w:rPr>
          <w:rFonts w:ascii="Arial" w:cs="Arial" w:eastAsia="Arial" w:hAnsi="Arial"/>
          <w:b/>
          <w:bCs/>
          <w:color w:val="462016"/>
          <w:sz w:val="23"/>
          <w:szCs w:val="23"/>
        </w:rPr>
        <w:t xml:space="preserve">8. Administration</w:t>
      </w:r>
    </w:p>
    <w:p>
      <w:pPr>
        <w:spacing w:after="20"/>
        <w:ind w:left="360"/>
      </w:pPr>
      <w:r>
        <w:rPr>
          <w:rFonts w:ascii="Arial" w:cs="Arial" w:eastAsia="Arial" w:hAnsi="Arial"/>
          <w:color w:val="3D3D3B"/>
          <w:sz w:val="19"/>
          <w:szCs w:val="19"/>
        </w:rPr>
        <w:t xml:space="preserve">Vue d'ensemble</w:t>
      </w:r>
    </w:p>
    <w:p>
      <w:pPr>
        <w:spacing w:after="20"/>
        <w:ind w:left="360"/>
      </w:pPr>
      <w:r>
        <w:rPr>
          <w:rFonts w:ascii="Arial" w:cs="Arial" w:eastAsia="Arial" w:hAnsi="Arial"/>
          <w:color w:val="3D3D3B"/>
          <w:sz w:val="19"/>
          <w:szCs w:val="19"/>
        </w:rPr>
        <w:t xml:space="preserve">Créer un compte</w:t>
      </w:r>
    </w:p>
    <w:p>
      <w:pPr>
        <w:spacing w:after="20"/>
        <w:ind w:left="360"/>
      </w:pPr>
      <w:r>
        <w:rPr>
          <w:rFonts w:ascii="Arial" w:cs="Arial" w:eastAsia="Arial" w:hAnsi="Arial"/>
          <w:color w:val="3D3D3B"/>
          <w:sz w:val="19"/>
          <w:szCs w:val="19"/>
        </w:rPr>
        <w:t xml:space="preserve">Banques et filiales</w:t>
      </w:r>
    </w:p>
    <w:p>
      <w:pPr>
        <w:spacing w:after="20"/>
        <w:ind w:left="360"/>
      </w:pPr>
      <w:r>
        <w:rPr>
          <w:rFonts w:ascii="Arial" w:cs="Arial" w:eastAsia="Arial" w:hAnsi="Arial"/>
          <w:color w:val="3D3D3B"/>
          <w:sz w:val="19"/>
          <w:szCs w:val="19"/>
        </w:rPr>
        <w:t xml:space="preserve">Publier un cours de change</w:t>
      </w:r>
    </w:p>
    <w:p>
      <w:pPr>
        <w:spacing w:after="20"/>
        <w:ind w:left="360"/>
      </w:pPr>
      <w:r>
        <w:rPr>
          <w:rFonts w:ascii="Arial" w:cs="Arial" w:eastAsia="Arial" w:hAnsi="Arial"/>
          <w:color w:val="3D3D3B"/>
          <w:sz w:val="19"/>
          <w:szCs w:val="19"/>
        </w:rPr>
        <w:t xml:space="preserve">Paramétrer le workflow</w:t>
      </w:r>
    </w:p>
    <w:p>
      <w:pPr>
        <w:spacing w:after="20"/>
        <w:ind w:left="360"/>
      </w:pPr>
      <w:r>
        <w:rPr>
          <w:rFonts w:ascii="Arial" w:cs="Arial" w:eastAsia="Arial" w:hAnsi="Arial"/>
          <w:color w:val="3D3D3B"/>
          <w:sz w:val="19"/>
          <w:szCs w:val="19"/>
        </w:rPr>
        <w:t xml:space="preserve">Paramétrer l'IA</w:t>
      </w:r>
    </w:p>
    <w:p>
      <w:pPr>
        <w:keepNext/>
        <w:spacing w:after="60" w:before="140"/>
      </w:pPr>
      <w:r>
        <w:rPr>
          <w:rFonts w:ascii="Arial" w:cs="Arial" w:eastAsia="Arial" w:hAnsi="Arial"/>
          <w:b/>
          <w:bCs/>
          <w:color w:val="462016"/>
          <w:sz w:val="23"/>
          <w:szCs w:val="23"/>
        </w:rPr>
        <w:t xml:space="preserve">Les règles à retenir</w:t>
      </w:r>
    </w:p>
    <w:p>
      <w:pPr>
        <w:keepNext/>
        <w:spacing w:after="60" w:before="140"/>
      </w:pPr>
      <w:r>
        <w:rPr>
          <w:rFonts w:ascii="Arial" w:cs="Arial" w:eastAsia="Arial" w:hAnsi="Arial"/>
          <w:b/>
          <w:bCs/>
          <w:color w:val="462016"/>
          <w:sz w:val="23"/>
          <w:szCs w:val="23"/>
        </w:rPr>
        <w:t xml:space="preserve">Besoin d'aide ?</w:t>
      </w:r>
    </w:p>
    <w:p>
      <w:pPr>
        <w:pStyle w:val="Heading1"/>
        <w:pageBreakBefore/>
      </w:pPr>
      <w:r>
        <w:rPr>
          <w:rFonts w:ascii="Arial" w:cs="Arial" w:eastAsia="Arial" w:hAnsi="Arial"/>
        </w:rPr>
        <w:t xml:space="preserve">Présentation</w:t>
      </w:r>
    </w:p>
    <w:p>
      <w:pPr>
        <w:spacing w:after="120" w:line="276"/>
      </w:pPr>
      <w:r>
        <w:rPr>
          <w:rFonts w:ascii="Arial" w:cs="Arial" w:eastAsia="Arial" w:hAnsi="Arial"/>
          <w:color w:val="3D3D3B"/>
          <w:sz w:val="21"/>
          <w:szCs w:val="21"/>
        </w:rPr>
        <w:t xml:space="preserve">L'outil note les entreprises clientes (TPE, PME et grandes entreprises) selon une méthode unique et explicable. L'analyste instruit un dossier de notation, avec l'aide de l'intelligence artificielle si elle est activée ; l'outil calcule la note ; une seconde personne la valide. Seule une notation validée devient la note officielle de l'entreprise.</w:t>
      </w:r>
    </w:p>
    <w:p>
      <w:pPr>
        <w:spacing w:after="120" w:line="276"/>
      </w:pPr>
      <w:r>
        <w:rPr>
          <w:rFonts w:ascii="Arial" w:cs="Arial" w:eastAsia="Arial" w:hAnsi="Arial"/>
          <w:color w:val="3D3D3B"/>
          <w:sz w:val="21"/>
          <w:szCs w:val="21"/>
        </w:rPr>
        <w:t xml:space="preserve">Chaque utilisateur est rattaché à une banque ou une filiale du groupe : il ne voit que les dossiers de son périmètre.</w:t>
      </w:r>
    </w:p>
    <w:p>
      <w:pPr>
        <w:pStyle w:val="Heading2"/>
      </w:pPr>
      <w:r>
        <w:rPr>
          <w:rFonts w:ascii="Arial" w:cs="Arial" w:eastAsia="Arial" w:hAnsi="Arial"/>
        </w:rPr>
        <w:t xml:space="preserve">Les profils d'utilisateur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Profil</w:t>
            </w:r>
          </w:p>
        </w:tc>
        <w:tc>
          <w:tcPr>
            <w:tcW w:type="dxa" w:w="70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Ce qu'il peut faire</w:t>
            </w:r>
          </w:p>
        </w:tc>
      </w:tr>
      <w:tr>
        <w:trPr>
          <w:cantSplit/>
        </w:trPr>
        <w:tc>
          <w:tcPr>
            <w:tcW w:type="dxa" w:w="2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Lecture seule</w:t>
            </w:r>
          </w:p>
        </w:tc>
        <w:tc>
          <w:tcPr>
            <w:tcW w:type="dxa" w:w="7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Consulte les contreparties, les dossiers, les notations et les modèles. Ne saisit rien.</w:t>
            </w:r>
          </w:p>
        </w:tc>
      </w:tr>
      <w:tr>
        <w:trPr>
          <w:cantSplit/>
        </w:trPr>
        <w:tc>
          <w:tcPr>
            <w:tcW w:type="dxa" w:w="2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Analyste</w:t>
            </w:r>
          </w:p>
        </w:tc>
        <w:tc>
          <w:tcPr>
            <w:tcW w:type="dxa" w:w="7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Crée les contreparties, ouvre et instruit les dossiers, utilise l'IA et soumet à validation.</w:t>
            </w:r>
          </w:p>
        </w:tc>
      </w:tr>
      <w:tr>
        <w:trPr>
          <w:cantSplit/>
        </w:trPr>
        <w:tc>
          <w:tcPr>
            <w:tcW w:type="dxa" w:w="2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Gestionnaire des risques</w:t>
            </w:r>
          </w:p>
        </w:tc>
        <w:tc>
          <w:tcPr>
            <w:tcW w:type="dxa" w:w="7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Valide ou rejette les dossiers soumis par d'autres, demande les dérogations et décide de celles des autres, lance et planifie les renotations par lot. Peut aussi instruire un dossier, qu'il ne validera pas.</w:t>
            </w:r>
          </w:p>
        </w:tc>
      </w:tr>
      <w:tr>
        <w:trPr>
          <w:cantSplit/>
        </w:trPr>
        <w:tc>
          <w:tcPr>
            <w:tcW w:type="dxa" w:w="2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Administrateur</w:t>
            </w:r>
          </w:p>
        </w:tc>
        <w:tc>
          <w:tcPr>
            <w:tcW w:type="dxa" w:w="7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Gère les comptes, les banques et filiales, les cours de change et le paramétrage. L'administrateur du groupe voit toutes les entités.</w:t>
            </w:r>
          </w:p>
        </w:tc>
      </w:tr>
    </w:tbl>
    <w:p>
      <w:pPr>
        <w:pStyle w:val="Heading2"/>
      </w:pPr>
      <w:r>
        <w:rPr>
          <w:rFonts w:ascii="Arial" w:cs="Arial" w:eastAsia="Arial" w:hAnsi="Arial"/>
        </w:rPr>
        <w:t xml:space="preserve">Le circuit d'une notation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738"/>
        <w:gridCol w:w="3000"/>
      </w:tblGrid>
      <w:tr>
        <w:trPr>
          <w:tblHeader/>
        </w:trPr>
        <w:tc>
          <w:tcPr>
            <w:tcW w:type="dxa" w:w="9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Étape</w:t>
            </w:r>
          </w:p>
        </w:tc>
        <w:tc>
          <w:tcPr>
            <w:tcW w:type="dxa" w:w="57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Action</w:t>
            </w:r>
          </w:p>
        </w:tc>
        <w:tc>
          <w:tcPr>
            <w:tcW w:type="dxa" w:w="30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Qui</w:t>
            </w:r>
          </w:p>
        </w:tc>
      </w:tr>
      <w:tr>
        <w:trPr>
          <w:cantSplit/>
        </w:trPr>
        <w:tc>
          <w:tcPr>
            <w:tcW w:type="dxa" w:w="9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1</w:t>
            </w:r>
          </w:p>
        </w:tc>
        <w:tc>
          <w:tcPr>
            <w:tcW w:type="dxa" w:w="57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Contrepartie</w:t>
            </w:r>
          </w:p>
        </w:tc>
        <w:tc>
          <w:tcPr>
            <w:tcW w:type="dxa" w:w="3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Analyste</w:t>
            </w:r>
          </w:p>
        </w:tc>
      </w:tr>
      <w:tr>
        <w:trPr>
          <w:cantSplit/>
        </w:trPr>
        <w:tc>
          <w:tcPr>
            <w:tcW w:type="dxa" w:w="9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2</w:t>
            </w:r>
          </w:p>
        </w:tc>
        <w:tc>
          <w:tcPr>
            <w:tcW w:type="dxa" w:w="57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Ouvrir le dossier</w:t>
            </w:r>
          </w:p>
        </w:tc>
        <w:tc>
          <w:tcPr>
            <w:tcW w:type="dxa" w:w="3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Analyste</w:t>
            </w:r>
          </w:p>
        </w:tc>
      </w:tr>
      <w:tr>
        <w:trPr>
          <w:cantSplit/>
        </w:trPr>
        <w:tc>
          <w:tcPr>
            <w:tcW w:type="dxa" w:w="9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3</w:t>
            </w:r>
          </w:p>
        </w:tc>
        <w:tc>
          <w:tcPr>
            <w:tcW w:type="dxa" w:w="57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Pièces et IA</w:t>
            </w:r>
          </w:p>
        </w:tc>
        <w:tc>
          <w:tcPr>
            <w:tcW w:type="dxa" w:w="3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Analyste</w:t>
            </w:r>
          </w:p>
        </w:tc>
      </w:tr>
      <w:tr>
        <w:trPr>
          <w:cantSplit/>
        </w:trPr>
        <w:tc>
          <w:tcPr>
            <w:tcW w:type="dxa" w:w="9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4</w:t>
            </w:r>
          </w:p>
        </w:tc>
        <w:tc>
          <w:tcPr>
            <w:tcW w:type="dxa" w:w="57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Saisie de la grille</w:t>
            </w:r>
          </w:p>
        </w:tc>
        <w:tc>
          <w:tcPr>
            <w:tcW w:type="dxa" w:w="3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Analyste</w:t>
            </w:r>
          </w:p>
        </w:tc>
      </w:tr>
      <w:tr>
        <w:trPr>
          <w:cantSplit/>
        </w:trPr>
        <w:tc>
          <w:tcPr>
            <w:tcW w:type="dxa" w:w="9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5</w:t>
            </w:r>
          </w:p>
        </w:tc>
        <w:tc>
          <w:tcPr>
            <w:tcW w:type="dxa" w:w="57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Aperçu du calcul</w:t>
            </w:r>
          </w:p>
        </w:tc>
        <w:tc>
          <w:tcPr>
            <w:tcW w:type="dxa" w:w="3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Analyste</w:t>
            </w:r>
          </w:p>
        </w:tc>
      </w:tr>
      <w:tr>
        <w:trPr>
          <w:cantSplit/>
        </w:trPr>
        <w:tc>
          <w:tcPr>
            <w:tcW w:type="dxa" w:w="9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6</w:t>
            </w:r>
          </w:p>
        </w:tc>
        <w:tc>
          <w:tcPr>
            <w:tcW w:type="dxa" w:w="57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Soumission</w:t>
            </w:r>
          </w:p>
        </w:tc>
        <w:tc>
          <w:tcPr>
            <w:tcW w:type="dxa" w:w="3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Analyste</w:t>
            </w:r>
          </w:p>
        </w:tc>
      </w:tr>
      <w:tr>
        <w:trPr>
          <w:cantSplit/>
        </w:trPr>
        <w:tc>
          <w:tcPr>
            <w:tcW w:type="dxa" w:w="9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7</w:t>
            </w:r>
          </w:p>
        </w:tc>
        <w:tc>
          <w:tcPr>
            <w:tcW w:type="dxa" w:w="57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File À traiter</w:t>
            </w:r>
          </w:p>
        </w:tc>
        <w:tc>
          <w:tcPr>
            <w:tcW w:type="dxa" w:w="3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Valideur</w:t>
            </w:r>
          </w:p>
        </w:tc>
      </w:tr>
      <w:tr>
        <w:trPr>
          <w:cantSplit/>
        </w:trPr>
        <w:tc>
          <w:tcPr>
            <w:tcW w:type="dxa" w:w="9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8</w:t>
            </w:r>
          </w:p>
        </w:tc>
        <w:tc>
          <w:tcPr>
            <w:tcW w:type="dxa" w:w="57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Validation ou rejet</w:t>
            </w:r>
          </w:p>
        </w:tc>
        <w:tc>
          <w:tcPr>
            <w:tcW w:type="dxa" w:w="3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Valideur</w:t>
            </w:r>
          </w:p>
        </w:tc>
      </w:tr>
      <w:tr>
        <w:trPr>
          <w:cantSplit/>
        </w:trPr>
        <w:tc>
          <w:tcPr>
            <w:tcW w:type="dxa" w:w="9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9</w:t>
            </w:r>
          </w:p>
        </w:tc>
        <w:tc>
          <w:tcPr>
            <w:tcW w:type="dxa" w:w="57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Note officielle</w:t>
            </w:r>
          </w:p>
        </w:tc>
        <w:tc>
          <w:tcPr>
            <w:tcW w:type="dxa" w:w="3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Outil</w:t>
            </w:r>
          </w:p>
        </w:tc>
      </w:tr>
      <w:tr>
        <w:trPr>
          <w:cantSplit/>
        </w:trPr>
        <w:tc>
          <w:tcPr>
            <w:tcW w:type="dxa" w:w="9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10</w:t>
            </w:r>
          </w:p>
        </w:tc>
        <w:tc>
          <w:tcPr>
            <w:tcW w:type="dxa" w:w="57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Dérogation éventuelle</w:t>
            </w:r>
          </w:p>
        </w:tc>
        <w:tc>
          <w:tcPr>
            <w:tcW w:type="dxa" w:w="3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Gestionnaire des risques, puis un second</w:t>
            </w:r>
          </w:p>
        </w:tc>
      </w:tr>
    </w:tbl>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retenir</w:t>
            </w:r>
          </w:p>
          <w:p>
            <w:pPr>
              <w:spacing w:after="40"/>
            </w:pPr>
            <w:r>
              <w:rPr>
                <w:rFonts w:ascii="Arial" w:cs="Arial" w:eastAsia="Arial" w:hAnsi="Arial"/>
                <w:color w:val="3D3D3B"/>
                <w:sz w:val="20"/>
                <w:szCs w:val="20"/>
              </w:rPr>
              <w:t xml:space="preserve">Une notation ne devient la note de l'entreprise qu'après validation par une autre personne que ses contributeurs.</w:t>
            </w:r>
          </w:p>
        </w:tc>
      </w:tr>
    </w:tbl>
    <w:p>
      <w:pPr>
        <w:pStyle w:val="Heading1"/>
        <w:pageBreakBefore/>
      </w:pPr>
      <w:r>
        <w:rPr>
          <w:rFonts w:ascii="Arial" w:cs="Arial" w:eastAsia="Arial" w:hAnsi="Arial"/>
        </w:rPr>
        <w:t xml:space="preserve">1. Prendre en main l'outil</w:t>
      </w:r>
    </w:p>
    <w:p>
      <w:pPr>
        <w:spacing w:after="120" w:line="276"/>
      </w:pPr>
      <w:r>
        <w:rPr>
          <w:rFonts w:ascii="Arial" w:cs="Arial" w:eastAsia="Arial" w:hAnsi="Arial"/>
          <w:color w:val="3D3D3B"/>
          <w:sz w:val="21"/>
          <w:szCs w:val="21"/>
        </w:rPr>
        <w:t xml:space="preserve">Se connecter, se repérer dans le menu et lire le tableau de bord.</w:t>
      </w:r>
    </w:p>
    <w:p>
      <w:pPr>
        <w:pStyle w:val="Heading2"/>
        <w:keepNext/>
      </w:pPr>
      <w:r>
        <w:rPr>
          <w:rFonts w:ascii="Arial" w:cs="Arial" w:eastAsia="Arial" w:hAnsi="Arial"/>
        </w:rPr>
        <w:t xml:space="preserve">Se connecter</w:t>
      </w:r>
    </w:p>
    <w:p>
      <w:pPr>
        <w:keepNext/>
        <w:spacing w:after="60" w:before="80"/>
        <w:jc w:val="center"/>
      </w:pPr>
      <w:r>
        <w:drawing>
          <wp:inline distT="0" distB="0" distL="0" distR="0">
            <wp:extent cx="6096000" cy="3429000"/>
            <wp:effectExtent t="0" r="0" b="0" l="0"/>
            <wp:docPr id="1" name="Figure 1 — Se connecter" descr="Figure 1 — Se connecter" title="Figure 1 — Se conne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1 — Se connecter</w:t>
      </w:r>
    </w:p>
    <w:p>
      <w:pPr>
        <w:pStyle w:val="ListParagraph"/>
        <w:keepNext/>
        <w:keepLines/>
        <w:numPr>
          <w:ilvl w:val="0"/>
          <w:numId w:val="2"/>
        </w:numPr>
        <w:spacing w:after="60"/>
      </w:pPr>
      <w:r>
        <w:rPr>
          <w:rFonts w:ascii="Arial" w:cs="Arial" w:eastAsia="Arial" w:hAnsi="Arial"/>
          <w:color w:val="3D3D3B"/>
          <w:sz w:val="21"/>
          <w:szCs w:val="21"/>
        </w:rPr>
        <w:t xml:space="preserve">Ouvrir l'adresse de l'outil communiquée par l'administrateur.</w:t>
      </w:r>
    </w:p>
    <w:p>
      <w:pPr>
        <w:pStyle w:val="ListParagraph"/>
        <w:keepNext/>
        <w:keepLines/>
        <w:numPr>
          <w:ilvl w:val="0"/>
          <w:numId w:val="2"/>
        </w:numPr>
        <w:spacing w:after="60"/>
      </w:pPr>
      <w:r>
        <w:rPr>
          <w:rFonts w:ascii="Arial" w:cs="Arial" w:eastAsia="Arial" w:hAnsi="Arial"/>
          <w:color w:val="3D3D3B"/>
          <w:sz w:val="21"/>
          <w:szCs w:val="21"/>
        </w:rPr>
        <w:t xml:space="preserve">Saisir son identifiant et son mot de passe.</w:t>
      </w:r>
    </w:p>
    <w:p>
      <w:pPr>
        <w:pStyle w:val="ListParagraph"/>
        <w:keepNext w:val="false"/>
        <w:keepLines/>
        <w:numPr>
          <w:ilvl w:val="0"/>
          <w:numId w:val="2"/>
        </w:numPr>
        <w:spacing w:after="60"/>
      </w:pPr>
      <w:r>
        <w:rPr>
          <w:rFonts w:ascii="Arial" w:cs="Arial" w:eastAsia="Arial" w:hAnsi="Arial"/>
          <w:color w:val="3D3D3B"/>
          <w:sz w:val="21"/>
          <w:szCs w:val="21"/>
        </w:rPr>
        <w:t xml:space="preserve">Cliquer sur « Se connecter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À la première connexion, le mot de passe provisoire doit être changé. Cinq échecs consécutifs verrouillent le compte quelques minutes.</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Changer son mot de passe</w:t>
      </w:r>
    </w:p>
    <w:p>
      <w:pPr>
        <w:keepNext/>
        <w:spacing w:after="60" w:before="80"/>
        <w:jc w:val="center"/>
      </w:pPr>
      <w:r>
        <w:drawing>
          <wp:inline distT="0" distB="0" distL="0" distR="0">
            <wp:extent cx="6096000" cy="3429000"/>
            <wp:effectExtent t="0" r="0" b="0" l="0"/>
            <wp:docPr id="1" name="Figure 2 — Changer son mot de passe" descr="Figure 2 — Changer son mot de passe" title="Figure 2 — Changer son mot de p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2 — Changer son mot de passe</w:t>
      </w:r>
    </w:p>
    <w:p>
      <w:pPr>
        <w:pStyle w:val="ListParagraph"/>
        <w:keepNext/>
        <w:keepLines/>
        <w:numPr>
          <w:ilvl w:val="0"/>
          <w:numId w:val="3"/>
        </w:numPr>
        <w:spacing w:after="60"/>
      </w:pPr>
      <w:r>
        <w:rPr>
          <w:rFonts w:ascii="Arial" w:cs="Arial" w:eastAsia="Arial" w:hAnsi="Arial"/>
          <w:color w:val="3D3D3B"/>
          <w:sz w:val="21"/>
          <w:szCs w:val="21"/>
        </w:rPr>
        <w:t xml:space="preserve">Cliquer sur son nom, en haut à droite.</w:t>
      </w:r>
    </w:p>
    <w:p>
      <w:pPr>
        <w:pStyle w:val="ListParagraph"/>
        <w:keepNext/>
        <w:keepLines/>
        <w:numPr>
          <w:ilvl w:val="0"/>
          <w:numId w:val="3"/>
        </w:numPr>
        <w:spacing w:after="60"/>
      </w:pPr>
      <w:r>
        <w:rPr>
          <w:rFonts w:ascii="Arial" w:cs="Arial" w:eastAsia="Arial" w:hAnsi="Arial"/>
          <w:color w:val="3D3D3B"/>
          <w:sz w:val="21"/>
          <w:szCs w:val="21"/>
        </w:rPr>
        <w:t xml:space="preserve">Saisir le mot de passe actuel, puis deux fois le nouveau.</w:t>
      </w:r>
    </w:p>
    <w:p>
      <w:pPr>
        <w:pStyle w:val="ListParagraph"/>
        <w:keepNext w:val="false"/>
        <w:keepLines/>
        <w:numPr>
          <w:ilvl w:val="0"/>
          <w:numId w:val="3"/>
        </w:numPr>
        <w:spacing w:after="60"/>
      </w:pPr>
      <w:r>
        <w:rPr>
          <w:rFonts w:ascii="Arial" w:cs="Arial" w:eastAsia="Arial" w:hAnsi="Arial"/>
          <w:color w:val="3D3D3B"/>
          <w:sz w:val="21"/>
          <w:szCs w:val="21"/>
        </w:rPr>
        <w:t xml:space="preserve">Cliquer sur « Enregistrer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Douze caractères au moins, sans reprendre l'identifiant. Les autres sessions ouvertes sont fermées.</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Le menu principal</w:t>
      </w:r>
    </w:p>
    <w:p>
      <w:pPr>
        <w:keepNext/>
        <w:spacing w:after="60" w:before="80"/>
        <w:jc w:val="center"/>
      </w:pPr>
      <w:r>
        <w:drawing>
          <wp:inline distT="0" distB="0" distL="0" distR="0">
            <wp:extent cx="6096000" cy="3429000"/>
            <wp:effectExtent t="0" r="0" b="0" l="0"/>
            <wp:docPr id="1" name="Figure 3 — Le menu principal" descr="Figure 3 — Le menu principal" title="Figure 3 — Le menu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3 — Le menu principal</w:t>
      </w:r>
    </w:p>
    <w:p>
      <w:pPr>
        <w:pStyle w:val="ListParagraph"/>
        <w:keepNext/>
        <w:keepLines/>
        <w:numPr>
          <w:ilvl w:val="0"/>
          <w:numId w:val="4"/>
        </w:numPr>
        <w:spacing w:after="60"/>
      </w:pPr>
      <w:r>
        <w:rPr>
          <w:rFonts w:ascii="Arial" w:cs="Arial" w:eastAsia="Arial" w:hAnsi="Arial"/>
          <w:color w:val="3D3D3B"/>
          <w:sz w:val="21"/>
          <w:szCs w:val="21"/>
        </w:rPr>
        <w:t xml:space="preserve">Tableau de bord : la vue d'ensemble du portefeuille.</w:t>
      </w:r>
    </w:p>
    <w:p>
      <w:pPr>
        <w:pStyle w:val="ListParagraph"/>
        <w:keepNext/>
        <w:keepLines/>
        <w:numPr>
          <w:ilvl w:val="0"/>
          <w:numId w:val="4"/>
        </w:numPr>
        <w:spacing w:after="60"/>
      </w:pPr>
      <w:r>
        <w:rPr>
          <w:rFonts w:ascii="Arial" w:cs="Arial" w:eastAsia="Arial" w:hAnsi="Arial"/>
          <w:color w:val="3D3D3B"/>
          <w:sz w:val="21"/>
          <w:szCs w:val="21"/>
        </w:rPr>
        <w:t xml:space="preserve">Dossiers : les notations en cours et la file « À traiter ».</w:t>
      </w:r>
    </w:p>
    <w:p>
      <w:pPr>
        <w:pStyle w:val="ListParagraph"/>
        <w:keepNext/>
        <w:keepLines/>
        <w:numPr>
          <w:ilvl w:val="0"/>
          <w:numId w:val="4"/>
        </w:numPr>
        <w:spacing w:after="60"/>
      </w:pPr>
      <w:r>
        <w:rPr>
          <w:rFonts w:ascii="Arial" w:cs="Arial" w:eastAsia="Arial" w:hAnsi="Arial"/>
          <w:color w:val="3D3D3B"/>
          <w:sz w:val="21"/>
          <w:szCs w:val="21"/>
        </w:rPr>
        <w:t xml:space="preserve">Contreparties, Nouvelle notation, Modèles, Méthodologie.</w:t>
      </w:r>
    </w:p>
    <w:p>
      <w:pPr>
        <w:pStyle w:val="ListParagraph"/>
        <w:keepNext w:val="false"/>
        <w:keepLines/>
        <w:numPr>
          <w:ilvl w:val="0"/>
          <w:numId w:val="4"/>
        </w:numPr>
        <w:spacing w:after="60"/>
      </w:pPr>
      <w:r>
        <w:rPr>
          <w:rFonts w:ascii="Arial" w:cs="Arial" w:eastAsia="Arial" w:hAnsi="Arial"/>
          <w:color w:val="3D3D3B"/>
          <w:sz w:val="21"/>
          <w:szCs w:val="21"/>
        </w:rPr>
        <w:t xml:space="preserve">Administration : réservé aux administrateurs.</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Le nom de votre banque ou filiale s'affiche à côté du nom de l'outil : vous ne voyez que les dossiers de votre périmètre.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Lire le tableau de bord</w:t>
      </w:r>
    </w:p>
    <w:p>
      <w:pPr>
        <w:keepNext/>
        <w:spacing w:after="60" w:before="80"/>
        <w:jc w:val="center"/>
      </w:pPr>
      <w:r>
        <w:drawing>
          <wp:inline distT="0" distB="0" distL="0" distR="0">
            <wp:extent cx="6096000" cy="3429000"/>
            <wp:effectExtent t="0" r="0" b="0" l="0"/>
            <wp:docPr id="1" name="Figure 4 — Lire le tableau de bord" descr="Figure 4 — Lire le tableau de bord" title="Figure 4 — Lire le 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4 — Lire le tableau de bord</w:t>
      </w:r>
    </w:p>
    <w:p>
      <w:pPr>
        <w:pStyle w:val="ListParagraph"/>
        <w:keepNext/>
        <w:keepLines/>
        <w:numPr>
          <w:ilvl w:val="0"/>
          <w:numId w:val="5"/>
        </w:numPr>
        <w:spacing w:after="60"/>
      </w:pPr>
      <w:r>
        <w:rPr>
          <w:rFonts w:ascii="Arial" w:cs="Arial" w:eastAsia="Arial" w:hAnsi="Arial"/>
          <w:color w:val="3D3D3B"/>
          <w:sz w:val="21"/>
          <w:szCs w:val="21"/>
        </w:rPr>
        <w:t xml:space="preserve">Les compteurs : contreparties, notations validées, dossiers à valider.</w:t>
      </w:r>
    </w:p>
    <w:p>
      <w:pPr>
        <w:pStyle w:val="ListParagraph"/>
        <w:keepNext/>
        <w:keepLines/>
        <w:numPr>
          <w:ilvl w:val="0"/>
          <w:numId w:val="5"/>
        </w:numPr>
        <w:spacing w:after="60"/>
      </w:pPr>
      <w:r>
        <w:rPr>
          <w:rFonts w:ascii="Arial" w:cs="Arial" w:eastAsia="Arial" w:hAnsi="Arial"/>
          <w:color w:val="3D3D3B"/>
          <w:sz w:val="21"/>
          <w:szCs w:val="21"/>
        </w:rPr>
        <w:t xml:space="preserve">La distribution des grades : la dernière note validée de chaque contrepartie.</w:t>
      </w:r>
    </w:p>
    <w:p>
      <w:pPr>
        <w:pStyle w:val="ListParagraph"/>
        <w:keepNext w:val="false"/>
        <w:keepLines/>
        <w:numPr>
          <w:ilvl w:val="0"/>
          <w:numId w:val="5"/>
        </w:numPr>
        <w:spacing w:after="60"/>
      </w:pPr>
      <w:r>
        <w:rPr>
          <w:rFonts w:ascii="Arial" w:cs="Arial" w:eastAsia="Arial" w:hAnsi="Arial"/>
          <w:color w:val="3D3D3B"/>
          <w:sz w:val="21"/>
          <w:szCs w:val="21"/>
        </w:rPr>
        <w:t xml:space="preserve">Les dernières notations, avec la mention « proposée, non validée » le cas échéant.</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Seule une notation validée compte dans la distribution : une notation soumise n'est qu'une proposition.</w:t>
            </w:r>
          </w:p>
        </w:tc>
      </w:tr>
    </w:tbl>
    <w:p>
      <w:pPr>
        <w:spacing w:after="120"/>
      </w:pPr>
      <w:r>
        <w:rPr>
          <w:rFonts w:ascii="Arial" w:cs="Arial" w:eastAsia="Arial" w:hAnsi="Arial"/>
        </w:rPr>
        <w:t xml:space="preserve"/>
      </w:r>
    </w:p>
    <w:p>
      <w:pPr>
        <w:pStyle w:val="Heading1"/>
        <w:pageBreakBefore/>
      </w:pPr>
      <w:r>
        <w:rPr>
          <w:rFonts w:ascii="Arial" w:cs="Arial" w:eastAsia="Arial" w:hAnsi="Arial"/>
        </w:rPr>
        <w:t xml:space="preserve">2. Gérer les contreparties</w:t>
      </w:r>
    </w:p>
    <w:p>
      <w:pPr>
        <w:spacing w:after="120" w:line="276"/>
      </w:pPr>
      <w:r>
        <w:rPr>
          <w:rFonts w:ascii="Arial" w:cs="Arial" w:eastAsia="Arial" w:hAnsi="Arial"/>
          <w:color w:val="3D3D3B"/>
          <w:sz w:val="21"/>
          <w:szCs w:val="21"/>
        </w:rPr>
        <w:t xml:space="preserve">Créer une entreprise à noter, au besoin en faisant pré-remplir la fiche par l'IA.</w:t>
      </w:r>
    </w:p>
    <w:p>
      <w:pPr>
        <w:pStyle w:val="Heading2"/>
        <w:keepNext/>
      </w:pPr>
      <w:r>
        <w:rPr>
          <w:rFonts w:ascii="Arial" w:cs="Arial" w:eastAsia="Arial" w:hAnsi="Arial"/>
        </w:rPr>
        <w:t xml:space="preserve">La liste des contreparties</w:t>
      </w:r>
    </w:p>
    <w:p>
      <w:pPr>
        <w:keepNext/>
        <w:spacing w:after="60" w:before="80"/>
        <w:jc w:val="center"/>
      </w:pPr>
      <w:r>
        <w:drawing>
          <wp:inline distT="0" distB="0" distL="0" distR="0">
            <wp:extent cx="6096000" cy="3429000"/>
            <wp:effectExtent t="0" r="0" b="0" l="0"/>
            <wp:docPr id="1" name="Figure 5 — La liste des contreparties" descr="Figure 5 — La liste des contreparties" title="Figure 5 — La liste des contrepa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5 — La liste des contreparties</w:t>
      </w:r>
    </w:p>
    <w:p>
      <w:pPr>
        <w:pStyle w:val="ListParagraph"/>
        <w:keepNext/>
        <w:keepLines/>
        <w:numPr>
          <w:ilvl w:val="0"/>
          <w:numId w:val="6"/>
        </w:numPr>
        <w:spacing w:after="60"/>
      </w:pPr>
      <w:r>
        <w:rPr>
          <w:rFonts w:ascii="Arial" w:cs="Arial" w:eastAsia="Arial" w:hAnsi="Arial"/>
          <w:color w:val="3D3D3B"/>
          <w:sz w:val="21"/>
          <w:szCs w:val="21"/>
        </w:rPr>
        <w:t xml:space="preserve">Menu « Contreparties ».</w:t>
      </w:r>
    </w:p>
    <w:p>
      <w:pPr>
        <w:pStyle w:val="ListParagraph"/>
        <w:keepNext/>
        <w:keepLines/>
        <w:numPr>
          <w:ilvl w:val="0"/>
          <w:numId w:val="6"/>
        </w:numPr>
        <w:spacing w:after="60"/>
      </w:pPr>
      <w:r>
        <w:rPr>
          <w:rFonts w:ascii="Arial" w:cs="Arial" w:eastAsia="Arial" w:hAnsi="Arial"/>
          <w:color w:val="3D3D3B"/>
          <w:sz w:val="21"/>
          <w:szCs w:val="21"/>
        </w:rPr>
        <w:t xml:space="preserve">Rechercher par nom, ICE ou entité ; filtrer par segment.</w:t>
      </w:r>
    </w:p>
    <w:p>
      <w:pPr>
        <w:pStyle w:val="ListParagraph"/>
        <w:keepNext/>
        <w:keepLines/>
        <w:numPr>
          <w:ilvl w:val="0"/>
          <w:numId w:val="6"/>
        </w:numPr>
        <w:spacing w:after="60"/>
      </w:pPr>
      <w:r>
        <w:rPr>
          <w:rFonts w:ascii="Arial" w:cs="Arial" w:eastAsia="Arial" w:hAnsi="Arial"/>
          <w:color w:val="3D3D3B"/>
          <w:sz w:val="21"/>
          <w:szCs w:val="21"/>
        </w:rPr>
        <w:t xml:space="preserve">Le grade affiché est celui de la dernière notation validée.</w:t>
      </w:r>
    </w:p>
    <w:p>
      <w:pPr>
        <w:pStyle w:val="ListParagraph"/>
        <w:keepNext w:val="false"/>
        <w:keepLines/>
        <w:numPr>
          <w:ilvl w:val="0"/>
          <w:numId w:val="6"/>
        </w:numPr>
        <w:spacing w:after="60"/>
      </w:pPr>
      <w:r>
        <w:rPr>
          <w:rFonts w:ascii="Arial" w:cs="Arial" w:eastAsia="Arial" w:hAnsi="Arial"/>
          <w:color w:val="3D3D3B"/>
          <w:sz w:val="21"/>
          <w:szCs w:val="21"/>
        </w:rPr>
        <w:t xml:space="preserve">« Exporter CSV » produit la liste filtrée pour Excel.</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La mention « dossier en cours » ou « dossier à valider » signale une notation en préparation.</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Créer une contrepartie avec l'IA</w:t>
      </w:r>
    </w:p>
    <w:p>
      <w:pPr>
        <w:keepNext/>
        <w:spacing w:after="60" w:before="80"/>
        <w:jc w:val="center"/>
      </w:pPr>
      <w:r>
        <w:drawing>
          <wp:inline distT="0" distB="0" distL="0" distR="0">
            <wp:extent cx="6096000" cy="3429000"/>
            <wp:effectExtent t="0" r="0" b="0" l="0"/>
            <wp:docPr id="1" name="Figure 6 — Créer une contrepartie avec l'IA" descr="Figure 6 — Créer une contrepartie avec l'IA" title="Figure 6 — Créer une contrepartie avec 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6 — Créer une contrepartie avec l'IA</w:t>
      </w:r>
    </w:p>
    <w:p>
      <w:pPr>
        <w:pStyle w:val="ListParagraph"/>
        <w:keepNext/>
        <w:keepLines/>
        <w:numPr>
          <w:ilvl w:val="0"/>
          <w:numId w:val="7"/>
        </w:numPr>
        <w:spacing w:after="60"/>
      </w:pPr>
      <w:r>
        <w:rPr>
          <w:rFonts w:ascii="Arial" w:cs="Arial" w:eastAsia="Arial" w:hAnsi="Arial"/>
          <w:color w:val="3D3D3B"/>
          <w:sz w:val="21"/>
          <w:szCs w:val="21"/>
        </w:rPr>
        <w:t xml:space="preserve">Cliquer sur « + Nouvelle contrepartie ».</w:t>
      </w:r>
    </w:p>
    <w:p>
      <w:pPr>
        <w:pStyle w:val="ListParagraph"/>
        <w:keepNext/>
        <w:keepLines/>
        <w:numPr>
          <w:ilvl w:val="0"/>
          <w:numId w:val="7"/>
        </w:numPr>
        <w:spacing w:after="60"/>
      </w:pPr>
      <w:r>
        <w:rPr>
          <w:rFonts w:ascii="Arial" w:cs="Arial" w:eastAsia="Arial" w:hAnsi="Arial"/>
          <w:color w:val="3D3D3B"/>
          <w:sz w:val="21"/>
          <w:szCs w:val="21"/>
        </w:rPr>
        <w:t xml:space="preserve">Coller un texte (extrait RC, attestation ICE) ou joindre la pièce.</w:t>
      </w:r>
    </w:p>
    <w:p>
      <w:pPr>
        <w:pStyle w:val="ListParagraph"/>
        <w:keepNext w:val="false"/>
        <w:keepLines/>
        <w:numPr>
          <w:ilvl w:val="0"/>
          <w:numId w:val="7"/>
        </w:numPr>
        <w:spacing w:after="60"/>
      </w:pPr>
      <w:r>
        <w:rPr>
          <w:rFonts w:ascii="Arial" w:cs="Arial" w:eastAsia="Arial" w:hAnsi="Arial"/>
          <w:color w:val="3D3D3B"/>
          <w:sz w:val="21"/>
          <w:szCs w:val="21"/>
        </w:rPr>
        <w:t xml:space="preserve">Cliquer sur « Pré-remplir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Rubrique visible uniquement si l'administrateur a activé l'IA. Sans IA, la fiche se saisit à la main.</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Relire et enregistrer la fiche</w:t>
      </w:r>
    </w:p>
    <w:p>
      <w:pPr>
        <w:keepNext/>
        <w:spacing w:after="60" w:before="80"/>
        <w:jc w:val="center"/>
      </w:pPr>
      <w:r>
        <w:drawing>
          <wp:inline distT="0" distB="0" distL="0" distR="0">
            <wp:extent cx="6096000" cy="3429000"/>
            <wp:effectExtent t="0" r="0" b="0" l="0"/>
            <wp:docPr id="1" name="Figure 7 — Relire et enregistrer la fiche" descr="Figure 7 — Relire et enregistrer la fiche" title="Figure 7 — Relire et enregistrer la 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7 — Relire et enregistrer la fiche</w:t>
      </w:r>
    </w:p>
    <w:p>
      <w:pPr>
        <w:pStyle w:val="ListParagraph"/>
        <w:keepNext/>
        <w:keepLines/>
        <w:numPr>
          <w:ilvl w:val="0"/>
          <w:numId w:val="8"/>
        </w:numPr>
        <w:spacing w:after="60"/>
      </w:pPr>
      <w:r>
        <w:rPr>
          <w:rFonts w:ascii="Arial" w:cs="Arial" w:eastAsia="Arial" w:hAnsi="Arial"/>
          <w:color w:val="3D3D3B"/>
          <w:sz w:val="21"/>
          <w:szCs w:val="21"/>
        </w:rPr>
        <w:t xml:space="preserve">Relire chaque champ marqué « IA » et corriger si besoin.</w:t>
      </w:r>
    </w:p>
    <w:p>
      <w:pPr>
        <w:pStyle w:val="ListParagraph"/>
        <w:keepNext/>
        <w:keepLines/>
        <w:numPr>
          <w:ilvl w:val="0"/>
          <w:numId w:val="8"/>
        </w:numPr>
        <w:spacing w:after="60"/>
      </w:pPr>
      <w:r>
        <w:rPr>
          <w:rFonts w:ascii="Arial" w:cs="Arial" w:eastAsia="Arial" w:hAnsi="Arial"/>
          <w:color w:val="3D3D3B"/>
          <w:sz w:val="21"/>
          <w:szCs w:val="21"/>
        </w:rPr>
        <w:t xml:space="preserve">Choisir la banque ou filiale de rattachement.</w:t>
      </w:r>
    </w:p>
    <w:p>
      <w:pPr>
        <w:pStyle w:val="ListParagraph"/>
        <w:keepNext/>
        <w:keepLines/>
        <w:numPr>
          <w:ilvl w:val="0"/>
          <w:numId w:val="8"/>
        </w:numPr>
        <w:spacing w:after="60"/>
      </w:pPr>
      <w:r>
        <w:rPr>
          <w:rFonts w:ascii="Arial" w:cs="Arial" w:eastAsia="Arial" w:hAnsi="Arial"/>
          <w:color w:val="3D3D3B"/>
          <w:sz w:val="21"/>
          <w:szCs w:val="21"/>
        </w:rPr>
        <w:t xml:space="preserve">Compléter le pays et la devise des comptes si l'entreprise n'est pas au Maroc.</w:t>
      </w:r>
    </w:p>
    <w:p>
      <w:pPr>
        <w:pStyle w:val="ListParagraph"/>
        <w:keepNext w:val="false"/>
        <w:keepLines/>
        <w:numPr>
          <w:ilvl w:val="0"/>
          <w:numId w:val="8"/>
        </w:numPr>
        <w:spacing w:after="60"/>
      </w:pPr>
      <w:r>
        <w:rPr>
          <w:rFonts w:ascii="Arial" w:cs="Arial" w:eastAsia="Arial" w:hAnsi="Arial"/>
          <w:color w:val="3D3D3B"/>
          <w:sz w:val="21"/>
          <w:szCs w:val="21"/>
        </w:rPr>
        <w:t xml:space="preserve">Cliquer sur « Enregistrer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Rien n'est enregistré sans votre clic. Pays et devise vides : ceux de l'entité de rattachement.</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La fiche d'une contrepartie</w:t>
      </w:r>
    </w:p>
    <w:p>
      <w:pPr>
        <w:keepNext/>
        <w:spacing w:after="60" w:before="80"/>
        <w:jc w:val="center"/>
      </w:pPr>
      <w:r>
        <w:drawing>
          <wp:inline distT="0" distB="0" distL="0" distR="0">
            <wp:extent cx="6096000" cy="3429000"/>
            <wp:effectExtent t="0" r="0" b="0" l="0"/>
            <wp:docPr id="1" name="Figure 8 — La fiche d'une contrepartie" descr="Figure 8 — La fiche d'une contrepartie" title="Figure 8 — La fiche d'une contrepar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8 — La fiche d'une contrepartie</w:t>
      </w:r>
    </w:p>
    <w:p>
      <w:pPr>
        <w:pStyle w:val="ListParagraph"/>
        <w:keepNext/>
        <w:keepLines/>
        <w:numPr>
          <w:ilvl w:val="0"/>
          <w:numId w:val="9"/>
        </w:numPr>
        <w:spacing w:after="60"/>
      </w:pPr>
      <w:r>
        <w:rPr>
          <w:rFonts w:ascii="Arial" w:cs="Arial" w:eastAsia="Arial" w:hAnsi="Arial"/>
          <w:color w:val="3D3D3B"/>
          <w:sz w:val="21"/>
          <w:szCs w:val="21"/>
        </w:rPr>
        <w:t xml:space="preserve">Cliquer sur le nom d'une contrepartie.</w:t>
      </w:r>
    </w:p>
    <w:p>
      <w:pPr>
        <w:pStyle w:val="ListParagraph"/>
        <w:keepNext/>
        <w:keepLines/>
        <w:numPr>
          <w:ilvl w:val="0"/>
          <w:numId w:val="9"/>
        </w:numPr>
        <w:spacing w:after="60"/>
      </w:pPr>
      <w:r>
        <w:rPr>
          <w:rFonts w:ascii="Arial" w:cs="Arial" w:eastAsia="Arial" w:hAnsi="Arial"/>
          <w:color w:val="3D3D3B"/>
          <w:sz w:val="21"/>
          <w:szCs w:val="21"/>
        </w:rPr>
        <w:t xml:space="preserve">En haut : entité, pays, devise, identifiants.</w:t>
      </w:r>
    </w:p>
    <w:p>
      <w:pPr>
        <w:pStyle w:val="ListParagraph"/>
        <w:keepNext/>
        <w:keepLines/>
        <w:numPr>
          <w:ilvl w:val="0"/>
          <w:numId w:val="9"/>
        </w:numPr>
        <w:spacing w:after="60"/>
      </w:pPr>
      <w:r>
        <w:rPr>
          <w:rFonts w:ascii="Arial" w:cs="Arial" w:eastAsia="Arial" w:hAnsi="Arial"/>
          <w:color w:val="3D3D3B"/>
          <w:sz w:val="21"/>
          <w:szCs w:val="21"/>
        </w:rPr>
        <w:t xml:space="preserve">Les dossiers de notation, puis l'historique des notations.</w:t>
      </w:r>
    </w:p>
    <w:p>
      <w:pPr>
        <w:pStyle w:val="ListParagraph"/>
        <w:keepNext w:val="false"/>
        <w:keepLines/>
        <w:numPr>
          <w:ilvl w:val="0"/>
          <w:numId w:val="9"/>
        </w:numPr>
        <w:spacing w:after="60"/>
      </w:pPr>
      <w:r>
        <w:rPr>
          <w:rFonts w:ascii="Arial" w:cs="Arial" w:eastAsia="Arial" w:hAnsi="Arial"/>
          <w:color w:val="3D3D3B"/>
          <w:sz w:val="21"/>
          <w:szCs w:val="21"/>
        </w:rPr>
        <w:t xml:space="preserve">« détail » ouvre le résultat complet d'une notation.</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Quand deux notations validées existent, l'écran explique l'évolution entre les deux, critère par critère.</w:t>
            </w:r>
          </w:p>
        </w:tc>
      </w:tr>
    </w:tbl>
    <w:p>
      <w:pPr>
        <w:spacing w:after="120"/>
      </w:pPr>
      <w:r>
        <w:rPr>
          <w:rFonts w:ascii="Arial" w:cs="Arial" w:eastAsia="Arial" w:hAnsi="Arial"/>
        </w:rPr>
        <w:t xml:space="preserve"/>
      </w:r>
    </w:p>
    <w:p>
      <w:pPr>
        <w:pStyle w:val="Heading1"/>
        <w:pageBreakBefore/>
      </w:pPr>
      <w:r>
        <w:rPr>
          <w:rFonts w:ascii="Arial" w:cs="Arial" w:eastAsia="Arial" w:hAnsi="Arial"/>
        </w:rPr>
        <w:t xml:space="preserve">3. Noter une entreprise</w:t>
      </w:r>
    </w:p>
    <w:p>
      <w:pPr>
        <w:spacing w:after="120" w:line="276"/>
      </w:pPr>
      <w:r>
        <w:rPr>
          <w:rFonts w:ascii="Arial" w:cs="Arial" w:eastAsia="Arial" w:hAnsi="Arial"/>
          <w:color w:val="3D3D3B"/>
          <w:sz w:val="21"/>
          <w:szCs w:val="21"/>
        </w:rPr>
        <w:t xml:space="preserve">Le rôle de l'analyste : ouvrir le dossier, l'instruire avec ou sans l'IA, vérifier le calcul, soumettre.</w:t>
      </w:r>
    </w:p>
    <w:p>
      <w:pPr>
        <w:pStyle w:val="Heading2"/>
        <w:keepNext/>
      </w:pPr>
      <w:r>
        <w:rPr>
          <w:rFonts w:ascii="Arial" w:cs="Arial" w:eastAsia="Arial" w:hAnsi="Arial"/>
        </w:rPr>
        <w:t xml:space="preserve">Ouvrir un dossier de notation</w:t>
      </w:r>
    </w:p>
    <w:p>
      <w:pPr>
        <w:keepNext/>
        <w:spacing w:after="60" w:before="80"/>
        <w:jc w:val="center"/>
      </w:pPr>
      <w:r>
        <w:drawing>
          <wp:inline distT="0" distB="0" distL="0" distR="0">
            <wp:extent cx="6096000" cy="3429000"/>
            <wp:effectExtent t="0" r="0" b="0" l="0"/>
            <wp:docPr id="1" name="Figure 9 — Ouvrir un dossier de notation" descr="Figure 9 — Ouvrir un dossier de notation" title="Figure 9 — Ouvrir un dossier d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9 — Ouvrir un dossier de notation</w:t>
      </w:r>
    </w:p>
    <w:p>
      <w:pPr>
        <w:pStyle w:val="ListParagraph"/>
        <w:keepNext/>
        <w:keepLines/>
        <w:numPr>
          <w:ilvl w:val="0"/>
          <w:numId w:val="10"/>
        </w:numPr>
        <w:spacing w:after="60"/>
      </w:pPr>
      <w:r>
        <w:rPr>
          <w:rFonts w:ascii="Arial" w:cs="Arial" w:eastAsia="Arial" w:hAnsi="Arial"/>
          <w:color w:val="3D3D3B"/>
          <w:sz w:val="21"/>
          <w:szCs w:val="21"/>
        </w:rPr>
        <w:t xml:space="preserve">Menu « Nouvelle notation ».</w:t>
      </w:r>
    </w:p>
    <w:p>
      <w:pPr>
        <w:pStyle w:val="ListParagraph"/>
        <w:keepNext/>
        <w:keepLines/>
        <w:numPr>
          <w:ilvl w:val="0"/>
          <w:numId w:val="10"/>
        </w:numPr>
        <w:spacing w:after="60"/>
      </w:pPr>
      <w:r>
        <w:rPr>
          <w:rFonts w:ascii="Arial" w:cs="Arial" w:eastAsia="Arial" w:hAnsi="Arial"/>
          <w:color w:val="3D3D3B"/>
          <w:sz w:val="21"/>
          <w:szCs w:val="21"/>
        </w:rPr>
        <w:t xml:space="preserve">Choisir la contrepartie, le modèle et la date d'arrêté.</w:t>
      </w:r>
    </w:p>
    <w:p>
      <w:pPr>
        <w:pStyle w:val="ListParagraph"/>
        <w:keepNext w:val="false"/>
        <w:keepLines/>
        <w:numPr>
          <w:ilvl w:val="0"/>
          <w:numId w:val="10"/>
        </w:numPr>
        <w:spacing w:after="60"/>
      </w:pPr>
      <w:r>
        <w:rPr>
          <w:rFonts w:ascii="Arial" w:cs="Arial" w:eastAsia="Arial" w:hAnsi="Arial"/>
          <w:color w:val="3D3D3B"/>
          <w:sz w:val="21"/>
          <w:szCs w:val="21"/>
        </w:rPr>
        <w:t xml:space="preserve">Cliquer sur « Ouvrir le dossier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Un seul dossier en cours par contrepartie. La saisie du dernier dossier validé est reprise, à mettre à jour.</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Le dossier en brouillon</w:t>
      </w:r>
    </w:p>
    <w:p>
      <w:pPr>
        <w:keepNext/>
        <w:spacing w:after="60" w:before="80"/>
        <w:jc w:val="center"/>
      </w:pPr>
      <w:r>
        <w:drawing>
          <wp:inline distT="0" distB="0" distL="0" distR="0">
            <wp:extent cx="6096000" cy="3429000"/>
            <wp:effectExtent t="0" r="0" b="0" l="0"/>
            <wp:docPr id="1" name="Figure 10 — Le dossier en brouillon" descr="Figure 10 — Le dossier en brouillon" title="Figure 10 — Le dossier en brouil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10 — Le dossier en brouillon</w:t>
      </w:r>
    </w:p>
    <w:p>
      <w:pPr>
        <w:pStyle w:val="ListParagraph"/>
        <w:keepNext/>
        <w:keepLines/>
        <w:numPr>
          <w:ilvl w:val="0"/>
          <w:numId w:val="11"/>
        </w:numPr>
        <w:spacing w:after="60"/>
      </w:pPr>
      <w:r>
        <w:rPr>
          <w:rFonts w:ascii="Arial" w:cs="Arial" w:eastAsia="Arial" w:hAnsi="Arial"/>
          <w:color w:val="3D3D3B"/>
          <w:sz w:val="21"/>
          <w:szCs w:val="21"/>
        </w:rPr>
        <w:t xml:space="preserve">À gauche : la grille de notation, domaine par domaine.</w:t>
      </w:r>
    </w:p>
    <w:p>
      <w:pPr>
        <w:pStyle w:val="ListParagraph"/>
        <w:keepNext/>
        <w:keepLines/>
        <w:numPr>
          <w:ilvl w:val="0"/>
          <w:numId w:val="11"/>
        </w:numPr>
        <w:spacing w:after="60"/>
      </w:pPr>
      <w:r>
        <w:rPr>
          <w:rFonts w:ascii="Arial" w:cs="Arial" w:eastAsia="Arial" w:hAnsi="Arial"/>
          <w:color w:val="3D3D3B"/>
          <w:sz w:val="21"/>
          <w:szCs w:val="21"/>
        </w:rPr>
        <w:t xml:space="preserve">À droite : les pièces et l'assistance de l'IA.</w:t>
      </w:r>
    </w:p>
    <w:p>
      <w:pPr>
        <w:pStyle w:val="ListParagraph"/>
        <w:keepNext w:val="false"/>
        <w:keepLines/>
        <w:numPr>
          <w:ilvl w:val="0"/>
          <w:numId w:val="11"/>
        </w:numPr>
        <w:spacing w:after="60"/>
      </w:pPr>
      <w:r>
        <w:rPr>
          <w:rFonts w:ascii="Arial" w:cs="Arial" w:eastAsia="Arial" w:hAnsi="Arial"/>
          <w:color w:val="3D3D3B"/>
          <w:sz w:val="21"/>
          <w:szCs w:val="21"/>
        </w:rPr>
        <w:t xml:space="preserve">En bas : les boutons Enregistrer, Aperçu et Soumettre.</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La barre de progression indique les critères renseignés et signale en rouge les trois données critiques manquantes.</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Le cadrage du dossier</w:t>
      </w:r>
    </w:p>
    <w:p>
      <w:pPr>
        <w:keepNext/>
        <w:spacing w:after="60" w:before="80"/>
        <w:jc w:val="center"/>
      </w:pPr>
      <w:r>
        <w:drawing>
          <wp:inline distT="0" distB="0" distL="0" distR="0">
            <wp:extent cx="6096000" cy="3429000"/>
            <wp:effectExtent t="0" r="0" b="0" l="0"/>
            <wp:docPr id="1" name="Figure 11 — Le cadrage du dossier" descr="Figure 11 — Le cadrage du dossier" title="Figure 11 — Le cadrage du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11 — Le cadrage du dossier</w:t>
      </w:r>
    </w:p>
    <w:p>
      <w:pPr>
        <w:pStyle w:val="ListParagraph"/>
        <w:keepNext/>
        <w:keepLines/>
        <w:numPr>
          <w:ilvl w:val="0"/>
          <w:numId w:val="12"/>
        </w:numPr>
        <w:spacing w:after="60"/>
      </w:pPr>
      <w:r>
        <w:rPr>
          <w:rFonts w:ascii="Arial" w:cs="Arial" w:eastAsia="Arial" w:hAnsi="Arial"/>
          <w:color w:val="3D3D3B"/>
          <w:sz w:val="21"/>
          <w:szCs w:val="21"/>
        </w:rPr>
        <w:t xml:space="preserve">Vérifier le segment (PME par défaut) et la date d'arrêté.</w:t>
      </w:r>
    </w:p>
    <w:p>
      <w:pPr>
        <w:pStyle w:val="ListParagraph"/>
        <w:keepNext/>
        <w:keepLines/>
        <w:numPr>
          <w:ilvl w:val="0"/>
          <w:numId w:val="12"/>
        </w:numPr>
        <w:spacing w:after="60"/>
      </w:pPr>
      <w:r>
        <w:rPr>
          <w:rFonts w:ascii="Arial" w:cs="Arial" w:eastAsia="Arial" w:hAnsi="Arial"/>
          <w:color w:val="3D3D3B"/>
          <w:sz w:val="21"/>
          <w:szCs w:val="21"/>
        </w:rPr>
        <w:t xml:space="preserve">Saisir le chiffre d'affaires et les engagements bancaires, dans la devise de la contrepartie.</w:t>
      </w:r>
    </w:p>
    <w:p>
      <w:pPr>
        <w:pStyle w:val="ListParagraph"/>
        <w:keepNext w:val="false"/>
        <w:keepLines/>
        <w:numPr>
          <w:ilvl w:val="0"/>
          <w:numId w:val="12"/>
        </w:numPr>
        <w:spacing w:after="60"/>
      </w:pPr>
      <w:r>
        <w:rPr>
          <w:rFonts w:ascii="Arial" w:cs="Arial" w:eastAsia="Arial" w:hAnsi="Arial"/>
          <w:color w:val="3D3D3B"/>
          <w:sz w:val="21"/>
          <w:szCs w:val="21"/>
        </w:rPr>
        <w:t xml:space="preserve">Renseigner l'ancienneté de l'entreprise.</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Les montants en devise étrangère sont convertis en MAD au cours de la date d'arrêté ; la conversion est conservée dans le dossier.</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Ajouter les pièces</w:t>
      </w:r>
    </w:p>
    <w:p>
      <w:pPr>
        <w:keepNext/>
        <w:spacing w:after="60" w:before="80"/>
        <w:jc w:val="center"/>
      </w:pPr>
      <w:r>
        <w:drawing>
          <wp:inline distT="0" distB="0" distL="0" distR="0">
            <wp:extent cx="6096000" cy="3429000"/>
            <wp:effectExtent t="0" r="0" b="0" l="0"/>
            <wp:docPr id="1" name="Figure 12 — Ajouter les pièces" descr="Figure 12 — Ajouter les pièces" title="Figure 12 — Ajouter les piè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12 — Ajouter les pièces</w:t>
      </w:r>
    </w:p>
    <w:p>
      <w:pPr>
        <w:pStyle w:val="ListParagraph"/>
        <w:keepNext/>
        <w:keepLines/>
        <w:numPr>
          <w:ilvl w:val="0"/>
          <w:numId w:val="13"/>
        </w:numPr>
        <w:spacing w:after="60"/>
      </w:pPr>
      <w:r>
        <w:rPr>
          <w:rFonts w:ascii="Arial" w:cs="Arial" w:eastAsia="Arial" w:hAnsi="Arial"/>
          <w:color w:val="3D3D3B"/>
          <w:sz w:val="21"/>
          <w:szCs w:val="21"/>
        </w:rPr>
        <w:t xml:space="preserve">Cliquer sur « Choisir des fichiers » dans « Pièces du dossier ».</w:t>
      </w:r>
    </w:p>
    <w:p>
      <w:pPr>
        <w:pStyle w:val="ListParagraph"/>
        <w:keepNext/>
        <w:keepLines/>
        <w:numPr>
          <w:ilvl w:val="0"/>
          <w:numId w:val="13"/>
        </w:numPr>
        <w:spacing w:after="60"/>
      </w:pPr>
      <w:r>
        <w:rPr>
          <w:rFonts w:ascii="Arial" w:cs="Arial" w:eastAsia="Arial" w:hAnsi="Arial"/>
          <w:color w:val="3D3D3B"/>
          <w:sz w:val="21"/>
          <w:szCs w:val="21"/>
        </w:rPr>
        <w:t xml:space="preserve">Sélectionner les états financiers, la liasse, le rapport de gestion…</w:t>
      </w:r>
    </w:p>
    <w:p>
      <w:pPr>
        <w:pStyle w:val="ListParagraph"/>
        <w:keepNext w:val="false"/>
        <w:keepLines/>
        <w:numPr>
          <w:ilvl w:val="0"/>
          <w:numId w:val="13"/>
        </w:numPr>
        <w:spacing w:after="60"/>
      </w:pPr>
      <w:r>
        <w:rPr>
          <w:rFonts w:ascii="Arial" w:cs="Arial" w:eastAsia="Arial" w:hAnsi="Arial"/>
          <w:color w:val="3D3D3B"/>
          <w:sz w:val="21"/>
          <w:szCs w:val="21"/>
        </w:rPr>
        <w:t xml:space="preserve">Cliquer sur « Ajouter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PDF, PNG, JPEG, texte ou CSV ; 4 Mo au plus par pièce. Chaque pièce est conservée avec son empreinte.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Demander des propositions à l'IA</w:t>
      </w:r>
    </w:p>
    <w:p>
      <w:pPr>
        <w:keepNext/>
        <w:spacing w:after="60" w:before="80"/>
        <w:jc w:val="center"/>
      </w:pPr>
      <w:r>
        <w:drawing>
          <wp:inline distT="0" distB="0" distL="0" distR="0">
            <wp:extent cx="6096000" cy="3429000"/>
            <wp:effectExtent t="0" r="0" b="0" l="0"/>
            <wp:docPr id="1" name="Figure 13 — Demander des propositions à l'IA" descr="Figure 13 — Demander des propositions à l'IA" title="Figure 13 — Demander des propositions à 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13 — Demander des propositions à l'IA</w:t>
      </w:r>
    </w:p>
    <w:p>
      <w:pPr>
        <w:pStyle w:val="ListParagraph"/>
        <w:keepNext/>
        <w:keepLines/>
        <w:numPr>
          <w:ilvl w:val="0"/>
          <w:numId w:val="14"/>
        </w:numPr>
        <w:spacing w:after="60"/>
      </w:pPr>
      <w:r>
        <w:rPr>
          <w:rFonts w:ascii="Arial" w:cs="Arial" w:eastAsia="Arial" w:hAnsi="Arial"/>
          <w:color w:val="3D3D3B"/>
          <w:sz w:val="21"/>
          <w:szCs w:val="21"/>
        </w:rPr>
        <w:t xml:space="preserve">Cocher les pièces à faire lire.</w:t>
      </w:r>
    </w:p>
    <w:p>
      <w:pPr>
        <w:pStyle w:val="ListParagraph"/>
        <w:keepNext/>
        <w:keepLines/>
        <w:numPr>
          <w:ilvl w:val="0"/>
          <w:numId w:val="14"/>
        </w:numPr>
        <w:spacing w:after="60"/>
      </w:pPr>
      <w:r>
        <w:rPr>
          <w:rFonts w:ascii="Arial" w:cs="Arial" w:eastAsia="Arial" w:hAnsi="Arial"/>
          <w:color w:val="3D3D3B"/>
          <w:sz w:val="21"/>
          <w:szCs w:val="21"/>
        </w:rPr>
        <w:t xml:space="preserve">Ajouter au besoin des éléments : compte rendu de visite, faits récents.</w:t>
      </w:r>
    </w:p>
    <w:p>
      <w:pPr>
        <w:pStyle w:val="ListParagraph"/>
        <w:keepNext w:val="false"/>
        <w:keepLines/>
        <w:numPr>
          <w:ilvl w:val="0"/>
          <w:numId w:val="14"/>
        </w:numPr>
        <w:spacing w:after="60"/>
      </w:pPr>
      <w:r>
        <w:rPr>
          <w:rFonts w:ascii="Arial" w:cs="Arial" w:eastAsia="Arial" w:hAnsi="Arial"/>
          <w:color w:val="3D3D3B"/>
          <w:sz w:val="21"/>
          <w:szCs w:val="21"/>
        </w:rPr>
        <w:t xml:space="preserve">Cliquer sur « Proposer des valeurs » (jusqu'à deux minutes).</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L'IA ne note pas l'entreprise : elle propose des valeurs pour la grille, avec leur source et leur calcul.</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Examiner les propositions</w:t>
      </w:r>
    </w:p>
    <w:p>
      <w:pPr>
        <w:keepNext/>
        <w:spacing w:after="60" w:before="80"/>
        <w:jc w:val="center"/>
      </w:pPr>
      <w:r>
        <w:drawing>
          <wp:inline distT="0" distB="0" distL="0" distR="0">
            <wp:extent cx="6096000" cy="3429000"/>
            <wp:effectExtent t="0" r="0" b="0" l="0"/>
            <wp:docPr id="1" name="Figure 14 — Examiner les propositions" descr="Figure 14 — Examiner les propositions" title="Figure 14 — Examiner les pro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14 — Examiner les propositions</w:t>
      </w:r>
    </w:p>
    <w:p>
      <w:pPr>
        <w:pStyle w:val="ListParagraph"/>
        <w:keepNext/>
        <w:keepLines/>
        <w:numPr>
          <w:ilvl w:val="0"/>
          <w:numId w:val="15"/>
        </w:numPr>
        <w:spacing w:after="60"/>
      </w:pPr>
      <w:r>
        <w:rPr>
          <w:rFonts w:ascii="Arial" w:cs="Arial" w:eastAsia="Arial" w:hAnsi="Arial"/>
          <w:color w:val="3D3D3B"/>
          <w:sz w:val="21"/>
          <w:szCs w:val="21"/>
        </w:rPr>
        <w:t xml:space="preserve">Lire pour chaque proposition la valeur, la source et la justification.</w:t>
      </w:r>
    </w:p>
    <w:p>
      <w:pPr>
        <w:pStyle w:val="ListParagraph"/>
        <w:keepNext/>
        <w:keepLines/>
        <w:numPr>
          <w:ilvl w:val="0"/>
          <w:numId w:val="15"/>
        </w:numPr>
        <w:spacing w:after="60"/>
      </w:pPr>
      <w:r>
        <w:rPr>
          <w:rFonts w:ascii="Arial" w:cs="Arial" w:eastAsia="Arial" w:hAnsi="Arial"/>
          <w:color w:val="3D3D3B"/>
          <w:sz w:val="21"/>
          <w:szCs w:val="21"/>
        </w:rPr>
        <w:t xml:space="preserve">Cliquer sur « Accepter » ou « Refuser ».</w:t>
      </w:r>
    </w:p>
    <w:p>
      <w:pPr>
        <w:pStyle w:val="ListParagraph"/>
        <w:keepNext w:val="false"/>
        <w:keepLines/>
        <w:numPr>
          <w:ilvl w:val="0"/>
          <w:numId w:val="15"/>
        </w:numPr>
        <w:spacing w:after="60"/>
      </w:pPr>
      <w:r>
        <w:rPr>
          <w:rFonts w:ascii="Arial" w:cs="Arial" w:eastAsia="Arial" w:hAnsi="Arial"/>
          <w:color w:val="3D3D3B"/>
          <w:sz w:val="21"/>
          <w:szCs w:val="21"/>
        </w:rPr>
        <w:t xml:space="preserve">« Accepter celles ≥ 80 % » accepte d'un coup les plus sûres.</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Une proposition hors grille ou invalide est écartée automatiquement. Décider d'une proposition vous rend contributeur du dossier.</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Contrôler la grille</w:t>
      </w:r>
    </w:p>
    <w:p>
      <w:pPr>
        <w:keepNext/>
        <w:spacing w:after="60" w:before="80"/>
        <w:jc w:val="center"/>
      </w:pPr>
      <w:r>
        <w:drawing>
          <wp:inline distT="0" distB="0" distL="0" distR="0">
            <wp:extent cx="6096000" cy="3429000"/>
            <wp:effectExtent t="0" r="0" b="0" l="0"/>
            <wp:docPr id="1" name="Figure 15 — Contrôler la grille" descr="Figure 15 — Contrôler la grille" title="Figure 15 — Contrôler la gr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15 — Contrôler la grille</w:t>
      </w:r>
    </w:p>
    <w:p>
      <w:pPr>
        <w:pStyle w:val="ListParagraph"/>
        <w:keepNext/>
        <w:keepLines/>
        <w:numPr>
          <w:ilvl w:val="0"/>
          <w:numId w:val="16"/>
        </w:numPr>
        <w:spacing w:after="60"/>
      </w:pPr>
      <w:r>
        <w:rPr>
          <w:rFonts w:ascii="Arial" w:cs="Arial" w:eastAsia="Arial" w:hAnsi="Arial"/>
          <w:color w:val="3D3D3B"/>
          <w:sz w:val="21"/>
          <w:szCs w:val="21"/>
        </w:rPr>
        <w:t xml:space="preserve">Les valeurs acceptées portent le repère « IA ».</w:t>
      </w:r>
    </w:p>
    <w:p>
      <w:pPr>
        <w:pStyle w:val="ListParagraph"/>
        <w:keepNext/>
        <w:keepLines/>
        <w:numPr>
          <w:ilvl w:val="0"/>
          <w:numId w:val="16"/>
        </w:numPr>
        <w:spacing w:after="60"/>
      </w:pPr>
      <w:r>
        <w:rPr>
          <w:rFonts w:ascii="Arial" w:cs="Arial" w:eastAsia="Arial" w:hAnsi="Arial"/>
          <w:color w:val="3D3D3B"/>
          <w:sz w:val="21"/>
          <w:szCs w:val="21"/>
        </w:rPr>
        <w:t xml:space="preserve">Vérifier chaque valeur ; la modifier si nécessaire.</w:t>
      </w:r>
    </w:p>
    <w:p>
      <w:pPr>
        <w:pStyle w:val="ListParagraph"/>
        <w:keepNext w:val="false"/>
        <w:keepLines/>
        <w:numPr>
          <w:ilvl w:val="0"/>
          <w:numId w:val="16"/>
        </w:numPr>
        <w:spacing w:after="60"/>
      </w:pPr>
      <w:r>
        <w:rPr>
          <w:rFonts w:ascii="Arial" w:cs="Arial" w:eastAsia="Arial" w:hAnsi="Arial"/>
          <w:color w:val="3D3D3B"/>
          <w:sz w:val="21"/>
          <w:szCs w:val="21"/>
        </w:rPr>
        <w:t xml:space="preserve">Compléter les critères restants.</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Le barème du ratio est rappelé sous la valeur saisie.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Noter un critère qualitatif</w:t>
      </w:r>
    </w:p>
    <w:p>
      <w:pPr>
        <w:keepNext/>
        <w:spacing w:after="60" w:before="80"/>
        <w:jc w:val="center"/>
      </w:pPr>
      <w:r>
        <w:drawing>
          <wp:inline distT="0" distB="0" distL="0" distR="0">
            <wp:extent cx="6096000" cy="3429000"/>
            <wp:effectExtent t="0" r="0" b="0" l="0"/>
            <wp:docPr id="1" name="Figure 16 — Noter un critère qualitatif" descr="Figure 16 — Noter un critère qualitatif" title="Figure 16 — Noter un critère qualit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16 — Noter un critère qualitatif</w:t>
      </w:r>
    </w:p>
    <w:p>
      <w:pPr>
        <w:pStyle w:val="ListParagraph"/>
        <w:keepNext/>
        <w:keepLines/>
        <w:numPr>
          <w:ilvl w:val="0"/>
          <w:numId w:val="17"/>
        </w:numPr>
        <w:spacing w:after="60"/>
      </w:pPr>
      <w:r>
        <w:rPr>
          <w:rFonts w:ascii="Arial" w:cs="Arial" w:eastAsia="Arial" w:hAnsi="Arial"/>
          <w:color w:val="3D3D3B"/>
          <w:sz w:val="21"/>
          <w:szCs w:val="21"/>
        </w:rPr>
        <w:t xml:space="preserve">Ouvrir la liste de repères du critère.</w:t>
      </w:r>
    </w:p>
    <w:p>
      <w:pPr>
        <w:pStyle w:val="ListParagraph"/>
        <w:keepNext/>
        <w:keepLines/>
        <w:numPr>
          <w:ilvl w:val="0"/>
          <w:numId w:val="17"/>
        </w:numPr>
        <w:spacing w:after="60"/>
      </w:pPr>
      <w:r>
        <w:rPr>
          <w:rFonts w:ascii="Arial" w:cs="Arial" w:eastAsia="Arial" w:hAnsi="Arial"/>
          <w:color w:val="3D3D3B"/>
          <w:sz w:val="21"/>
          <w:szCs w:val="21"/>
        </w:rPr>
        <w:t xml:space="preserve">Choisir le repère (100, 75, 50, 25 ou 0) qui décrit les faits.</w:t>
      </w:r>
    </w:p>
    <w:p>
      <w:pPr>
        <w:pStyle w:val="ListParagraph"/>
        <w:keepNext w:val="false"/>
        <w:keepLines/>
        <w:numPr>
          <w:ilvl w:val="0"/>
          <w:numId w:val="17"/>
        </w:numPr>
        <w:spacing w:after="60"/>
      </w:pPr>
      <w:r>
        <w:rPr>
          <w:rFonts w:ascii="Arial" w:cs="Arial" w:eastAsia="Arial" w:hAnsi="Arial"/>
          <w:color w:val="3D3D3B"/>
          <w:sz w:val="21"/>
          <w:szCs w:val="21"/>
        </w:rPr>
        <w:t xml:space="preserve">Justifier ce choix dans les pièces du dossier.</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Les repères sont écrits : deux analystes face aux mêmes faits doivent choisir le même.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Qualifier le statut d'une donnée</w:t>
      </w:r>
    </w:p>
    <w:p>
      <w:pPr>
        <w:keepNext/>
        <w:spacing w:after="60" w:before="80"/>
        <w:jc w:val="center"/>
      </w:pPr>
      <w:r>
        <w:drawing>
          <wp:inline distT="0" distB="0" distL="0" distR="0">
            <wp:extent cx="6096000" cy="3429000"/>
            <wp:effectExtent t="0" r="0" b="0" l="0"/>
            <wp:docPr id="1" name="Figure 17 — Qualifier le statut d'une donnée" descr="Figure 17 — Qualifier le statut d'une donnée" title="Figure 17 — Qualifier le statut d'une donn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17 — Qualifier le statut d'une donnée</w:t>
      </w:r>
    </w:p>
    <w:p>
      <w:pPr>
        <w:pStyle w:val="ListParagraph"/>
        <w:keepNext/>
        <w:keepLines/>
        <w:numPr>
          <w:ilvl w:val="0"/>
          <w:numId w:val="18"/>
        </w:numPr>
        <w:spacing w:after="60"/>
      </w:pPr>
      <w:r>
        <w:rPr>
          <w:rFonts w:ascii="Arial" w:cs="Arial" w:eastAsia="Arial" w:hAnsi="Arial"/>
          <w:color w:val="3D3D3B"/>
          <w:sz w:val="21"/>
          <w:szCs w:val="21"/>
        </w:rPr>
        <w:t xml:space="preserve">« Disponible » : la donnée est observée.</w:t>
      </w:r>
    </w:p>
    <w:p>
      <w:pPr>
        <w:pStyle w:val="ListParagraph"/>
        <w:keepNext/>
        <w:keepLines/>
        <w:numPr>
          <w:ilvl w:val="0"/>
          <w:numId w:val="18"/>
        </w:numPr>
        <w:spacing w:after="60"/>
      </w:pPr>
      <w:r>
        <w:rPr>
          <w:rFonts w:ascii="Arial" w:cs="Arial" w:eastAsia="Arial" w:hAnsi="Arial"/>
          <w:color w:val="3D3D3B"/>
          <w:sz w:val="21"/>
          <w:szCs w:val="21"/>
        </w:rPr>
        <w:t xml:space="preserve">« Estimée » : comptée dans le score, pas dans la couverture.</w:t>
      </w:r>
    </w:p>
    <w:p>
      <w:pPr>
        <w:pStyle w:val="ListParagraph"/>
        <w:keepNext w:val="false"/>
        <w:keepLines/>
        <w:numPr>
          <w:ilvl w:val="0"/>
          <w:numId w:val="18"/>
        </w:numPr>
        <w:spacing w:after="60"/>
      </w:pPr>
      <w:r>
        <w:rPr>
          <w:rFonts w:ascii="Arial" w:cs="Arial" w:eastAsia="Arial" w:hAnsi="Arial"/>
          <w:color w:val="3D3D3B"/>
          <w:sz w:val="21"/>
          <w:szCs w:val="21"/>
        </w:rPr>
        <w:t xml:space="preserve">« Manquante », « Périmée » : score prudent de 25 appliqué.</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Sans fonds propres, dette nette sur EBE ou retards de paiement, aucune note n'est produite.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Enregistrer le brouillon</w:t>
      </w:r>
    </w:p>
    <w:p>
      <w:pPr>
        <w:keepNext/>
        <w:spacing w:after="60" w:before="80"/>
        <w:jc w:val="center"/>
      </w:pPr>
      <w:r>
        <w:drawing>
          <wp:inline distT="0" distB="0" distL="0" distR="0">
            <wp:extent cx="6096000" cy="3429000"/>
            <wp:effectExtent t="0" r="0" b="0" l="0"/>
            <wp:docPr id="1" name="Figure 18 — Enregistrer le brouillon" descr="Figure 18 — Enregistrer le brouillon" title="Figure 18 — Enregistrer le brouil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18 — Enregistrer le brouillon</w:t>
      </w:r>
    </w:p>
    <w:p>
      <w:pPr>
        <w:pStyle w:val="ListParagraph"/>
        <w:keepNext/>
        <w:keepLines/>
        <w:numPr>
          <w:ilvl w:val="0"/>
          <w:numId w:val="19"/>
        </w:numPr>
        <w:spacing w:after="60"/>
      </w:pPr>
      <w:r>
        <w:rPr>
          <w:rFonts w:ascii="Arial" w:cs="Arial" w:eastAsia="Arial" w:hAnsi="Arial"/>
          <w:color w:val="3D3D3B"/>
          <w:sz w:val="21"/>
          <w:szCs w:val="21"/>
        </w:rPr>
        <w:t xml:space="preserve">Cliquer sur « Enregistrer le brouillon » régulièrement.</w:t>
      </w:r>
    </w:p>
    <w:p>
      <w:pPr>
        <w:pStyle w:val="ListParagraph"/>
        <w:keepNext w:val="false"/>
        <w:keepLines/>
        <w:numPr>
          <w:ilvl w:val="0"/>
          <w:numId w:val="19"/>
        </w:numPr>
        <w:spacing w:after="60"/>
      </w:pPr>
      <w:r>
        <w:rPr>
          <w:rFonts w:ascii="Arial" w:cs="Arial" w:eastAsia="Arial" w:hAnsi="Arial"/>
          <w:color w:val="3D3D3B"/>
          <w:sz w:val="21"/>
          <w:szCs w:val="21"/>
        </w:rPr>
        <w:t xml:space="preserve">Le message « Brouillon enregistré » confirme.</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 Modifications non enregistrées » signale une saisie à sauvegarder ; le navigateur prévient avant de quitter la page.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Vérifier avec l'aperçu</w:t>
      </w:r>
    </w:p>
    <w:p>
      <w:pPr>
        <w:keepNext/>
        <w:spacing w:after="60" w:before="80"/>
        <w:jc w:val="center"/>
      </w:pPr>
      <w:r>
        <w:drawing>
          <wp:inline distT="0" distB="0" distL="0" distR="0">
            <wp:extent cx="6096000" cy="3429000"/>
            <wp:effectExtent t="0" r="0" b="0" l="0"/>
            <wp:docPr id="1" name="Figure 19 — Vérifier avec l'aperçu" descr="Figure 19 — Vérifier avec l'aperçu" title="Figure 19 — Vérifier avec l'aper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19 — Vérifier avec l'aperçu</w:t>
      </w:r>
    </w:p>
    <w:p>
      <w:pPr>
        <w:pStyle w:val="ListParagraph"/>
        <w:keepNext/>
        <w:keepLines/>
        <w:numPr>
          <w:ilvl w:val="0"/>
          <w:numId w:val="20"/>
        </w:numPr>
        <w:spacing w:after="60"/>
      </w:pPr>
      <w:r>
        <w:rPr>
          <w:rFonts w:ascii="Arial" w:cs="Arial" w:eastAsia="Arial" w:hAnsi="Arial"/>
          <w:color w:val="3D3D3B"/>
          <w:sz w:val="21"/>
          <w:szCs w:val="21"/>
        </w:rPr>
        <w:t xml:space="preserve">Cliquer sur « Aperçu du calcul ».</w:t>
      </w:r>
    </w:p>
    <w:p>
      <w:pPr>
        <w:pStyle w:val="ListParagraph"/>
        <w:keepNext/>
        <w:keepLines/>
        <w:numPr>
          <w:ilvl w:val="0"/>
          <w:numId w:val="20"/>
        </w:numPr>
        <w:spacing w:after="60"/>
      </w:pPr>
      <w:r>
        <w:rPr>
          <w:rFonts w:ascii="Arial" w:cs="Arial" w:eastAsia="Arial" w:hAnsi="Arial"/>
          <w:color w:val="3D3D3B"/>
          <w:sz w:val="21"/>
          <w:szCs w:val="21"/>
        </w:rPr>
        <w:t xml:space="preserve">Lire le grade, le score brut et la couverture.</w:t>
      </w:r>
    </w:p>
    <w:p>
      <w:pPr>
        <w:pStyle w:val="ListParagraph"/>
        <w:keepNext w:val="false"/>
        <w:keepLines/>
        <w:numPr>
          <w:ilvl w:val="0"/>
          <w:numId w:val="20"/>
        </w:numPr>
        <w:spacing w:after="60"/>
      </w:pPr>
      <w:r>
        <w:rPr>
          <w:rFonts w:ascii="Arial" w:cs="Arial" w:eastAsia="Arial" w:hAnsi="Arial"/>
          <w:color w:val="3D3D3B"/>
          <w:sz w:val="21"/>
          <w:szCs w:val="21"/>
        </w:rPr>
        <w:t xml:space="preserve">Corriger la saisie si un point surprend.</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L'aperçu n'enregistre rien. La soumission recalcule exactement la même requête.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Soumettre à validation</w:t>
      </w:r>
    </w:p>
    <w:p>
      <w:pPr>
        <w:keepNext/>
        <w:spacing w:after="60" w:before="80"/>
        <w:jc w:val="center"/>
      </w:pPr>
      <w:r>
        <w:drawing>
          <wp:inline distT="0" distB="0" distL="0" distR="0">
            <wp:extent cx="6096000" cy="3429000"/>
            <wp:effectExtent t="0" r="0" b="0" l="0"/>
            <wp:docPr id="1" name="Figure 20 — Soumettre à validation" descr="Figure 20 — Soumettre à validation" title="Figure 20 — Soumettre à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20 — Soumettre à validation</w:t>
      </w:r>
    </w:p>
    <w:p>
      <w:pPr>
        <w:pStyle w:val="ListParagraph"/>
        <w:keepNext/>
        <w:keepLines/>
        <w:numPr>
          <w:ilvl w:val="0"/>
          <w:numId w:val="21"/>
        </w:numPr>
        <w:spacing w:after="60"/>
      </w:pPr>
      <w:r>
        <w:rPr>
          <w:rFonts w:ascii="Arial" w:cs="Arial" w:eastAsia="Arial" w:hAnsi="Arial"/>
          <w:color w:val="3D3D3B"/>
          <w:sz w:val="21"/>
          <w:szCs w:val="21"/>
        </w:rPr>
        <w:t xml:space="preserve">Cliquer sur « Soumettre à validation », puis confirmer.</w:t>
      </w:r>
    </w:p>
    <w:p>
      <w:pPr>
        <w:pStyle w:val="ListParagraph"/>
        <w:keepNext w:val="false"/>
        <w:keepLines/>
        <w:numPr>
          <w:ilvl w:val="0"/>
          <w:numId w:val="21"/>
        </w:numPr>
        <w:spacing w:after="60"/>
      </w:pPr>
      <w:r>
        <w:rPr>
          <w:rFonts w:ascii="Arial" w:cs="Arial" w:eastAsia="Arial" w:hAnsi="Arial"/>
          <w:color w:val="3D3D3B"/>
          <w:sz w:val="21"/>
          <w:szCs w:val="21"/>
        </w:rPr>
        <w:t xml:space="preserve">La notation est calculée et figée ; le dossier passe « À valider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Vous ne pouvez pas valider votre propre dossier : la validation revient à une autre personne.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Si la soumission est refusée</w:t>
      </w:r>
    </w:p>
    <w:p>
      <w:pPr>
        <w:keepNext/>
        <w:spacing w:after="60" w:before="80"/>
        <w:jc w:val="center"/>
      </w:pPr>
      <w:r>
        <w:drawing>
          <wp:inline distT="0" distB="0" distL="0" distR="0">
            <wp:extent cx="6096000" cy="3429000"/>
            <wp:effectExtent t="0" r="0" b="0" l="0"/>
            <wp:docPr id="1" name="Figure 21 — Si la soumission est refusée" descr="Figure 21 — Si la soumission est refusée" title="Figure 21 — Si la soumission est refus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21 — Si la soumission est refusée</w:t>
      </w:r>
    </w:p>
    <w:p>
      <w:pPr>
        <w:pStyle w:val="ListParagraph"/>
        <w:keepNext/>
        <w:keepLines/>
        <w:numPr>
          <w:ilvl w:val="0"/>
          <w:numId w:val="22"/>
        </w:numPr>
        <w:spacing w:after="60"/>
      </w:pPr>
      <w:r>
        <w:rPr>
          <w:rFonts w:ascii="Arial" w:cs="Arial" w:eastAsia="Arial" w:hAnsi="Arial"/>
          <w:color w:val="3D3D3B"/>
          <w:sz w:val="21"/>
          <w:szCs w:val="21"/>
        </w:rPr>
        <w:t xml:space="preserve">Lire le message sous les boutons.</w:t>
      </w:r>
    </w:p>
    <w:p>
      <w:pPr>
        <w:pStyle w:val="ListParagraph"/>
        <w:keepNext/>
        <w:keepLines/>
        <w:numPr>
          <w:ilvl w:val="0"/>
          <w:numId w:val="22"/>
        </w:numPr>
        <w:spacing w:after="60"/>
      </w:pPr>
      <w:r>
        <w:rPr>
          <w:rFonts w:ascii="Arial" w:cs="Arial" w:eastAsia="Arial" w:hAnsi="Arial"/>
          <w:color w:val="3D3D3B"/>
          <w:sz w:val="21"/>
          <w:szCs w:val="21"/>
        </w:rPr>
        <w:t xml:space="preserve">Compléter les données critiques ou manquantes.</w:t>
      </w:r>
    </w:p>
    <w:p>
      <w:pPr>
        <w:pStyle w:val="ListParagraph"/>
        <w:keepNext w:val="false"/>
        <w:keepLines/>
        <w:numPr>
          <w:ilvl w:val="0"/>
          <w:numId w:val="22"/>
        </w:numPr>
        <w:spacing w:after="60"/>
      </w:pPr>
      <w:r>
        <w:rPr>
          <w:rFonts w:ascii="Arial" w:cs="Arial" w:eastAsia="Arial" w:hAnsi="Arial"/>
          <w:color w:val="3D3D3B"/>
          <w:sz w:val="21"/>
          <w:szCs w:val="21"/>
        </w:rPr>
        <w:t xml:space="preserve">Soumettre de nouveau.</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Un dossier qui ne produit pas de grade ne se soumet pas : il se complète.</w:t>
            </w:r>
          </w:p>
        </w:tc>
      </w:tr>
    </w:tbl>
    <w:p>
      <w:pPr>
        <w:spacing w:after="120"/>
      </w:pPr>
      <w:r>
        <w:rPr>
          <w:rFonts w:ascii="Arial" w:cs="Arial" w:eastAsia="Arial" w:hAnsi="Arial"/>
        </w:rPr>
        <w:t xml:space="preserve"/>
      </w:r>
    </w:p>
    <w:p>
      <w:pPr>
        <w:pStyle w:val="Heading1"/>
        <w:pageBreakBefore/>
      </w:pPr>
      <w:r>
        <w:rPr>
          <w:rFonts w:ascii="Arial" w:cs="Arial" w:eastAsia="Arial" w:hAnsi="Arial"/>
        </w:rPr>
        <w:t xml:space="preserve">4. Valider une notation</w:t>
      </w:r>
    </w:p>
    <w:p>
      <w:pPr>
        <w:spacing w:after="120" w:line="276"/>
      </w:pPr>
      <w:r>
        <w:rPr>
          <w:rFonts w:ascii="Arial" w:cs="Arial" w:eastAsia="Arial" w:hAnsi="Arial"/>
          <w:color w:val="3D3D3B"/>
          <w:sz w:val="21"/>
          <w:szCs w:val="21"/>
        </w:rPr>
        <w:t xml:space="preserve">Le rôle du gestionnaire des risques : traiter la file, valider ou rejeter avec un motif.</w:t>
      </w:r>
    </w:p>
    <w:p>
      <w:pPr>
        <w:pStyle w:val="Heading2"/>
        <w:keepNext/>
      </w:pPr>
      <w:r>
        <w:rPr>
          <w:rFonts w:ascii="Arial" w:cs="Arial" w:eastAsia="Arial" w:hAnsi="Arial"/>
        </w:rPr>
        <w:t xml:space="preserve">La file « À traiter »</w:t>
      </w:r>
    </w:p>
    <w:p>
      <w:pPr>
        <w:keepNext/>
        <w:spacing w:after="60" w:before="80"/>
        <w:jc w:val="center"/>
      </w:pPr>
      <w:r>
        <w:drawing>
          <wp:inline distT="0" distB="0" distL="0" distR="0">
            <wp:extent cx="6096000" cy="3429000"/>
            <wp:effectExtent t="0" r="0" b="0" l="0"/>
            <wp:docPr id="1" name="Figure 22 — La file « À traiter »" descr="Figure 22 — La file « À traiter »" title="Figure 22 — La file « À trai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22 — La file « À traiter »</w:t>
      </w:r>
    </w:p>
    <w:p>
      <w:pPr>
        <w:pStyle w:val="ListParagraph"/>
        <w:keepNext/>
        <w:keepLines/>
        <w:numPr>
          <w:ilvl w:val="0"/>
          <w:numId w:val="23"/>
        </w:numPr>
        <w:spacing w:after="60"/>
      </w:pPr>
      <w:r>
        <w:rPr>
          <w:rFonts w:ascii="Arial" w:cs="Arial" w:eastAsia="Arial" w:hAnsi="Arial"/>
          <w:color w:val="3D3D3B"/>
          <w:sz w:val="21"/>
          <w:szCs w:val="21"/>
        </w:rPr>
        <w:t xml:space="preserve">Menu « Dossiers », onglet « À traiter ».</w:t>
      </w:r>
    </w:p>
    <w:p>
      <w:pPr>
        <w:pStyle w:val="ListParagraph"/>
        <w:keepNext/>
        <w:keepLines/>
        <w:numPr>
          <w:ilvl w:val="0"/>
          <w:numId w:val="23"/>
        </w:numPr>
        <w:spacing w:after="60"/>
      </w:pPr>
      <w:r>
        <w:rPr>
          <w:rFonts w:ascii="Arial" w:cs="Arial" w:eastAsia="Arial" w:hAnsi="Arial"/>
          <w:color w:val="3D3D3B"/>
          <w:sz w:val="21"/>
          <w:szCs w:val="21"/>
        </w:rPr>
        <w:t xml:space="preserve">Le valideur y trouve les dossiers soumis par d'autres.</w:t>
      </w:r>
    </w:p>
    <w:p>
      <w:pPr>
        <w:pStyle w:val="ListParagraph"/>
        <w:keepNext w:val="false"/>
        <w:keepLines/>
        <w:numPr>
          <w:ilvl w:val="0"/>
          <w:numId w:val="23"/>
        </w:numPr>
        <w:spacing w:after="60"/>
      </w:pPr>
      <w:r>
        <w:rPr>
          <w:rFonts w:ascii="Arial" w:cs="Arial" w:eastAsia="Arial" w:hAnsi="Arial"/>
          <w:color w:val="3D3D3B"/>
          <w:sz w:val="21"/>
          <w:szCs w:val="21"/>
        </w:rPr>
        <w:t xml:space="preserve">Cliquer sur la contrepartie pour ouvrir le dossier.</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La file liste aussi les notes à renouveler : dernière notation validée plus ancienne que la durée de validité.</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Valider ou rejeter</w:t>
      </w:r>
    </w:p>
    <w:p>
      <w:pPr>
        <w:keepNext/>
        <w:spacing w:after="60" w:before="80"/>
        <w:jc w:val="center"/>
      </w:pPr>
      <w:r>
        <w:drawing>
          <wp:inline distT="0" distB="0" distL="0" distR="0">
            <wp:extent cx="6096000" cy="3429000"/>
            <wp:effectExtent t="0" r="0" b="0" l="0"/>
            <wp:docPr id="1" name="Figure 23 — Valider ou rejeter" descr="Figure 23 — Valider ou rejeter" title="Figure 23 — Valider ou rej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23 — Valider ou rejeter</w:t>
      </w:r>
    </w:p>
    <w:p>
      <w:pPr>
        <w:pStyle w:val="ListParagraph"/>
        <w:keepNext/>
        <w:keepLines/>
        <w:numPr>
          <w:ilvl w:val="0"/>
          <w:numId w:val="24"/>
        </w:numPr>
        <w:spacing w:after="60"/>
      </w:pPr>
      <w:r>
        <w:rPr>
          <w:rFonts w:ascii="Arial" w:cs="Arial" w:eastAsia="Arial" w:hAnsi="Arial"/>
          <w:color w:val="3D3D3B"/>
          <w:sz w:val="21"/>
          <w:szCs w:val="21"/>
        </w:rPr>
        <w:t xml:space="preserve">Relire le résultat, la conversion des montants et la saisie.</w:t>
      </w:r>
    </w:p>
    <w:p>
      <w:pPr>
        <w:pStyle w:val="ListParagraph"/>
        <w:keepNext/>
        <w:keepLines/>
        <w:numPr>
          <w:ilvl w:val="0"/>
          <w:numId w:val="24"/>
        </w:numPr>
        <w:spacing w:after="60"/>
      </w:pPr>
      <w:r>
        <w:rPr>
          <w:rFonts w:ascii="Arial" w:cs="Arial" w:eastAsia="Arial" w:hAnsi="Arial"/>
          <w:color w:val="3D3D3B"/>
          <w:sz w:val="21"/>
          <w:szCs w:val="21"/>
        </w:rPr>
        <w:t xml:space="preserve">Saisir un commentaire (obligatoire pour un rejet, 10 caractères au moins).</w:t>
      </w:r>
    </w:p>
    <w:p>
      <w:pPr>
        <w:pStyle w:val="ListParagraph"/>
        <w:keepNext w:val="false"/>
        <w:keepLines/>
        <w:numPr>
          <w:ilvl w:val="0"/>
          <w:numId w:val="24"/>
        </w:numPr>
        <w:spacing w:after="60"/>
      </w:pPr>
      <w:r>
        <w:rPr>
          <w:rFonts w:ascii="Arial" w:cs="Arial" w:eastAsia="Arial" w:hAnsi="Arial"/>
          <w:color w:val="3D3D3B"/>
          <w:sz w:val="21"/>
          <w:szCs w:val="21"/>
        </w:rPr>
        <w:t xml:space="preserve">Cliquer sur « Valider la notation » ou « Rejeter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Le panneau indique le rôle requis et les contributeurs exclus. Au-delà du seuil de délégation, un rôle supérieur est exigé.</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La note officielle</w:t>
      </w:r>
    </w:p>
    <w:p>
      <w:pPr>
        <w:keepNext/>
        <w:spacing w:after="60" w:before="80"/>
        <w:jc w:val="center"/>
      </w:pPr>
      <w:r>
        <w:drawing>
          <wp:inline distT="0" distB="0" distL="0" distR="0">
            <wp:extent cx="6096000" cy="3429000"/>
            <wp:effectExtent t="0" r="0" b="0" l="0"/>
            <wp:docPr id="1" name="Figure 24 — La note officielle" descr="Figure 24 — La note officielle" title="Figure 24 — La note offici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24 — La note officielle</w:t>
      </w:r>
    </w:p>
    <w:p>
      <w:pPr>
        <w:pStyle w:val="ListParagraph"/>
        <w:keepNext/>
        <w:keepLines/>
        <w:numPr>
          <w:ilvl w:val="0"/>
          <w:numId w:val="25"/>
        </w:numPr>
        <w:spacing w:after="60"/>
      </w:pPr>
      <w:r>
        <w:rPr>
          <w:rFonts w:ascii="Arial" w:cs="Arial" w:eastAsia="Arial" w:hAnsi="Arial"/>
          <w:color w:val="3D3D3B"/>
          <w:sz w:val="21"/>
          <w:szCs w:val="21"/>
        </w:rPr>
        <w:t xml:space="preserve">Le dossier passe « Validé ».</w:t>
      </w:r>
    </w:p>
    <w:p>
      <w:pPr>
        <w:pStyle w:val="ListParagraph"/>
        <w:keepNext w:val="false"/>
        <w:keepLines/>
        <w:numPr>
          <w:ilvl w:val="0"/>
          <w:numId w:val="25"/>
        </w:numPr>
        <w:spacing w:after="60"/>
      </w:pPr>
      <w:r>
        <w:rPr>
          <w:rFonts w:ascii="Arial" w:cs="Arial" w:eastAsia="Arial" w:hAnsi="Arial"/>
          <w:color w:val="3D3D3B"/>
          <w:sz w:val="21"/>
          <w:szCs w:val="21"/>
        </w:rPr>
        <w:t xml:space="preserve">La notation devient la note de la contrepartie.</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L'historique du dossier, en bas de page, trace chaque action : qui, quand, quoi.</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Lire le résultat</w:t>
      </w:r>
    </w:p>
    <w:p>
      <w:pPr>
        <w:keepNext/>
        <w:spacing w:after="60" w:before="80"/>
        <w:jc w:val="center"/>
      </w:pPr>
      <w:r>
        <w:drawing>
          <wp:inline distT="0" distB="0" distL="0" distR="0">
            <wp:extent cx="6096000" cy="3429000"/>
            <wp:effectExtent t="0" r="0" b="0" l="0"/>
            <wp:docPr id="1" name="Figure 25 — Lire le résultat" descr="Figure 25 — Lire le résultat" title="Figure 25 — Lire le résul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25 — Lire le résultat</w:t>
      </w:r>
    </w:p>
    <w:p>
      <w:pPr>
        <w:pStyle w:val="ListParagraph"/>
        <w:keepNext/>
        <w:keepLines/>
        <w:numPr>
          <w:ilvl w:val="0"/>
          <w:numId w:val="26"/>
        </w:numPr>
        <w:spacing w:after="60"/>
      </w:pPr>
      <w:r>
        <w:rPr>
          <w:rFonts w:ascii="Arial" w:cs="Arial" w:eastAsia="Arial" w:hAnsi="Arial"/>
          <w:color w:val="3D3D3B"/>
          <w:sz w:val="21"/>
          <w:szCs w:val="21"/>
        </w:rPr>
        <w:t xml:space="preserve">Grade, score brut, classe de confiance et couverture observée.</w:t>
      </w:r>
    </w:p>
    <w:p>
      <w:pPr>
        <w:pStyle w:val="ListParagraph"/>
        <w:keepNext/>
        <w:keepLines/>
        <w:numPr>
          <w:ilvl w:val="0"/>
          <w:numId w:val="26"/>
        </w:numPr>
        <w:spacing w:after="60"/>
      </w:pPr>
      <w:r>
        <w:rPr>
          <w:rFonts w:ascii="Arial" w:cs="Arial" w:eastAsia="Arial" w:hAnsi="Arial"/>
          <w:color w:val="3D3D3B"/>
          <w:sz w:val="21"/>
          <w:szCs w:val="21"/>
        </w:rPr>
        <w:t xml:space="preserve">Les droits d'usage de la note.</w:t>
      </w:r>
    </w:p>
    <w:p>
      <w:pPr>
        <w:pStyle w:val="ListParagraph"/>
        <w:keepNext w:val="false"/>
        <w:keepLines/>
        <w:numPr>
          <w:ilvl w:val="0"/>
          <w:numId w:val="26"/>
        </w:numPr>
        <w:spacing w:after="60"/>
      </w:pPr>
      <w:r>
        <w:rPr>
          <w:rFonts w:ascii="Arial" w:cs="Arial" w:eastAsia="Arial" w:hAnsi="Arial"/>
          <w:color w:val="3D3D3B"/>
          <w:sz w:val="21"/>
          <w:szCs w:val="21"/>
        </w:rPr>
        <w:t xml:space="preserve">Les points forts et points faibles, critère par critère.</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 Imprimer / PDF » produit une trace papier pour le comité.</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Reprendre un dossier rejeté</w:t>
      </w:r>
    </w:p>
    <w:p>
      <w:pPr>
        <w:keepNext/>
        <w:spacing w:after="60" w:before="80"/>
        <w:jc w:val="center"/>
      </w:pPr>
      <w:r>
        <w:drawing>
          <wp:inline distT="0" distB="0" distL="0" distR="0">
            <wp:extent cx="6096000" cy="3429000"/>
            <wp:effectExtent t="0" r="0" b="0" l="0"/>
            <wp:docPr id="1" name="Figure 26 — Reprendre un dossier rejeté" descr="Figure 26 — Reprendre un dossier rejeté" title="Figure 26 — Reprendre un dossier reje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26 — Reprendre un dossier rejeté</w:t>
      </w:r>
    </w:p>
    <w:p>
      <w:pPr>
        <w:pStyle w:val="ListParagraph"/>
        <w:keepNext/>
        <w:keepLines/>
        <w:numPr>
          <w:ilvl w:val="0"/>
          <w:numId w:val="27"/>
        </w:numPr>
        <w:spacing w:after="60"/>
      </w:pPr>
      <w:r>
        <w:rPr>
          <w:rFonts w:ascii="Arial" w:cs="Arial" w:eastAsia="Arial" w:hAnsi="Arial"/>
          <w:color w:val="3D3D3B"/>
          <w:sz w:val="21"/>
          <w:szCs w:val="21"/>
        </w:rPr>
        <w:t xml:space="preserve">Lire le motif du rejet.</w:t>
      </w:r>
    </w:p>
    <w:p>
      <w:pPr>
        <w:pStyle w:val="ListParagraph"/>
        <w:keepNext/>
        <w:keepLines/>
        <w:numPr>
          <w:ilvl w:val="0"/>
          <w:numId w:val="27"/>
        </w:numPr>
        <w:spacing w:after="60"/>
      </w:pPr>
      <w:r>
        <w:rPr>
          <w:rFonts w:ascii="Arial" w:cs="Arial" w:eastAsia="Arial" w:hAnsi="Arial"/>
          <w:color w:val="3D3D3B"/>
          <w:sz w:val="21"/>
          <w:szCs w:val="21"/>
        </w:rPr>
        <w:t xml:space="preserve">Cliquer sur « Reprendre le dossier ».</w:t>
      </w:r>
    </w:p>
    <w:p>
      <w:pPr>
        <w:pStyle w:val="ListParagraph"/>
        <w:keepNext w:val="false"/>
        <w:keepLines/>
        <w:numPr>
          <w:ilvl w:val="0"/>
          <w:numId w:val="27"/>
        </w:numPr>
        <w:spacing w:after="60"/>
      </w:pPr>
      <w:r>
        <w:rPr>
          <w:rFonts w:ascii="Arial" w:cs="Arial" w:eastAsia="Arial" w:hAnsi="Arial"/>
          <w:color w:val="3D3D3B"/>
          <w:sz w:val="21"/>
          <w:szCs w:val="21"/>
        </w:rPr>
        <w:t xml:space="preserve">Corriger, puis soumettre de nouveau.</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Un nouveau brouillon reprend la saisie ; le dossier rejeté reste dans l'historique et ne fait jamais foi.</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Suivre tous les dossiers</w:t>
      </w:r>
    </w:p>
    <w:p>
      <w:pPr>
        <w:keepNext/>
        <w:spacing w:after="60" w:before="80"/>
        <w:jc w:val="center"/>
      </w:pPr>
      <w:r>
        <w:drawing>
          <wp:inline distT="0" distB="0" distL="0" distR="0">
            <wp:extent cx="6096000" cy="3429000"/>
            <wp:effectExtent t="0" r="0" b="0" l="0"/>
            <wp:docPr id="1" name="Figure 27 — Suivre tous les dossiers" descr="Figure 27 — Suivre tous les dossiers" title="Figure 27 — Suivre tous les doss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27 — Suivre tous les dossiers</w:t>
      </w:r>
    </w:p>
    <w:p>
      <w:pPr>
        <w:pStyle w:val="ListParagraph"/>
        <w:keepNext/>
        <w:keepLines/>
        <w:numPr>
          <w:ilvl w:val="0"/>
          <w:numId w:val="28"/>
        </w:numPr>
        <w:spacing w:after="60"/>
      </w:pPr>
      <w:r>
        <w:rPr>
          <w:rFonts w:ascii="Arial" w:cs="Arial" w:eastAsia="Arial" w:hAnsi="Arial"/>
          <w:color w:val="3D3D3B"/>
          <w:sz w:val="21"/>
          <w:szCs w:val="21"/>
        </w:rPr>
        <w:t xml:space="preserve">Onglets : brouillons, à valider, validés, rejetés, abandonnés, tous.</w:t>
      </w:r>
    </w:p>
    <w:p>
      <w:pPr>
        <w:pStyle w:val="ListParagraph"/>
        <w:keepNext w:val="false"/>
        <w:keepLines/>
        <w:numPr>
          <w:ilvl w:val="0"/>
          <w:numId w:val="28"/>
        </w:numPr>
        <w:spacing w:after="60"/>
      </w:pPr>
      <w:r>
        <w:rPr>
          <w:rFonts w:ascii="Arial" w:cs="Arial" w:eastAsia="Arial" w:hAnsi="Arial"/>
          <w:color w:val="3D3D3B"/>
          <w:sz w:val="21"/>
          <w:szCs w:val="21"/>
        </w:rPr>
        <w:t xml:space="preserve">Les compteurs donnent l'état du stock.</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Un brouillon inutile s'abandonne depuis le dossier (« Abandonner le dossier »).</w:t>
            </w:r>
          </w:p>
        </w:tc>
      </w:tr>
    </w:tbl>
    <w:p>
      <w:pPr>
        <w:spacing w:after="120"/>
      </w:pPr>
      <w:r>
        <w:rPr>
          <w:rFonts w:ascii="Arial" w:cs="Arial" w:eastAsia="Arial" w:hAnsi="Arial"/>
        </w:rPr>
        <w:t xml:space="preserve"/>
      </w:r>
    </w:p>
    <w:p>
      <w:pPr>
        <w:pStyle w:val="Heading1"/>
        <w:pageBreakBefore/>
      </w:pPr>
      <w:r>
        <w:rPr>
          <w:rFonts w:ascii="Arial" w:cs="Arial" w:eastAsia="Arial" w:hAnsi="Arial"/>
        </w:rPr>
        <w:t xml:space="preserve">5. Demander et décider une dérogation</w:t>
      </w:r>
    </w:p>
    <w:p>
      <w:pPr>
        <w:spacing w:after="120" w:line="276"/>
      </w:pPr>
      <w:r>
        <w:rPr>
          <w:rFonts w:ascii="Arial" w:cs="Arial" w:eastAsia="Arial" w:hAnsi="Arial"/>
          <w:color w:val="3D3D3B"/>
          <w:sz w:val="21"/>
          <w:szCs w:val="21"/>
        </w:rPr>
        <w:t xml:space="preserve">Ajuster une note validée, dans une limite de crans : un gestionnaire des risques demande, un autre décide.</w:t>
      </w:r>
    </w:p>
    <w:p>
      <w:pPr>
        <w:pStyle w:val="Heading2"/>
        <w:keepNext/>
      </w:pPr>
      <w:r>
        <w:rPr>
          <w:rFonts w:ascii="Arial" w:cs="Arial" w:eastAsia="Arial" w:hAnsi="Arial"/>
        </w:rPr>
        <w:t xml:space="preserve">Demander une dérogation</w:t>
      </w:r>
    </w:p>
    <w:p>
      <w:pPr>
        <w:keepNext/>
        <w:spacing w:after="60" w:before="80"/>
        <w:jc w:val="center"/>
      </w:pPr>
      <w:r>
        <w:drawing>
          <wp:inline distT="0" distB="0" distL="0" distR="0">
            <wp:extent cx="6096000" cy="3429000"/>
            <wp:effectExtent t="0" r="0" b="0" l="0"/>
            <wp:docPr id="1" name="Figure 28 — Demander une dérogation" descr="Figure 28 — Demander une dérogation" title="Figure 28 — Demander une déro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28 — Demander une dérogation</w:t>
      </w:r>
    </w:p>
    <w:p>
      <w:pPr>
        <w:pStyle w:val="ListParagraph"/>
        <w:keepNext/>
        <w:keepLines/>
        <w:numPr>
          <w:ilvl w:val="0"/>
          <w:numId w:val="29"/>
        </w:numPr>
        <w:spacing w:after="60"/>
      </w:pPr>
      <w:r>
        <w:rPr>
          <w:rFonts w:ascii="Arial" w:cs="Arial" w:eastAsia="Arial" w:hAnsi="Arial"/>
          <w:color w:val="3D3D3B"/>
          <w:sz w:val="21"/>
          <w:szCs w:val="21"/>
        </w:rPr>
        <w:t xml:space="preserve">Le gestionnaire des risques ouvre la notation validée (lien « run » du dossier).</w:t>
      </w:r>
    </w:p>
    <w:p>
      <w:pPr>
        <w:pStyle w:val="ListParagraph"/>
        <w:keepNext/>
        <w:keepLines/>
        <w:numPr>
          <w:ilvl w:val="0"/>
          <w:numId w:val="29"/>
        </w:numPr>
        <w:spacing w:after="60"/>
      </w:pPr>
      <w:r>
        <w:rPr>
          <w:rFonts w:ascii="Arial" w:cs="Arial" w:eastAsia="Arial" w:hAnsi="Arial"/>
          <w:color w:val="3D3D3B"/>
          <w:sz w:val="21"/>
          <w:szCs w:val="21"/>
        </w:rPr>
        <w:t xml:space="preserve">Il déplie « Demander une dérogation ».</w:t>
      </w:r>
    </w:p>
    <w:p>
      <w:pPr>
        <w:pStyle w:val="ListParagraph"/>
        <w:keepNext w:val="false"/>
        <w:keepLines/>
        <w:numPr>
          <w:ilvl w:val="0"/>
          <w:numId w:val="29"/>
        </w:numPr>
        <w:spacing w:after="60"/>
      </w:pPr>
      <w:r>
        <w:rPr>
          <w:rFonts w:ascii="Arial" w:cs="Arial" w:eastAsia="Arial" w:hAnsi="Arial"/>
          <w:color w:val="3D3D3B"/>
          <w:sz w:val="21"/>
          <w:szCs w:val="21"/>
        </w:rPr>
        <w:t xml:space="preserve">Il choisit le grade retenu et le motif, justifie, puis clique sur « Demander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Réservé au gestionnaire des risques, comme par l'API. Deux crans au plus (paramétrable). Pas de dérogation vers ou depuis un grade de défaut.</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Décider d'une dérogation</w:t>
      </w:r>
    </w:p>
    <w:p>
      <w:pPr>
        <w:keepNext/>
        <w:spacing w:after="60" w:before="80"/>
        <w:jc w:val="center"/>
      </w:pPr>
      <w:r>
        <w:drawing>
          <wp:inline distT="0" distB="0" distL="0" distR="0">
            <wp:extent cx="6096000" cy="3429000"/>
            <wp:effectExtent t="0" r="0" b="0" l="0"/>
            <wp:docPr id="1" name="Figure 29 — Décider d'une dérogation" descr="Figure 29 — Décider d'une dérogation" title="Figure 29 — Décider d'une déro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29 — Décider d'une dérogation</w:t>
      </w:r>
    </w:p>
    <w:p>
      <w:pPr>
        <w:pStyle w:val="ListParagraph"/>
        <w:keepNext/>
        <w:keepLines/>
        <w:numPr>
          <w:ilvl w:val="0"/>
          <w:numId w:val="30"/>
        </w:numPr>
        <w:spacing w:after="60"/>
      </w:pPr>
      <w:r>
        <w:rPr>
          <w:rFonts w:ascii="Arial" w:cs="Arial" w:eastAsia="Arial" w:hAnsi="Arial"/>
          <w:color w:val="3D3D3B"/>
          <w:sz w:val="21"/>
          <w:szCs w:val="21"/>
        </w:rPr>
        <w:t xml:space="preserve">Un autre gestionnaire des risques, ou un administrateur, ouvre la notation.</w:t>
      </w:r>
    </w:p>
    <w:p>
      <w:pPr>
        <w:pStyle w:val="ListParagraph"/>
        <w:keepNext/>
        <w:keepLines/>
        <w:numPr>
          <w:ilvl w:val="0"/>
          <w:numId w:val="30"/>
        </w:numPr>
        <w:spacing w:after="60"/>
      </w:pPr>
      <w:r>
        <w:rPr>
          <w:rFonts w:ascii="Arial" w:cs="Arial" w:eastAsia="Arial" w:hAnsi="Arial"/>
          <w:color w:val="3D3D3B"/>
          <w:sz w:val="21"/>
          <w:szCs w:val="21"/>
        </w:rPr>
        <w:t xml:space="preserve">Il lit la justification et saisit un commentaire.</w:t>
      </w:r>
    </w:p>
    <w:p>
      <w:pPr>
        <w:pStyle w:val="ListParagraph"/>
        <w:keepNext w:val="false"/>
        <w:keepLines/>
        <w:numPr>
          <w:ilvl w:val="0"/>
          <w:numId w:val="30"/>
        </w:numPr>
        <w:spacing w:after="60"/>
      </w:pPr>
      <w:r>
        <w:rPr>
          <w:rFonts w:ascii="Arial" w:cs="Arial" w:eastAsia="Arial" w:hAnsi="Arial"/>
          <w:color w:val="3D3D3B"/>
          <w:sz w:val="21"/>
          <w:szCs w:val="21"/>
        </w:rPr>
        <w:t xml:space="preserve">Il clique sur « Approuver » ou « Rejeter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Le demandeur ne peut pas approuver sa propre dérogation. Le résultat du moteur n'est jamais réécrit.</w:t>
            </w:r>
          </w:p>
        </w:tc>
      </w:tr>
    </w:tbl>
    <w:p>
      <w:pPr>
        <w:spacing w:after="120"/>
      </w:pPr>
      <w:r>
        <w:rPr>
          <w:rFonts w:ascii="Arial" w:cs="Arial" w:eastAsia="Arial" w:hAnsi="Arial"/>
        </w:rPr>
        <w:t xml:space="preserve"/>
      </w:r>
    </w:p>
    <w:p>
      <w:pPr>
        <w:pStyle w:val="Heading1"/>
        <w:pageBreakBefore/>
      </w:pPr>
      <w:r>
        <w:rPr>
          <w:rFonts w:ascii="Arial" w:cs="Arial" w:eastAsia="Arial" w:hAnsi="Arial"/>
        </w:rPr>
        <w:t xml:space="preserve">6. Groupes d'affaires et renotation</w:t>
      </w:r>
    </w:p>
    <w:p>
      <w:pPr>
        <w:spacing w:after="120" w:line="276"/>
      </w:pPr>
      <w:r>
        <w:rPr>
          <w:rFonts w:ascii="Arial" w:cs="Arial" w:eastAsia="Arial" w:hAnsi="Arial"/>
          <w:color w:val="3D3D3B"/>
          <w:sz w:val="21"/>
          <w:szCs w:val="21"/>
        </w:rPr>
        <w:t xml:space="preserve">Rattacher les contreparties à leur groupe d'affaires, puis renoter le portefeuille par lot, ponctuellement ou chaque mois.</w:t>
      </w:r>
    </w:p>
    <w:p>
      <w:pPr>
        <w:pStyle w:val="Heading2"/>
        <w:keepNext/>
      </w:pPr>
      <w:r>
        <w:rPr>
          <w:rFonts w:ascii="Arial" w:cs="Arial" w:eastAsia="Arial" w:hAnsi="Arial"/>
        </w:rPr>
        <w:t xml:space="preserve">Les groupes d'affaires</w:t>
      </w:r>
    </w:p>
    <w:p>
      <w:pPr>
        <w:keepNext/>
        <w:spacing w:after="60" w:before="80"/>
        <w:jc w:val="center"/>
      </w:pPr>
      <w:r>
        <w:drawing>
          <wp:inline distT="0" distB="0" distL="0" distR="0">
            <wp:extent cx="6096000" cy="3429000"/>
            <wp:effectExtent t="0" r="0" b="0" l="0"/>
            <wp:docPr id="1" name="Figure 30 — Les groupes d'affaires" descr="Figure 30 — Les groupes d'affaires" title="Figure 30 — Les groupes d'aff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30 — Les groupes d'affaires</w:t>
      </w:r>
    </w:p>
    <w:p>
      <w:pPr>
        <w:pStyle w:val="ListParagraph"/>
        <w:keepNext/>
        <w:keepLines/>
        <w:numPr>
          <w:ilvl w:val="0"/>
          <w:numId w:val="31"/>
        </w:numPr>
        <w:spacing w:after="60"/>
      </w:pPr>
      <w:r>
        <w:rPr>
          <w:rFonts w:ascii="Arial" w:cs="Arial" w:eastAsia="Arial" w:hAnsi="Arial"/>
          <w:color w:val="3D3D3B"/>
          <w:sz w:val="21"/>
          <w:szCs w:val="21"/>
        </w:rPr>
        <w:t xml:space="preserve">Menu « Groupes ».</w:t>
      </w:r>
    </w:p>
    <w:p>
      <w:pPr>
        <w:pStyle w:val="ListParagraph"/>
        <w:keepNext/>
        <w:keepLines/>
        <w:numPr>
          <w:ilvl w:val="0"/>
          <w:numId w:val="31"/>
        </w:numPr>
        <w:spacing w:after="60"/>
      </w:pPr>
      <w:r>
        <w:rPr>
          <w:rFonts w:ascii="Arial" w:cs="Arial" w:eastAsia="Arial" w:hAnsi="Arial"/>
          <w:color w:val="3D3D3B"/>
          <w:sz w:val="21"/>
          <w:szCs w:val="21"/>
        </w:rPr>
        <w:t xml:space="preserve">Créer un groupe : code, nom, entité qui le suit.</w:t>
      </w:r>
    </w:p>
    <w:p>
      <w:pPr>
        <w:pStyle w:val="ListParagraph"/>
        <w:keepNext w:val="false"/>
        <w:keepLines/>
        <w:numPr>
          <w:ilvl w:val="0"/>
          <w:numId w:val="31"/>
        </w:numPr>
        <w:spacing w:after="60"/>
      </w:pPr>
      <w:r>
        <w:rPr>
          <w:rFonts w:ascii="Arial" w:cs="Arial" w:eastAsia="Arial" w:hAnsi="Arial"/>
          <w:color w:val="3D3D3B"/>
          <w:sz w:val="21"/>
          <w:szCs w:val="21"/>
        </w:rPr>
        <w:t xml:space="preserve">Le tableau donne le nombre de membres de chaque groupe ; « Renoter le groupe » ouvre un lot pré-rempli.</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Appartenir à un groupe ne relève jamais une note : le soutien du groupe reste soumis aux quatre conditions documentées du modèle.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La fiche d'un groupe</w:t>
      </w:r>
    </w:p>
    <w:p>
      <w:pPr>
        <w:keepNext/>
        <w:spacing w:after="60" w:before="80"/>
        <w:jc w:val="center"/>
      </w:pPr>
      <w:r>
        <w:drawing>
          <wp:inline distT="0" distB="0" distL="0" distR="0">
            <wp:extent cx="6096000" cy="3429000"/>
            <wp:effectExtent t="0" r="0" b="0" l="0"/>
            <wp:docPr id="1" name="Figure 31 — La fiche d'un groupe" descr="Figure 31 — La fiche d'un groupe" title="Figure 31 — La fiche d'un gro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31 — La fiche d'un groupe</w:t>
      </w:r>
    </w:p>
    <w:p>
      <w:pPr>
        <w:pStyle w:val="ListParagraph"/>
        <w:keepNext/>
        <w:keepLines/>
        <w:numPr>
          <w:ilvl w:val="0"/>
          <w:numId w:val="32"/>
        </w:numPr>
        <w:spacing w:after="60"/>
      </w:pPr>
      <w:r>
        <w:rPr>
          <w:rFonts w:ascii="Arial" w:cs="Arial" w:eastAsia="Arial" w:hAnsi="Arial"/>
          <w:color w:val="3D3D3B"/>
          <w:sz w:val="21"/>
          <w:szCs w:val="21"/>
        </w:rPr>
        <w:t xml:space="preserve">Cliquer sur le code du groupe.</w:t>
      </w:r>
    </w:p>
    <w:p>
      <w:pPr>
        <w:pStyle w:val="ListParagraph"/>
        <w:keepNext/>
        <w:keepLines/>
        <w:numPr>
          <w:ilvl w:val="0"/>
          <w:numId w:val="32"/>
        </w:numPr>
        <w:spacing w:after="60"/>
      </w:pPr>
      <w:r>
        <w:rPr>
          <w:rFonts w:ascii="Arial" w:cs="Arial" w:eastAsia="Arial" w:hAnsi="Arial"/>
          <w:color w:val="3D3D3B"/>
          <w:sz w:val="21"/>
          <w:szCs w:val="21"/>
        </w:rPr>
        <w:t xml:space="preserve">Lire la note officielle et l'arrêté de chaque membre.</w:t>
      </w:r>
    </w:p>
    <w:p>
      <w:pPr>
        <w:pStyle w:val="ListParagraph"/>
        <w:keepNext w:val="false"/>
        <w:keepLines/>
        <w:numPr>
          <w:ilvl w:val="0"/>
          <w:numId w:val="32"/>
        </w:numPr>
        <w:spacing w:after="60"/>
      </w:pPr>
      <w:r>
        <w:rPr>
          <w:rFonts w:ascii="Arial" w:cs="Arial" w:eastAsia="Arial" w:hAnsi="Arial"/>
          <w:color w:val="3D3D3B"/>
          <w:sz w:val="21"/>
          <w:szCs w:val="21"/>
        </w:rPr>
        <w:t xml:space="preserve">Rattacher des contreparties en collant leurs ICE, un par ligne ; les détacher de la même façon.</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Seules les contreparties de l'entité du groupe et de sa descendance peuvent y être rattachées. Chaque rattachement est journalisé.</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Lancer une renotation</w:t>
      </w:r>
    </w:p>
    <w:p>
      <w:pPr>
        <w:keepNext/>
        <w:spacing w:after="60" w:before="80"/>
        <w:jc w:val="center"/>
      </w:pPr>
      <w:r>
        <w:drawing>
          <wp:inline distT="0" distB="0" distL="0" distR="0">
            <wp:extent cx="6096000" cy="3429000"/>
            <wp:effectExtent t="0" r="0" b="0" l="0"/>
            <wp:docPr id="1" name="Figure 32 — Lancer une renotation" descr="Figure 32 — Lancer une renotation" title="Figure 32 — Lancer une re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32 — Lancer une renotation</w:t>
      </w:r>
    </w:p>
    <w:p>
      <w:pPr>
        <w:pStyle w:val="ListParagraph"/>
        <w:keepNext/>
        <w:keepLines/>
        <w:numPr>
          <w:ilvl w:val="0"/>
          <w:numId w:val="33"/>
        </w:numPr>
        <w:spacing w:after="60"/>
      </w:pPr>
      <w:r>
        <w:rPr>
          <w:rFonts w:ascii="Arial" w:cs="Arial" w:eastAsia="Arial" w:hAnsi="Arial"/>
          <w:color w:val="3D3D3B"/>
          <w:sz w:val="21"/>
          <w:szCs w:val="21"/>
        </w:rPr>
        <w:t xml:space="preserve">Menu « Renotation » (gestionnaire des risques).</w:t>
      </w:r>
    </w:p>
    <w:p>
      <w:pPr>
        <w:pStyle w:val="ListParagraph"/>
        <w:keepNext/>
        <w:keepLines/>
        <w:numPr>
          <w:ilvl w:val="0"/>
          <w:numId w:val="33"/>
        </w:numPr>
        <w:spacing w:after="60"/>
      </w:pPr>
      <w:r>
        <w:rPr>
          <w:rFonts w:ascii="Arial" w:cs="Arial" w:eastAsia="Arial" w:hAnsi="Arial"/>
          <w:color w:val="3D3D3B"/>
          <w:sz w:val="21"/>
          <w:szCs w:val="21"/>
        </w:rPr>
        <w:t xml:space="preserve">Nommer le lot et choisir la date d'arrêté.</w:t>
      </w:r>
    </w:p>
    <w:p>
      <w:pPr>
        <w:pStyle w:val="ListParagraph"/>
        <w:keepNext/>
        <w:keepLines/>
        <w:numPr>
          <w:ilvl w:val="0"/>
          <w:numId w:val="33"/>
        </w:numPr>
        <w:spacing w:after="60"/>
      </w:pPr>
      <w:r>
        <w:rPr>
          <w:rFonts w:ascii="Arial" w:cs="Arial" w:eastAsia="Arial" w:hAnsi="Arial"/>
          <w:color w:val="3D3D3B"/>
          <w:sz w:val="21"/>
          <w:szCs w:val="21"/>
        </w:rPr>
        <w:t xml:space="preserve">Choisir la sélection : banque ou filiale, groupe d'affaires, segment, secteur, ancienneté de la validation.</w:t>
      </w:r>
    </w:p>
    <w:p>
      <w:pPr>
        <w:pStyle w:val="ListParagraph"/>
        <w:keepNext/>
        <w:keepLines/>
        <w:numPr>
          <w:ilvl w:val="0"/>
          <w:numId w:val="33"/>
        </w:numPr>
        <w:spacing w:after="60"/>
      </w:pPr>
      <w:r>
        <w:rPr>
          <w:rFonts w:ascii="Arial" w:cs="Arial" w:eastAsia="Arial" w:hAnsi="Arial"/>
          <w:color w:val="3D3D3B"/>
          <w:sz w:val="21"/>
          <w:szCs w:val="21"/>
        </w:rPr>
        <w:t xml:space="preserve">Joindre au besoin le fichier CSV de la DSI (première colonne « ice »).</w:t>
      </w:r>
    </w:p>
    <w:p>
      <w:pPr>
        <w:pStyle w:val="ListParagraph"/>
        <w:keepNext w:val="false"/>
        <w:keepLines/>
        <w:numPr>
          <w:ilvl w:val="0"/>
          <w:numId w:val="33"/>
        </w:numPr>
        <w:spacing w:after="60"/>
      </w:pPr>
      <w:r>
        <w:rPr>
          <w:rFonts w:ascii="Arial" w:cs="Arial" w:eastAsia="Arial" w:hAnsi="Arial"/>
          <w:color w:val="3D3D3B"/>
          <w:sz w:val="21"/>
          <w:szCs w:val="21"/>
        </w:rPr>
        <w:t xml:space="preserve">« Compter la sélection », puis « Lancer le lot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Chaque contrepartie est renotée à partir de son dernier dossier validé. Une valeur du fichier hors grille est refusée, jamais appliquée.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Suivre un lot et lire la migration</w:t>
      </w:r>
    </w:p>
    <w:p>
      <w:pPr>
        <w:keepNext/>
        <w:spacing w:after="60" w:before="80"/>
        <w:jc w:val="center"/>
      </w:pPr>
      <w:r>
        <w:drawing>
          <wp:inline distT="0" distB="0" distL="0" distR="0">
            <wp:extent cx="6096000" cy="3429000"/>
            <wp:effectExtent t="0" r="0" b="0" l="0"/>
            <wp:docPr id="1" name="Figure 33 — Suivre un lot et lire la migration" descr="Figure 33 — Suivre un lot et lire la migration" title="Figure 33 — Suivre un lot et lire la mi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33 — Suivre un lot et lire la migration</w:t>
      </w:r>
    </w:p>
    <w:p>
      <w:pPr>
        <w:pStyle w:val="ListParagraph"/>
        <w:keepNext/>
        <w:keepLines/>
        <w:numPr>
          <w:ilvl w:val="0"/>
          <w:numId w:val="34"/>
        </w:numPr>
        <w:spacing w:after="60"/>
      </w:pPr>
      <w:r>
        <w:rPr>
          <w:rFonts w:ascii="Arial" w:cs="Arial" w:eastAsia="Arial" w:hAnsi="Arial"/>
          <w:color w:val="3D3D3B"/>
          <w:sz w:val="21"/>
          <w:szCs w:val="21"/>
        </w:rPr>
        <w:t xml:space="preserve">Le lot se traite pendant que l'écran est ouvert ; la barre montre l'avancement.</w:t>
      </w:r>
    </w:p>
    <w:p>
      <w:pPr>
        <w:pStyle w:val="ListParagraph"/>
        <w:keepNext/>
        <w:keepLines/>
        <w:numPr>
          <w:ilvl w:val="0"/>
          <w:numId w:val="34"/>
        </w:numPr>
        <w:spacing w:after="60"/>
      </w:pPr>
      <w:r>
        <w:rPr>
          <w:rFonts w:ascii="Arial" w:cs="Arial" w:eastAsia="Arial" w:hAnsi="Arial"/>
          <w:color w:val="3D3D3B"/>
          <w:sz w:val="21"/>
          <w:szCs w:val="21"/>
        </w:rPr>
        <w:t xml:space="preserve">Lire les compteurs : inchangées, améliorations, dégradations, sans note, défauts.</w:t>
      </w:r>
    </w:p>
    <w:p>
      <w:pPr>
        <w:pStyle w:val="ListParagraph"/>
        <w:keepNext w:val="false"/>
        <w:keepLines/>
        <w:numPr>
          <w:ilvl w:val="0"/>
          <w:numId w:val="34"/>
        </w:numPr>
        <w:spacing w:after="60"/>
      </w:pPr>
      <w:r>
        <w:rPr>
          <w:rFonts w:ascii="Arial" w:cs="Arial" w:eastAsia="Arial" w:hAnsi="Arial"/>
          <w:color w:val="3D3D3B"/>
          <w:sz w:val="21"/>
          <w:szCs w:val="21"/>
        </w:rPr>
        <w:t xml:space="preserve">La matrice croise la note officielle (en ligne) et la note de surveillance (en colonne).</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Fermer l'écran n'arrête rien : la tâche planifiée du serveur reprend le lot là où il en est, sans jamais noter deux fois.</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Les contreparties à revoir</w:t>
      </w:r>
    </w:p>
    <w:p>
      <w:pPr>
        <w:keepNext/>
        <w:spacing w:after="60" w:before="80"/>
        <w:jc w:val="center"/>
      </w:pPr>
      <w:r>
        <w:drawing>
          <wp:inline distT="0" distB="0" distL="0" distR="0">
            <wp:extent cx="6096000" cy="3429000"/>
            <wp:effectExtent t="0" r="0" b="0" l="0"/>
            <wp:docPr id="1" name="Figure 34 — Les contreparties à revoir" descr="Figure 34 — Les contreparties à revoir" title="Figure 34 — Les contreparties à rev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34 — Les contreparties à revoir</w:t>
      </w:r>
    </w:p>
    <w:p>
      <w:pPr>
        <w:pStyle w:val="ListParagraph"/>
        <w:keepNext/>
        <w:keepLines/>
        <w:numPr>
          <w:ilvl w:val="0"/>
          <w:numId w:val="35"/>
        </w:numPr>
        <w:spacing w:after="60"/>
      </w:pPr>
      <w:r>
        <w:rPr>
          <w:rFonts w:ascii="Arial" w:cs="Arial" w:eastAsia="Arial" w:hAnsi="Arial"/>
          <w:color w:val="3D3D3B"/>
          <w:sz w:val="21"/>
          <w:szCs w:val="21"/>
        </w:rPr>
        <w:t xml:space="preserve">Le filtre « À revoir » liste les migrations, absences de note et défauts.</w:t>
      </w:r>
    </w:p>
    <w:p>
      <w:pPr>
        <w:pStyle w:val="ListParagraph"/>
        <w:keepNext/>
        <w:keepLines/>
        <w:numPr>
          <w:ilvl w:val="0"/>
          <w:numId w:val="35"/>
        </w:numPr>
        <w:spacing w:after="60"/>
      </w:pPr>
      <w:r>
        <w:rPr>
          <w:rFonts w:ascii="Arial" w:cs="Arial" w:eastAsia="Arial" w:hAnsi="Arial"/>
          <w:color w:val="3D3D3B"/>
          <w:sz w:val="21"/>
          <w:szCs w:val="21"/>
        </w:rPr>
        <w:t xml:space="preserve">« Dossier » ouvre le dossier de revue créé par le lot.</w:t>
      </w:r>
    </w:p>
    <w:p>
      <w:pPr>
        <w:pStyle w:val="ListParagraph"/>
        <w:keepNext w:val="false"/>
        <w:keepLines/>
        <w:numPr>
          <w:ilvl w:val="0"/>
          <w:numId w:val="35"/>
        </w:numPr>
        <w:spacing w:after="60"/>
      </w:pPr>
      <w:r>
        <w:rPr>
          <w:rFonts w:ascii="Arial" w:cs="Arial" w:eastAsia="Arial" w:hAnsi="Arial"/>
          <w:color w:val="3D3D3B"/>
          <w:sz w:val="21"/>
          <w:szCs w:val="21"/>
        </w:rPr>
        <w:t xml:space="preserve">« Exporter le lot (CSV) » produit le détail pour Excel.</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Une contrepartie sans dossier validé (nouvelle relation) est « écartée » avec son motif : elle se note par un dossier, pas par le lot.</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Planifier une renotation périodique</w:t>
      </w:r>
    </w:p>
    <w:p>
      <w:pPr>
        <w:keepNext/>
        <w:spacing w:after="60" w:before="80"/>
        <w:jc w:val="center"/>
      </w:pPr>
      <w:r>
        <w:drawing>
          <wp:inline distT="0" distB="0" distL="0" distR="0">
            <wp:extent cx="6096000" cy="3429000"/>
            <wp:effectExtent t="0" r="0" b="0" l="0"/>
            <wp:docPr id="1" name="Figure 35 — Planifier une renotation périodique" descr="Figure 35 — Planifier une renotation périodique" title="Figure 35 — Planifier une renotation périod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35 — Planifier une renotation périodique</w:t>
      </w:r>
    </w:p>
    <w:p>
      <w:pPr>
        <w:pStyle w:val="ListParagraph"/>
        <w:keepNext/>
        <w:keepLines/>
        <w:numPr>
          <w:ilvl w:val="0"/>
          <w:numId w:val="36"/>
        </w:numPr>
        <w:spacing w:after="60"/>
      </w:pPr>
      <w:r>
        <w:rPr>
          <w:rFonts w:ascii="Arial" w:cs="Arial" w:eastAsia="Arial" w:hAnsi="Arial"/>
          <w:color w:val="3D3D3B"/>
          <w:sz w:val="21"/>
          <w:szCs w:val="21"/>
        </w:rPr>
        <w:t xml:space="preserve">En bas de l'écran Renotation.</w:t>
      </w:r>
    </w:p>
    <w:p>
      <w:pPr>
        <w:pStyle w:val="ListParagraph"/>
        <w:keepNext/>
        <w:keepLines/>
        <w:numPr>
          <w:ilvl w:val="0"/>
          <w:numId w:val="36"/>
        </w:numPr>
        <w:spacing w:after="60"/>
      </w:pPr>
      <w:r>
        <w:rPr>
          <w:rFonts w:ascii="Arial" w:cs="Arial" w:eastAsia="Arial" w:hAnsi="Arial"/>
          <w:color w:val="3D3D3B"/>
          <w:sz w:val="21"/>
          <w:szCs w:val="21"/>
        </w:rPr>
        <w:t xml:space="preserve">Choisir la fréquence (mensuelle à annuelle) et le jour d'exécution.</w:t>
      </w:r>
    </w:p>
    <w:p>
      <w:pPr>
        <w:pStyle w:val="ListParagraph"/>
        <w:keepNext w:val="false"/>
        <w:keepLines/>
        <w:numPr>
          <w:ilvl w:val="0"/>
          <w:numId w:val="36"/>
        </w:numPr>
        <w:spacing w:after="60"/>
      </w:pPr>
      <w:r>
        <w:rPr>
          <w:rFonts w:ascii="Arial" w:cs="Arial" w:eastAsia="Arial" w:hAnsi="Arial"/>
          <w:color w:val="3D3D3B"/>
          <w:sz w:val="21"/>
          <w:szCs w:val="21"/>
        </w:rPr>
        <w:t xml:space="preserve">Choisir la sélection et le seuil de migration, puis enregistrer.</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À chaque échéance, un lot est créé avec pour date d'arrêté la fin du mois précédent. « Suspendre » arrête la planification sans la supprimer.</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Instruire un dossier de revue</w:t>
      </w:r>
    </w:p>
    <w:p>
      <w:pPr>
        <w:keepNext/>
        <w:spacing w:after="60" w:before="80"/>
        <w:jc w:val="center"/>
      </w:pPr>
      <w:r>
        <w:drawing>
          <wp:inline distT="0" distB="0" distL="0" distR="0">
            <wp:extent cx="6096000" cy="3429000"/>
            <wp:effectExtent t="0" r="0" b="0" l="0"/>
            <wp:docPr id="1" name="Figure 36 — Instruire un dossier de revue" descr="Figure 36 — Instruire un dossier de revue" title="Figure 36 — Instruire un dossier de rev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36 — Instruire un dossier de revue</w:t>
      </w:r>
    </w:p>
    <w:p>
      <w:pPr>
        <w:pStyle w:val="ListParagraph"/>
        <w:keepNext/>
        <w:keepLines/>
        <w:numPr>
          <w:ilvl w:val="0"/>
          <w:numId w:val="37"/>
        </w:numPr>
        <w:spacing w:after="60"/>
      </w:pPr>
      <w:r>
        <w:rPr>
          <w:rFonts w:ascii="Arial" w:cs="Arial" w:eastAsia="Arial" w:hAnsi="Arial"/>
          <w:color w:val="3D3D3B"/>
          <w:sz w:val="21"/>
          <w:szCs w:val="21"/>
        </w:rPr>
        <w:t xml:space="preserve">Ouvrir le dossier depuis le lot ou la file « Dossiers ».</w:t>
      </w:r>
    </w:p>
    <w:p>
      <w:pPr>
        <w:pStyle w:val="ListParagraph"/>
        <w:keepNext/>
        <w:keepLines/>
        <w:numPr>
          <w:ilvl w:val="0"/>
          <w:numId w:val="37"/>
        </w:numPr>
        <w:spacing w:after="60"/>
      </w:pPr>
      <w:r>
        <w:rPr>
          <w:rFonts w:ascii="Arial" w:cs="Arial" w:eastAsia="Arial" w:hAnsi="Arial"/>
          <w:color w:val="3D3D3B"/>
          <w:sz w:val="21"/>
          <w:szCs w:val="21"/>
        </w:rPr>
        <w:t xml:space="preserve">Lire le bandeau : note officielle, note de surveillance, écart en crans.</w:t>
      </w:r>
    </w:p>
    <w:p>
      <w:pPr>
        <w:pStyle w:val="ListParagraph"/>
        <w:keepNext w:val="false"/>
        <w:keepLines/>
        <w:numPr>
          <w:ilvl w:val="0"/>
          <w:numId w:val="37"/>
        </w:numPr>
        <w:spacing w:after="60"/>
      </w:pPr>
      <w:r>
        <w:rPr>
          <w:rFonts w:ascii="Arial" w:cs="Arial" w:eastAsia="Arial" w:hAnsi="Arial"/>
          <w:color w:val="3D3D3B"/>
          <w:sz w:val="21"/>
          <w:szCs w:val="21"/>
        </w:rPr>
        <w:t xml:space="preserve">Vérifier et compléter la saisie reprise, puis soumettre à validation.</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La note officielle ne change qu'après validation de ce dossier par une seconde personne, comme pour tout dossier.</w:t>
            </w:r>
          </w:p>
        </w:tc>
      </w:tr>
    </w:tbl>
    <w:p>
      <w:pPr>
        <w:spacing w:after="120"/>
      </w:pPr>
      <w:r>
        <w:rPr>
          <w:rFonts w:ascii="Arial" w:cs="Arial" w:eastAsia="Arial" w:hAnsi="Arial"/>
        </w:rPr>
        <w:t xml:space="preserve"/>
      </w:r>
    </w:p>
    <w:p>
      <w:pPr>
        <w:pStyle w:val="Heading1"/>
        <w:pageBreakBefore/>
      </w:pPr>
      <w:r>
        <w:rPr>
          <w:rFonts w:ascii="Arial" w:cs="Arial" w:eastAsia="Arial" w:hAnsi="Arial"/>
        </w:rPr>
        <w:t xml:space="preserve">7. Autres fonctions</w:t>
      </w:r>
    </w:p>
    <w:p>
      <w:pPr>
        <w:spacing w:after="120" w:line="276"/>
      </w:pPr>
      <w:r>
        <w:rPr>
          <w:rFonts w:ascii="Arial" w:cs="Arial" w:eastAsia="Arial" w:hAnsi="Arial"/>
          <w:color w:val="3D3D3B"/>
          <w:sz w:val="21"/>
          <w:szCs w:val="21"/>
        </w:rPr>
        <w:t xml:space="preserve">Simuler, consulter la grille et utiliser l'outil sur téléphone.</w:t>
      </w:r>
    </w:p>
    <w:p>
      <w:pPr>
        <w:pStyle w:val="Heading2"/>
        <w:keepNext/>
      </w:pPr>
      <w:r>
        <w:rPr>
          <w:rFonts w:ascii="Arial" w:cs="Arial" w:eastAsia="Arial" w:hAnsi="Arial"/>
        </w:rPr>
        <w:t xml:space="preserve">Simuler sans enregistrer</w:t>
      </w:r>
    </w:p>
    <w:p>
      <w:pPr>
        <w:keepNext/>
        <w:spacing w:after="60" w:before="80"/>
        <w:jc w:val="center"/>
      </w:pPr>
      <w:r>
        <w:drawing>
          <wp:inline distT="0" distB="0" distL="0" distR="0">
            <wp:extent cx="6096000" cy="3429000"/>
            <wp:effectExtent t="0" r="0" b="0" l="0"/>
            <wp:docPr id="1" name="Figure 37 — Simuler sans enregistrer" descr="Figure 37 — Simuler sans enregistrer" title="Figure 37 — Simuler sans enregist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37 — Simuler sans enregistrer</w:t>
      </w:r>
    </w:p>
    <w:p>
      <w:pPr>
        <w:pStyle w:val="ListParagraph"/>
        <w:keepNext/>
        <w:keepLines/>
        <w:numPr>
          <w:ilvl w:val="0"/>
          <w:numId w:val="38"/>
        </w:numPr>
        <w:spacing w:after="60"/>
      </w:pPr>
      <w:r>
        <w:rPr>
          <w:rFonts w:ascii="Arial" w:cs="Arial" w:eastAsia="Arial" w:hAnsi="Arial"/>
          <w:color w:val="3D3D3B"/>
          <w:sz w:val="21"/>
          <w:szCs w:val="21"/>
        </w:rPr>
        <w:t xml:space="preserve">Menu « Nouvelle notation », partie « Simulation ».</w:t>
      </w:r>
    </w:p>
    <w:p>
      <w:pPr>
        <w:pStyle w:val="ListParagraph"/>
        <w:keepNext w:val="false"/>
        <w:keepLines/>
        <w:numPr>
          <w:ilvl w:val="0"/>
          <w:numId w:val="38"/>
        </w:numPr>
        <w:spacing w:after="60"/>
      </w:pPr>
      <w:r>
        <w:rPr>
          <w:rFonts w:ascii="Arial" w:cs="Arial" w:eastAsia="Arial" w:hAnsi="Arial"/>
          <w:color w:val="3D3D3B"/>
          <w:sz w:val="21"/>
          <w:szCs w:val="21"/>
        </w:rPr>
        <w:t xml:space="preserve">Saisir une grille et cliquer sur « Simuler la notation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Utile pour la formation ou pour tester l'effet d'un ratio. Rien n'est enregistré.</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Consulter la grille du modèle</w:t>
      </w:r>
    </w:p>
    <w:p>
      <w:pPr>
        <w:keepNext/>
        <w:spacing w:after="60" w:before="80"/>
        <w:jc w:val="center"/>
      </w:pPr>
      <w:r>
        <w:drawing>
          <wp:inline distT="0" distB="0" distL="0" distR="0">
            <wp:extent cx="6096000" cy="3429000"/>
            <wp:effectExtent t="0" r="0" b="0" l="0"/>
            <wp:docPr id="1" name="Figure 38 — Consulter la grille du modèle" descr="Figure 38 — Consulter la grille du modèle" title="Figure 38 — Consulter la grille du modè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38 — Consulter la grille du modèle</w:t>
      </w:r>
    </w:p>
    <w:p>
      <w:pPr>
        <w:pStyle w:val="ListParagraph"/>
        <w:keepNext/>
        <w:keepLines/>
        <w:numPr>
          <w:ilvl w:val="0"/>
          <w:numId w:val="39"/>
        </w:numPr>
        <w:spacing w:after="60"/>
      </w:pPr>
      <w:r>
        <w:rPr>
          <w:rFonts w:ascii="Arial" w:cs="Arial" w:eastAsia="Arial" w:hAnsi="Arial"/>
          <w:color w:val="3D3D3B"/>
          <w:sz w:val="21"/>
          <w:szCs w:val="21"/>
        </w:rPr>
        <w:t xml:space="preserve">Menu « Modèles », puis le modèle.</w:t>
      </w:r>
    </w:p>
    <w:p>
      <w:pPr>
        <w:pStyle w:val="ListParagraph"/>
        <w:keepNext w:val="false"/>
        <w:keepLines/>
        <w:numPr>
          <w:ilvl w:val="0"/>
          <w:numId w:val="39"/>
        </w:numPr>
        <w:spacing w:after="60"/>
      </w:pPr>
      <w:r>
        <w:rPr>
          <w:rFonts w:ascii="Arial" w:cs="Arial" w:eastAsia="Arial" w:hAnsi="Arial"/>
          <w:color w:val="3D3D3B"/>
          <w:sz w:val="21"/>
          <w:szCs w:val="21"/>
        </w:rPr>
        <w:t xml:space="preserve">Pondération des domaines, critères, barèmes et repères.</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La méthodologie complète est dans le menu « Méthodologie ».</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Sur téléphone</w:t>
      </w:r>
    </w:p>
    <w:p>
      <w:pPr>
        <w:keepNext/>
        <w:spacing w:after="60" w:before="80"/>
        <w:jc w:val="center"/>
      </w:pPr>
      <w:r>
        <w:drawing>
          <wp:inline distT="0" distB="0" distL="0" distR="0">
            <wp:extent cx="2476500" cy="5362575"/>
            <wp:effectExtent t="0" r="0" b="0" l="0"/>
            <wp:docPr id="1" name="Figure 39 — Sur téléphone" descr="Figure 39 — Sur téléphone" title="Figure 39 — Sur télé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476500" cy="5362575"/>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39 — Sur téléphone</w:t>
      </w:r>
    </w:p>
    <w:p>
      <w:pPr>
        <w:pStyle w:val="ListParagraph"/>
        <w:keepNext/>
        <w:keepLines/>
        <w:numPr>
          <w:ilvl w:val="0"/>
          <w:numId w:val="40"/>
        </w:numPr>
        <w:spacing w:after="60"/>
      </w:pPr>
      <w:r>
        <w:rPr>
          <w:rFonts w:ascii="Arial" w:cs="Arial" w:eastAsia="Arial" w:hAnsi="Arial"/>
          <w:color w:val="3D3D3B"/>
          <w:sz w:val="21"/>
          <w:szCs w:val="21"/>
        </w:rPr>
        <w:t xml:space="preserve">Le menu défile horizontalement.</w:t>
      </w:r>
    </w:p>
    <w:p>
      <w:pPr>
        <w:pStyle w:val="ListParagraph"/>
        <w:keepNext w:val="false"/>
        <w:keepLines/>
        <w:numPr>
          <w:ilvl w:val="0"/>
          <w:numId w:val="40"/>
        </w:numPr>
        <w:spacing w:after="60"/>
      </w:pPr>
      <w:r>
        <w:rPr>
          <w:rFonts w:ascii="Arial" w:cs="Arial" w:eastAsia="Arial" w:hAnsi="Arial"/>
          <w:color w:val="3D3D3B"/>
          <w:sz w:val="21"/>
          <w:szCs w:val="21"/>
        </w:rPr>
        <w:t xml:space="preserve">Les tableaux larges défilent dans leur cadre.</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La validation d'un dossier est possible sur téléphone ; la saisie d'une grille complète est plus confortable sur ordinateur.</w:t>
            </w:r>
          </w:p>
        </w:tc>
      </w:tr>
    </w:tbl>
    <w:p>
      <w:pPr>
        <w:spacing w:after="120"/>
      </w:pPr>
      <w:r>
        <w:rPr>
          <w:rFonts w:ascii="Arial" w:cs="Arial" w:eastAsia="Arial" w:hAnsi="Arial"/>
        </w:rPr>
        <w:t xml:space="preserve"/>
      </w:r>
    </w:p>
    <w:p>
      <w:pPr>
        <w:pStyle w:val="Heading1"/>
        <w:pageBreakBefore/>
      </w:pPr>
      <w:r>
        <w:rPr>
          <w:rFonts w:ascii="Arial" w:cs="Arial" w:eastAsia="Arial" w:hAnsi="Arial"/>
        </w:rPr>
        <w:t xml:space="preserve">8. Administration</w:t>
      </w:r>
    </w:p>
    <w:p>
      <w:pPr>
        <w:spacing w:after="120" w:line="276"/>
      </w:pPr>
      <w:r>
        <w:rPr>
          <w:rFonts w:ascii="Arial" w:cs="Arial" w:eastAsia="Arial" w:hAnsi="Arial"/>
          <w:color w:val="3D3D3B"/>
          <w:sz w:val="21"/>
          <w:szCs w:val="21"/>
        </w:rPr>
        <w:t xml:space="preserve">Réservé aux administrateurs : comptes, organisation, devises et paramétrage.</w:t>
      </w:r>
    </w:p>
    <w:p>
      <w:pPr>
        <w:pStyle w:val="Heading2"/>
        <w:keepNext/>
      </w:pPr>
      <w:r>
        <w:rPr>
          <w:rFonts w:ascii="Arial" w:cs="Arial" w:eastAsia="Arial" w:hAnsi="Arial"/>
        </w:rPr>
        <w:t xml:space="preserve">Vue d'ensemble</w:t>
      </w:r>
    </w:p>
    <w:p>
      <w:pPr>
        <w:keepNext/>
        <w:spacing w:after="60" w:before="80"/>
        <w:jc w:val="center"/>
      </w:pPr>
      <w:r>
        <w:drawing>
          <wp:inline distT="0" distB="0" distL="0" distR="0">
            <wp:extent cx="6096000" cy="3429000"/>
            <wp:effectExtent t="0" r="0" b="0" l="0"/>
            <wp:docPr id="1" name="Figure 40 — Vue d'ensemble" descr="Figure 40 — Vue d'ensemble" title="Figure 40 — Vue d'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40 — Vue d'ensemble</w:t>
      </w:r>
    </w:p>
    <w:p>
      <w:pPr>
        <w:pStyle w:val="ListParagraph"/>
        <w:keepNext/>
        <w:keepLines/>
        <w:numPr>
          <w:ilvl w:val="0"/>
          <w:numId w:val="41"/>
        </w:numPr>
        <w:spacing w:after="60"/>
      </w:pPr>
      <w:r>
        <w:rPr>
          <w:rFonts w:ascii="Arial" w:cs="Arial" w:eastAsia="Arial" w:hAnsi="Arial"/>
          <w:color w:val="3D3D3B"/>
          <w:sz w:val="21"/>
          <w:szCs w:val="21"/>
        </w:rPr>
        <w:t xml:space="preserve">Menu « Administration ».</w:t>
      </w:r>
    </w:p>
    <w:p>
      <w:pPr>
        <w:pStyle w:val="ListParagraph"/>
        <w:keepNext w:val="false"/>
        <w:keepLines/>
        <w:numPr>
          <w:ilvl w:val="0"/>
          <w:numId w:val="41"/>
        </w:numPr>
        <w:spacing w:after="60"/>
      </w:pPr>
      <w:r>
        <w:rPr>
          <w:rFonts w:ascii="Arial" w:cs="Arial" w:eastAsia="Arial" w:hAnsi="Arial"/>
          <w:color w:val="3D3D3B"/>
          <w:sz w:val="21"/>
          <w:szCs w:val="21"/>
        </w:rPr>
        <w:t xml:space="preserve">Quatre domaines : utilisateurs, banques et filiales, devises, paramétrage.</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Un administrateur d'entité gère les comptes de son périmètre ; le paramétrage global relève de l'administrateur du groupe.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Créer un compte</w:t>
      </w:r>
    </w:p>
    <w:p>
      <w:pPr>
        <w:keepNext/>
        <w:spacing w:after="60" w:before="80"/>
        <w:jc w:val="center"/>
      </w:pPr>
      <w:r>
        <w:drawing>
          <wp:inline distT="0" distB="0" distL="0" distR="0">
            <wp:extent cx="6096000" cy="3429000"/>
            <wp:effectExtent t="0" r="0" b="0" l="0"/>
            <wp:docPr id="1" name="Figure 41 — Créer un compte" descr="Figure 41 — Créer un compte" title="Figure 41 — Créer un comp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41 — Créer un compte</w:t>
      </w:r>
    </w:p>
    <w:p>
      <w:pPr>
        <w:pStyle w:val="ListParagraph"/>
        <w:keepNext/>
        <w:keepLines/>
        <w:numPr>
          <w:ilvl w:val="0"/>
          <w:numId w:val="42"/>
        </w:numPr>
        <w:spacing w:after="60"/>
      </w:pPr>
      <w:r>
        <w:rPr>
          <w:rFonts w:ascii="Arial" w:cs="Arial" w:eastAsia="Arial" w:hAnsi="Arial"/>
          <w:color w:val="3D3D3B"/>
          <w:sz w:val="21"/>
          <w:szCs w:val="21"/>
        </w:rPr>
        <w:t xml:space="preserve">Saisir l'identifiant, le nom, le rôle.</w:t>
      </w:r>
    </w:p>
    <w:p>
      <w:pPr>
        <w:pStyle w:val="ListParagraph"/>
        <w:keepNext/>
        <w:keepLines/>
        <w:numPr>
          <w:ilvl w:val="0"/>
          <w:numId w:val="42"/>
        </w:numPr>
        <w:spacing w:after="60"/>
      </w:pPr>
      <w:r>
        <w:rPr>
          <w:rFonts w:ascii="Arial" w:cs="Arial" w:eastAsia="Arial" w:hAnsi="Arial"/>
          <w:color w:val="3D3D3B"/>
          <w:sz w:val="21"/>
          <w:szCs w:val="21"/>
        </w:rPr>
        <w:t xml:space="preserve">Choisir l'entité de rattachement et la portée d'écriture.</w:t>
      </w:r>
    </w:p>
    <w:p>
      <w:pPr>
        <w:pStyle w:val="ListParagraph"/>
        <w:keepNext w:val="false"/>
        <w:keepLines/>
        <w:numPr>
          <w:ilvl w:val="0"/>
          <w:numId w:val="42"/>
        </w:numPr>
        <w:spacing w:after="60"/>
      </w:pPr>
      <w:r>
        <w:rPr>
          <w:rFonts w:ascii="Arial" w:cs="Arial" w:eastAsia="Arial" w:hAnsi="Arial"/>
          <w:color w:val="3D3D3B"/>
          <w:sz w:val="21"/>
          <w:szCs w:val="21"/>
        </w:rPr>
        <w:t xml:space="preserve">Cliquer sur « Créer » et remettre le mot de passe provisoire par un canal distinct.</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Un compte non rattaché à une entité n'a accès à rien, sauf l'administrateur du groupe.</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Banques et filiales</w:t>
      </w:r>
    </w:p>
    <w:p>
      <w:pPr>
        <w:keepNext/>
        <w:spacing w:after="60" w:before="80"/>
        <w:jc w:val="center"/>
      </w:pPr>
      <w:r>
        <w:drawing>
          <wp:inline distT="0" distB="0" distL="0" distR="0">
            <wp:extent cx="6096000" cy="3429000"/>
            <wp:effectExtent t="0" r="0" b="0" l="0"/>
            <wp:docPr id="1" name="Figure 42 — Banques et filiales" descr="Figure 42 — Banques et filiales" title="Figure 42 — Banques et fil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42 — Banques et filiales</w:t>
      </w:r>
    </w:p>
    <w:p>
      <w:pPr>
        <w:pStyle w:val="ListParagraph"/>
        <w:keepNext/>
        <w:keepLines/>
        <w:numPr>
          <w:ilvl w:val="0"/>
          <w:numId w:val="43"/>
        </w:numPr>
        <w:spacing w:after="60"/>
      </w:pPr>
      <w:r>
        <w:rPr>
          <w:rFonts w:ascii="Arial" w:cs="Arial" w:eastAsia="Arial" w:hAnsi="Arial"/>
          <w:color w:val="3D3D3B"/>
          <w:sz w:val="21"/>
          <w:szCs w:val="21"/>
        </w:rPr>
        <w:t xml:space="preserve">Créer une entité : code, entité mère, type, pays, devise.</w:t>
      </w:r>
    </w:p>
    <w:p>
      <w:pPr>
        <w:pStyle w:val="ListParagraph"/>
        <w:keepNext/>
        <w:keepLines/>
        <w:numPr>
          <w:ilvl w:val="0"/>
          <w:numId w:val="43"/>
        </w:numPr>
        <w:spacing w:after="60"/>
      </w:pPr>
      <w:r>
        <w:rPr>
          <w:rFonts w:ascii="Arial" w:cs="Arial" w:eastAsia="Arial" w:hAnsi="Arial"/>
          <w:color w:val="3D3D3B"/>
          <w:sz w:val="21"/>
          <w:szCs w:val="21"/>
        </w:rPr>
        <w:t xml:space="preserve">Habillage facultatif : nom de l'outil, logo, couleur.</w:t>
      </w:r>
    </w:p>
    <w:p>
      <w:pPr>
        <w:pStyle w:val="ListParagraph"/>
        <w:keepNext w:val="false"/>
        <w:keepLines/>
        <w:numPr>
          <w:ilvl w:val="0"/>
          <w:numId w:val="43"/>
        </w:numPr>
        <w:spacing w:after="60"/>
      </w:pPr>
      <w:r>
        <w:rPr>
          <w:rFonts w:ascii="Arial" w:cs="Arial" w:eastAsia="Arial" w:hAnsi="Arial"/>
          <w:color w:val="3D3D3B"/>
          <w:sz w:val="21"/>
          <w:szCs w:val="21"/>
        </w:rPr>
        <w:t xml:space="preserve">« Modifier » ou « Désactiver » une entité existante.</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Une entité voit sa descendance, jamais sa maison mère ni ses entités sœurs.</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Publier un cours de change</w:t>
      </w:r>
    </w:p>
    <w:p>
      <w:pPr>
        <w:keepNext/>
        <w:spacing w:after="60" w:before="80"/>
        <w:jc w:val="center"/>
      </w:pPr>
      <w:r>
        <w:drawing>
          <wp:inline distT="0" distB="0" distL="0" distR="0">
            <wp:extent cx="6096000" cy="3429000"/>
            <wp:effectExtent t="0" r="0" b="0" l="0"/>
            <wp:docPr id="1" name="Figure 43 — Publier un cours de change" descr="Figure 43 — Publier un cours de change" title="Figure 43 — Publier un cours de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43 — Publier un cours de change</w:t>
      </w:r>
    </w:p>
    <w:p>
      <w:pPr>
        <w:pStyle w:val="ListParagraph"/>
        <w:keepNext/>
        <w:keepLines/>
        <w:numPr>
          <w:ilvl w:val="0"/>
          <w:numId w:val="44"/>
        </w:numPr>
        <w:spacing w:after="60"/>
      </w:pPr>
      <w:r>
        <w:rPr>
          <w:rFonts w:ascii="Arial" w:cs="Arial" w:eastAsia="Arial" w:hAnsi="Arial"/>
          <w:color w:val="3D3D3B"/>
          <w:sz w:val="21"/>
          <w:szCs w:val="21"/>
        </w:rPr>
        <w:t xml:space="preserve">Saisir la devise, la date d'effet et le cours en MAD.</w:t>
      </w:r>
    </w:p>
    <w:p>
      <w:pPr>
        <w:pStyle w:val="ListParagraph"/>
        <w:keepNext/>
        <w:keepLines/>
        <w:numPr>
          <w:ilvl w:val="0"/>
          <w:numId w:val="44"/>
        </w:numPr>
        <w:spacing w:after="60"/>
      </w:pPr>
      <w:r>
        <w:rPr>
          <w:rFonts w:ascii="Arial" w:cs="Arial" w:eastAsia="Arial" w:hAnsi="Arial"/>
          <w:color w:val="3D3D3B"/>
          <w:sz w:val="21"/>
          <w:szCs w:val="21"/>
        </w:rPr>
        <w:t xml:space="preserve">Indiquer la source (Bank Al-Maghrib…).</w:t>
      </w:r>
    </w:p>
    <w:p>
      <w:pPr>
        <w:pStyle w:val="ListParagraph"/>
        <w:keepNext w:val="false"/>
        <w:keepLines/>
        <w:numPr>
          <w:ilvl w:val="0"/>
          <w:numId w:val="44"/>
        </w:numPr>
        <w:spacing w:after="60"/>
      </w:pPr>
      <w:r>
        <w:rPr>
          <w:rFonts w:ascii="Arial" w:cs="Arial" w:eastAsia="Arial" w:hAnsi="Arial"/>
          <w:color w:val="3D3D3B"/>
          <w:sz w:val="21"/>
          <w:szCs w:val="21"/>
        </w:rPr>
        <w:t xml:space="preserve">Cliquer sur « Publier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Un cours publié ne se modifie pas : une correction est un nouveau cours daté.</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Paramétrer le workflow</w:t>
      </w:r>
    </w:p>
    <w:p>
      <w:pPr>
        <w:keepNext/>
        <w:spacing w:after="60" w:before="80"/>
        <w:jc w:val="center"/>
      </w:pPr>
      <w:r>
        <w:drawing>
          <wp:inline distT="0" distB="0" distL="0" distR="0">
            <wp:extent cx="6096000" cy="3429000"/>
            <wp:effectExtent t="0" r="0" b="0" l="0"/>
            <wp:docPr id="1" name="Figure 44 — Paramétrer le workflow" descr="Figure 44 — Paramétrer le workflow" title="Figure 44 — Paramétrer 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44 — Paramétrer le workflow</w:t>
      </w:r>
    </w:p>
    <w:p>
      <w:pPr>
        <w:pStyle w:val="ListParagraph"/>
        <w:keepNext/>
        <w:keepLines/>
        <w:numPr>
          <w:ilvl w:val="0"/>
          <w:numId w:val="45"/>
        </w:numPr>
        <w:spacing w:after="60"/>
      </w:pPr>
      <w:r>
        <w:rPr>
          <w:rFonts w:ascii="Arial" w:cs="Arial" w:eastAsia="Arial" w:hAnsi="Arial"/>
          <w:color w:val="3D3D3B"/>
          <w:sz w:val="21"/>
          <w:szCs w:val="21"/>
        </w:rPr>
        <w:t xml:space="preserve">Rôle du valideur et seuil de délégation.</w:t>
      </w:r>
    </w:p>
    <w:p>
      <w:pPr>
        <w:pStyle w:val="ListParagraph"/>
        <w:keepNext/>
        <w:keepLines/>
        <w:numPr>
          <w:ilvl w:val="0"/>
          <w:numId w:val="45"/>
        </w:numPr>
        <w:spacing w:after="60"/>
      </w:pPr>
      <w:r>
        <w:rPr>
          <w:rFonts w:ascii="Arial" w:cs="Arial" w:eastAsia="Arial" w:hAnsi="Arial"/>
          <w:color w:val="3D3D3B"/>
          <w:sz w:val="21"/>
          <w:szCs w:val="21"/>
        </w:rPr>
        <w:t xml:space="preserve">Durée de validité d'une note, ampleur des dérogations, taille des pièces.</w:t>
      </w:r>
    </w:p>
    <w:p>
      <w:pPr>
        <w:pStyle w:val="ListParagraph"/>
        <w:keepNext w:val="false"/>
        <w:keepLines/>
        <w:numPr>
          <w:ilvl w:val="0"/>
          <w:numId w:val="45"/>
        </w:numPr>
        <w:spacing w:after="60"/>
      </w:pPr>
      <w:r>
        <w:rPr>
          <w:rFonts w:ascii="Arial" w:cs="Arial" w:eastAsia="Arial" w:hAnsi="Arial"/>
          <w:color w:val="3D3D3B"/>
          <w:sz w:val="21"/>
          <w:szCs w:val="21"/>
        </w:rPr>
        <w:t xml:space="preserve">Cliquer sur « Enregistrer le paramétrage ».</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Chaque modification est journalisée. Les grilles de notation ne se paramètrent pas ici : elles relèvent du comité modèles.</w:t>
            </w:r>
          </w:p>
        </w:tc>
      </w:tr>
    </w:tbl>
    <w:p>
      <w:pPr>
        <w:spacing w:after="120"/>
      </w:pPr>
      <w:r>
        <w:rPr>
          <w:rFonts w:ascii="Arial" w:cs="Arial" w:eastAsia="Arial" w:hAnsi="Arial"/>
        </w:rPr>
        <w:t xml:space="preserve"/>
      </w:r>
    </w:p>
    <w:p>
      <w:pPr>
        <w:pStyle w:val="Heading2"/>
        <w:keepNext/>
      </w:pPr>
      <w:r>
        <w:rPr>
          <w:rFonts w:ascii="Arial" w:cs="Arial" w:eastAsia="Arial" w:hAnsi="Arial"/>
        </w:rPr>
        <w:t xml:space="preserve">Paramétrer l'IA</w:t>
      </w:r>
    </w:p>
    <w:p>
      <w:pPr>
        <w:keepNext/>
        <w:spacing w:after="60" w:before="80"/>
        <w:jc w:val="center"/>
      </w:pPr>
      <w:r>
        <w:drawing>
          <wp:inline distT="0" distB="0" distL="0" distR="0">
            <wp:extent cx="6096000" cy="3429000"/>
            <wp:effectExtent t="0" r="0" b="0" l="0"/>
            <wp:docPr id="1" name="Figure 45 — Paramétrer l'IA" descr="Figure 45 — Paramétrer l'IA" title="Figure 45 — Paramétrer 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Figure 45 — Paramétrer l'IA</w:t>
      </w:r>
    </w:p>
    <w:p>
      <w:pPr>
        <w:pStyle w:val="ListParagraph"/>
        <w:keepNext/>
        <w:keepLines/>
        <w:numPr>
          <w:ilvl w:val="0"/>
          <w:numId w:val="46"/>
        </w:numPr>
        <w:spacing w:after="60"/>
      </w:pPr>
      <w:r>
        <w:rPr>
          <w:rFonts w:ascii="Arial" w:cs="Arial" w:eastAsia="Arial" w:hAnsi="Arial"/>
          <w:color w:val="3D3D3B"/>
          <w:sz w:val="21"/>
          <w:szCs w:val="21"/>
        </w:rPr>
        <w:t xml:space="preserve">Cocher « Activée ».</w:t>
      </w:r>
    </w:p>
    <w:p>
      <w:pPr>
        <w:pStyle w:val="ListParagraph"/>
        <w:keepNext/>
        <w:keepLines/>
        <w:numPr>
          <w:ilvl w:val="0"/>
          <w:numId w:val="46"/>
        </w:numPr>
        <w:spacing w:after="60"/>
      </w:pPr>
      <w:r>
        <w:rPr>
          <w:rFonts w:ascii="Arial" w:cs="Arial" w:eastAsia="Arial" w:hAnsi="Arial"/>
          <w:color w:val="3D3D3B"/>
          <w:sz w:val="21"/>
          <w:szCs w:val="21"/>
        </w:rPr>
        <w:t xml:space="preserve">Choisir le fournisseur et le modèle ; l'adresse si l'API est interne.</w:t>
      </w:r>
    </w:p>
    <w:p>
      <w:pPr>
        <w:pStyle w:val="ListParagraph"/>
        <w:keepNext w:val="false"/>
        <w:keepLines/>
        <w:numPr>
          <w:ilvl w:val="0"/>
          <w:numId w:val="46"/>
        </w:numPr>
        <w:spacing w:after="60"/>
      </w:pPr>
      <w:r>
        <w:rPr>
          <w:rFonts w:ascii="Arial" w:cs="Arial" w:eastAsia="Arial" w:hAnsi="Arial"/>
          <w:color w:val="3D3D3B"/>
          <w:sz w:val="21"/>
          <w:szCs w:val="21"/>
        </w:rPr>
        <w:t xml:space="preserve">Enregistrer.</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À savoir</w:t>
            </w:r>
          </w:p>
          <w:p>
            <w:pPr>
              <w:spacing w:after="40"/>
            </w:pPr>
            <w:r>
              <w:rPr>
                <w:rFonts w:ascii="Arial" w:cs="Arial" w:eastAsia="Arial" w:hAnsi="Arial"/>
                <w:color w:val="3D3D3B"/>
                <w:sz w:val="20"/>
                <w:szCs w:val="20"/>
              </w:rPr>
              <w:t xml:space="preserve">La clé d'accès n'est jamais saisie à l'écran : elle est déposée par l'informatique dans la configuration du serveur.</w:t>
            </w:r>
          </w:p>
        </w:tc>
      </w:tr>
    </w:tbl>
    <w:p>
      <w:pPr>
        <w:spacing w:after="120"/>
      </w:pPr>
      <w:r>
        <w:rPr>
          <w:rFonts w:ascii="Arial" w:cs="Arial" w:eastAsia="Arial" w:hAnsi="Arial"/>
        </w:rPr>
        <w:t xml:space="preserve"/>
      </w:r>
    </w:p>
    <w:p>
      <w:pPr>
        <w:pStyle w:val="Heading1"/>
        <w:pageBreakBefore/>
      </w:pPr>
      <w:r>
        <w:rPr>
          <w:rFonts w:ascii="Arial" w:cs="Arial" w:eastAsia="Arial" w:hAnsi="Arial"/>
        </w:rPr>
        <w:t xml:space="preserve">Les règles à retenir</w:t>
      </w:r>
    </w:p>
    <w:p>
      <w:pPr>
        <w:pStyle w:val="ListParagraph"/>
        <w:numPr>
          <w:ilvl w:val="0"/>
          <w:numId w:val="47"/>
        </w:numPr>
        <w:spacing w:after="60"/>
      </w:pPr>
      <w:r>
        <w:rPr>
          <w:rFonts w:ascii="Arial" w:cs="Arial" w:eastAsia="Arial" w:hAnsi="Arial"/>
          <w:color w:val="3D3D3B"/>
          <w:sz w:val="21"/>
          <w:szCs w:val="21"/>
        </w:rPr>
        <w:t xml:space="preserve">Une notation ne fait foi qu'après validation par une seconde personne.</w:t>
      </w:r>
    </w:p>
    <w:p>
      <w:pPr>
        <w:pStyle w:val="ListParagraph"/>
        <w:numPr>
          <w:ilvl w:val="0"/>
          <w:numId w:val="47"/>
        </w:numPr>
        <w:spacing w:after="60"/>
      </w:pPr>
      <w:r>
        <w:rPr>
          <w:rFonts w:ascii="Arial" w:cs="Arial" w:eastAsia="Arial" w:hAnsi="Arial"/>
          <w:color w:val="3D3D3B"/>
          <w:sz w:val="21"/>
          <w:szCs w:val="21"/>
        </w:rPr>
        <w:t xml:space="preserve">Celui qui a contribué au dossier ne le valide pas.</w:t>
      </w:r>
    </w:p>
    <w:p>
      <w:pPr>
        <w:pStyle w:val="ListParagraph"/>
        <w:numPr>
          <w:ilvl w:val="0"/>
          <w:numId w:val="47"/>
        </w:numPr>
        <w:spacing w:after="60"/>
      </w:pPr>
      <w:r>
        <w:rPr>
          <w:rFonts w:ascii="Arial" w:cs="Arial" w:eastAsia="Arial" w:hAnsi="Arial"/>
          <w:color w:val="3D3D3B"/>
          <w:sz w:val="21"/>
          <w:szCs w:val="21"/>
        </w:rPr>
        <w:t xml:space="preserve">Sans les trois données critiques, aucune note n'est produite.</w:t>
      </w:r>
    </w:p>
    <w:p>
      <w:pPr>
        <w:pStyle w:val="ListParagraph"/>
        <w:numPr>
          <w:ilvl w:val="0"/>
          <w:numId w:val="47"/>
        </w:numPr>
        <w:spacing w:after="60"/>
      </w:pPr>
      <w:r>
        <w:rPr>
          <w:rFonts w:ascii="Arial" w:cs="Arial" w:eastAsia="Arial" w:hAnsi="Arial"/>
          <w:color w:val="3D3D3B"/>
          <w:sz w:val="21"/>
          <w:szCs w:val="21"/>
        </w:rPr>
        <w:t xml:space="preserve">L'IA propose ; l'analyste décide, et chaque décision est tracée.</w:t>
      </w:r>
    </w:p>
    <w:p>
      <w:pPr>
        <w:pStyle w:val="ListParagraph"/>
        <w:numPr>
          <w:ilvl w:val="0"/>
          <w:numId w:val="47"/>
        </w:numPr>
        <w:spacing w:after="60"/>
      </w:pPr>
      <w:r>
        <w:rPr>
          <w:rFonts w:ascii="Arial" w:cs="Arial" w:eastAsia="Arial" w:hAnsi="Arial"/>
          <w:color w:val="3D3D3B"/>
          <w:sz w:val="21"/>
          <w:szCs w:val="21"/>
        </w:rPr>
        <w:t xml:space="preserve">Un défaut constaté impose un grade de défaut, quel que soit le score.</w:t>
      </w:r>
    </w:p>
    <w:p>
      <w:pPr>
        <w:pStyle w:val="ListParagraph"/>
        <w:numPr>
          <w:ilvl w:val="0"/>
          <w:numId w:val="47"/>
        </w:numPr>
        <w:spacing w:after="60"/>
      </w:pPr>
      <w:r>
        <w:rPr>
          <w:rFonts w:ascii="Arial" w:cs="Arial" w:eastAsia="Arial" w:hAnsi="Arial"/>
          <w:color w:val="3D3D3B"/>
          <w:sz w:val="21"/>
          <w:szCs w:val="21"/>
        </w:rPr>
        <w:t xml:space="preserve">Une dérogation est limitée en crans et exige une seconde validation.</w:t>
      </w:r>
    </w:p>
    <w:p>
      <w:pPr>
        <w:pStyle w:val="ListParagraph"/>
        <w:numPr>
          <w:ilvl w:val="0"/>
          <w:numId w:val="47"/>
        </w:numPr>
        <w:spacing w:after="60"/>
      </w:pPr>
      <w:r>
        <w:rPr>
          <w:rFonts w:ascii="Arial" w:cs="Arial" w:eastAsia="Arial" w:hAnsi="Arial"/>
          <w:color w:val="3D3D3B"/>
          <w:sz w:val="21"/>
          <w:szCs w:val="21"/>
        </w:rPr>
        <w:t xml:space="preserve">Une renotation par lot produit une note de surveillance : seule la validation d'un dossier change la note officielle.</w:t>
      </w:r>
    </w:p>
    <w:p>
      <w:pPr>
        <w:spacing w:after="120" w:line="276"/>
      </w:pPr>
      <w:r>
        <w:rPr>
          <w:rFonts w:ascii="Arial" w:cs="Arial" w:eastAsia="Arial" w:hAnsi="Arial"/>
        </w:rPr>
        <w:t xml:space="preserve"/>
      </w:r>
    </w:p>
    <w:p>
      <w:pPr>
        <w:pStyle w:val="Heading1"/>
        <w:pageBreakBefore/>
      </w:pPr>
      <w:r>
        <w:rPr>
          <w:rFonts w:ascii="Arial" w:cs="Arial" w:eastAsia="Arial" w:hAnsi="Arial"/>
        </w:rPr>
        <w:t xml:space="preserve">Besoin d'aide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Sujet</w:t>
            </w:r>
          </w:p>
        </w:tc>
        <w:tc>
          <w:tcPr>
            <w:tcW w:type="dxa" w:w="50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Interlocuteur</w:t>
            </w:r>
          </w:p>
        </w:tc>
      </w:tr>
      <w:tr>
        <w:trPr>
          <w:cantSplit/>
        </w:trPr>
        <w:tc>
          <w:tcPr>
            <w:tcW w:type="dxa" w:w="4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Accès, mot de passe, compte verrouillé</w:t>
            </w:r>
          </w:p>
        </w:tc>
        <w:tc>
          <w:tcPr>
            <w:tcW w:type="dxa" w:w="5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L'administrateur de l'outil de votre entité</w:t>
            </w:r>
          </w:p>
        </w:tc>
      </w:tr>
      <w:tr>
        <w:trPr>
          <w:cantSplit/>
        </w:trPr>
        <w:tc>
          <w:tcPr>
            <w:tcW w:type="dxa" w:w="4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Rattachement à une banque ou filiale, rôle</w:t>
            </w:r>
          </w:p>
        </w:tc>
        <w:tc>
          <w:tcPr>
            <w:tcW w:type="dxa" w:w="5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L'administrateur de l'outil</w:t>
            </w:r>
          </w:p>
        </w:tc>
      </w:tr>
      <w:tr>
        <w:trPr>
          <w:cantSplit/>
        </w:trPr>
        <w:tc>
          <w:tcPr>
            <w:tcW w:type="dxa" w:w="4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Méthode de notation, grille, dérogations</w:t>
            </w:r>
          </w:p>
        </w:tc>
        <w:tc>
          <w:tcPr>
            <w:tcW w:type="dxa" w:w="5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La Fonction Risques</w:t>
            </w:r>
          </w:p>
        </w:tc>
      </w:tr>
      <w:tr>
        <w:trPr>
          <w:cantSplit/>
        </w:trPr>
        <w:tc>
          <w:tcPr>
            <w:tcW w:type="dxa" w:w="4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Incident technique</w:t>
            </w:r>
          </w:p>
        </w:tc>
        <w:tc>
          <w:tcPr>
            <w:tcW w:type="dxa" w:w="5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Le support informatique (DSI)</w:t>
            </w:r>
          </w:p>
        </w:tc>
      </w:tr>
    </w:tbl>
    <w:sectPr>
      <w:headerReference w:type="default" r:id="rId7"/>
      <w:headerReference w:type="first" r:id="rId8"/>
      <w:footerReference w:type="default" r:id="rId9"/>
      <w:footerReference w:type="first" r:id="rId10"/>
      <w:pgSz w:w="11906" w:h="16838" w:orient="portrait"/>
      <w:pgMar w:top="1300" w:right="1134" w:bottom="1134" w:left="1134"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8A7A6A"/>
        <w:sz w:val="16"/>
        <w:szCs w:val="16"/>
      </w:rPr>
      <w:t xml:space="preserve">Groupe BCP — document interne</w:t>
    </w:r>
    <w:r>
      <w:rPr>
        <w:rFonts w:ascii="Arial" w:cs="Arial" w:eastAsia="Arial" w:hAnsi="Arial"/>
        <w:color w:val="8A7A6A"/>
        <w:sz w:val="16"/>
        <w:szCs w:val="16"/>
      </w:rPr>
      <w:t xml:space="preserve">	Page </w:t>
    </w:r>
    <w:r>
      <w:rPr>
        <w:rFonts w:ascii="Arial" w:cs="Arial" w:eastAsia="Arial" w:hAnsi="Arial"/>
        <w:color w:val="8A7A6A"/>
        <w:sz w:val="16"/>
        <w:szCs w:val="16"/>
      </w:rPr>
      <w:fldChar w:fldCharType="begin"/>
      <w:instrText xml:space="preserve">PAGE</w:instrText>
      <w:fldChar w:fldCharType="separate"/>
      <w:fldChar w:fldCharType="end"/>
    </w:r>
    <w:r>
      <w:rPr>
        <w:rFonts w:ascii="Arial" w:cs="Arial" w:eastAsia="Arial" w:hAnsi="Arial"/>
        <w:color w:val="8A7A6A"/>
        <w:sz w:val="16"/>
        <w:szCs w:val="16"/>
      </w:rPr>
      <w:t xml:space="preserve"> / </w:t>
    </w:r>
    <w:r>
      <w:rPr>
        <w:rFonts w:ascii="Arial" w:cs="Arial" w:eastAsia="Arial" w:hAnsi="Arial"/>
        <w:color w:val="8A7A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7B05" w:sz="6" w:space="4"/>
      </w:pBdr>
      <w:tabs>
        <w:tab w:val="right" w:pos="9638"/>
      </w:tabs>
    </w:pPr>
    <w:r>
      <w:drawing>
        <wp:inline distT="0" distB="0" distL="0" distR="0">
          <wp:extent cx="657225" cy="342900"/>
          <wp:effectExtent t="0" r="0" b="0" l="0"/>
          <wp:docPr id="1" name="logo-entete" descr="Logo" title="Groupe B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7225" cy="342900"/>
                  </a:xfrm>
                  <a:prstGeom prst="rect">
                    <a:avLst/>
                  </a:prstGeom>
                </pic:spPr>
              </pic:pic>
            </a:graphicData>
          </a:graphic>
        </wp:inline>
      </w:drawing>
    </w:r>
    <w:r>
      <w:rPr>
        <w:rFonts w:ascii="Arial" w:cs="Arial" w:eastAsia="Arial" w:hAnsi="Arial"/>
        <w:color w:val="462016"/>
        <w:sz w:val="16"/>
        <w:szCs w:val="16"/>
      </w:rPr>
      <w:t xml:space="preserve">	Guide utilisateur — Outil de notation des entreprises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37B05"/>
      </w:rPr>
    </w:lvl>
  </w:abstractNum>
  <w:abstractNum w:abstractNumId="3" w15:restartNumberingAfterBreak="0">
    <w:multiLevelType w:val="hybridMultilevel"/>
    <w:lvl w:ilvl="0" w15:tentative="1">
      <w:start w:val="1"/>
      <w:numFmt w:val="decimal"/>
      <w:lvlText w:val="%1."/>
      <w:lvlJc w:val="left"/>
      <w:pPr>
        <w:ind w:left="540" w:hanging="360"/>
      </w:pPr>
      <w:rPr>
        <w:b/>
        <w:bCs/>
        <w:color w:val="E37B05"/>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Arial" w:cs="Arial" w:eastAsia="Arial" w:hAnsi="Arial"/>
      <w:b/>
      <w:bCs/>
      <w:color w:val="E37B05"/>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46201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37B0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3fffda9f781866d4be4afa101ebb0e61437ab2f.png"/><Relationship Id="rId12" Type="http://schemas.openxmlformats.org/officeDocument/2006/relationships/image" Target="media/b16d859b989750cbcca582576cc653e7d25651f0.png"/><Relationship Id="rId13" Type="http://schemas.openxmlformats.org/officeDocument/2006/relationships/image" Target="media/4172825c2ac77c58214ac2644c0a643de4ca9e56.jpg"/><Relationship Id="rId14" Type="http://schemas.openxmlformats.org/officeDocument/2006/relationships/image" Target="media/c2cf78ff3598f0a8ee9030957da524c6eba423df.jpg"/><Relationship Id="rId15" Type="http://schemas.openxmlformats.org/officeDocument/2006/relationships/image" Target="media/7bb394318df302cb9866e6e5d8d4958a9264fde4.jpg"/><Relationship Id="rId16" Type="http://schemas.openxmlformats.org/officeDocument/2006/relationships/image" Target="media/d2b831e61cad62836f25777f6d7ef314ae316d6d.jpg"/><Relationship Id="rId17" Type="http://schemas.openxmlformats.org/officeDocument/2006/relationships/image" Target="media/469c05957a768fb782bf14c8615ca153108ec517.jpg"/><Relationship Id="rId18" Type="http://schemas.openxmlformats.org/officeDocument/2006/relationships/image" Target="media/23fb402daf4d5d85c346f9cd5a2893b410b5f810.jpg"/><Relationship Id="rId19" Type="http://schemas.openxmlformats.org/officeDocument/2006/relationships/image" Target="media/b144efb398a5bf361982423997272994834f66da.jpg"/><Relationship Id="rId20" Type="http://schemas.openxmlformats.org/officeDocument/2006/relationships/image" Target="media/c5bd080e9985b5392728a1469fa732cecf59363b.jpg"/><Relationship Id="rId21" Type="http://schemas.openxmlformats.org/officeDocument/2006/relationships/image" Target="media/6374c8b8176f24819e3472f2ed808bdc44585f55.jpg"/><Relationship Id="rId22" Type="http://schemas.openxmlformats.org/officeDocument/2006/relationships/image" Target="media/bfacedcf3564d21ab3803079d2ca4fccd167eb48.jpg"/><Relationship Id="rId23" Type="http://schemas.openxmlformats.org/officeDocument/2006/relationships/image" Target="media/0ad833531d6df628497765b80b490af9e04eeb5b.jpg"/><Relationship Id="rId24" Type="http://schemas.openxmlformats.org/officeDocument/2006/relationships/image" Target="media/00e20bd1acab823b4e3410288e20f7f16330f634.jpg"/><Relationship Id="rId25" Type="http://schemas.openxmlformats.org/officeDocument/2006/relationships/image" Target="media/3eee4745094759213dd9c89f776613a9ca5f2a81.jpg"/><Relationship Id="rId26" Type="http://schemas.openxmlformats.org/officeDocument/2006/relationships/image" Target="media/13dca65f845afbea4d08802797dca8f18b0a5e73.jpg"/><Relationship Id="rId27" Type="http://schemas.openxmlformats.org/officeDocument/2006/relationships/image" Target="media/66f3e16680d651f2ada5c9e10047a5206afb15dc.jpg"/><Relationship Id="rId28" Type="http://schemas.openxmlformats.org/officeDocument/2006/relationships/image" Target="media/5d93439439ffaa349b5d41a0b4cd7088a8a9fecc.jpg"/><Relationship Id="rId29" Type="http://schemas.openxmlformats.org/officeDocument/2006/relationships/image" Target="media/99a39afca5ecccde2e27deffa04f3ff429d28386.jpg"/><Relationship Id="rId30" Type="http://schemas.openxmlformats.org/officeDocument/2006/relationships/image" Target="media/ec34e199df632d1c352bc6854ad710ecb43eec6e.jpg"/><Relationship Id="rId31" Type="http://schemas.openxmlformats.org/officeDocument/2006/relationships/image" Target="media/deb59cd30ad0707b78c2913520391b8542de94e5.jpg"/><Relationship Id="rId32" Type="http://schemas.openxmlformats.org/officeDocument/2006/relationships/image" Target="media/14ae7b9a6402ced5452fdf5bcf89a37e4c953bfb.jpg"/><Relationship Id="rId33" Type="http://schemas.openxmlformats.org/officeDocument/2006/relationships/image" Target="media/1c15aa027b4d06d6f3d650d778ed3dca2dd77280.jpg"/><Relationship Id="rId34" Type="http://schemas.openxmlformats.org/officeDocument/2006/relationships/image" Target="media/688df4fc943796aef98bf6aa04189218fb8d2fc4.jpg"/><Relationship Id="rId35" Type="http://schemas.openxmlformats.org/officeDocument/2006/relationships/image" Target="media/ebcee949459e6c1ce53a0da4cc8f587383151911.jpg"/><Relationship Id="rId36" Type="http://schemas.openxmlformats.org/officeDocument/2006/relationships/image" Target="media/b8c9078ab6289e1d5ff4a168703ba2371ed022fd.jpg"/><Relationship Id="rId37" Type="http://schemas.openxmlformats.org/officeDocument/2006/relationships/image" Target="media/eb9cb3daa87ac5b0e2b542a12ad6b88c396bd112.jpg"/><Relationship Id="rId38" Type="http://schemas.openxmlformats.org/officeDocument/2006/relationships/image" Target="media/cd2bfed6ba5784b6c302bd57f55662b4b13ab008.jpg"/><Relationship Id="rId39" Type="http://schemas.openxmlformats.org/officeDocument/2006/relationships/image" Target="media/ebb76d7be6807925a1b326e7784799b5cebfa823.jpg"/><Relationship Id="rId40" Type="http://schemas.openxmlformats.org/officeDocument/2006/relationships/image" Target="media/acc1d571d6db151d2f2a6f602f92d014d7a30c68.jpg"/><Relationship Id="rId41" Type="http://schemas.openxmlformats.org/officeDocument/2006/relationships/image" Target="media/860c8b40e7f5e06d02db4a516b9a27409fec7ad9.jpg"/><Relationship Id="rId42" Type="http://schemas.openxmlformats.org/officeDocument/2006/relationships/image" Target="media/6424710ecc8c113b9437f9be6a66e16c794a2907.jpg"/><Relationship Id="rId43" Type="http://schemas.openxmlformats.org/officeDocument/2006/relationships/image" Target="media/f1399435c8a0b2085f92c58c8880eca913afcd0f.jpg"/><Relationship Id="rId44" Type="http://schemas.openxmlformats.org/officeDocument/2006/relationships/image" Target="media/2511ea34dff421567c63f3d6c641a67d692479ee.jpg"/><Relationship Id="rId45" Type="http://schemas.openxmlformats.org/officeDocument/2006/relationships/image" Target="media/ae9d778ec9706e98aa6e1dd001e8b5029ae62cef.jpg"/><Relationship Id="rId46" Type="http://schemas.openxmlformats.org/officeDocument/2006/relationships/image" Target="media/83795a3e49b477e69c55c44f6a7dd6fd0bcfc98b.jpg"/><Relationship Id="rId47" Type="http://schemas.openxmlformats.org/officeDocument/2006/relationships/image" Target="media/c9bc442a1c58efb658c9a44d868c362269281e19.jpg"/><Relationship Id="rId48" Type="http://schemas.openxmlformats.org/officeDocument/2006/relationships/image" Target="media/0cef344aaeba2395153237001a8146c1eddee7a3.jpg"/><Relationship Id="rId49" Type="http://schemas.openxmlformats.org/officeDocument/2006/relationships/image" Target="media/0c0d4204e66f2715dc0f49b7e585932504176955.jpg"/><Relationship Id="rId50" Type="http://schemas.openxmlformats.org/officeDocument/2006/relationships/image" Target="media/192d82c46a3b5d3db91bee2399e61ec74e5f0547.jpg"/><Relationship Id="rId51" Type="http://schemas.openxmlformats.org/officeDocument/2006/relationships/image" Target="media/77ac3a98e0c1d9db8785a2ec1f2af4606a290fd2.jpg"/><Relationship Id="rId52" Type="http://schemas.openxmlformats.org/officeDocument/2006/relationships/image" Target="media/61fa8a3e81870900ea817b19e17d7825d53a1221.jpg"/><Relationship Id="rId53" Type="http://schemas.openxmlformats.org/officeDocument/2006/relationships/image" Target="media/a9cb6ee0be33a6e2267fd44bede97153cc21a0b6.jpg"/><Relationship Id="rId54" Type="http://schemas.openxmlformats.org/officeDocument/2006/relationships/image" Target="media/1fc26757bc3be54d694eb5516574381629c5e9b8.jpg"/><Relationship Id="rId55" Type="http://schemas.openxmlformats.org/officeDocument/2006/relationships/image" Target="media/53972baa62701757e994b91bdb93e594d4c887aa.jpg"/><Relationship Id="rId56" Type="http://schemas.openxmlformats.org/officeDocument/2006/relationships/image" Target="media/09f9a7c4be524ea548550c9ae80abdee6f561499.jpg"/><Relationship Id="rId57" Type="http://schemas.openxmlformats.org/officeDocument/2006/relationships/image" Target="media/81fc944be53a7ff42fb28525993f9a27f7799907.jp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3fffda9f781866d4be4afa101ebb0e61437ab2f.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 Outil de notation des entreprises</dc:title>
  <dc:creator>Groupe BCP</dc:creator>
  <dc:description>Guide utilisateur — Outil de notation des entreprises</dc:description>
  <cp:lastModifiedBy>Un-named</cp:lastModifiedBy>
  <cp:revision>1</cp:revision>
  <dcterms:created xsi:type="dcterms:W3CDTF">2026-10-28T18:29:51.712Z</dcterms:created>
  <dcterms:modified xsi:type="dcterms:W3CDTF">2026-10-28T18:29:51.713Z</dcterms:modified>
</cp:coreProperties>
</file>

<file path=docProps/custom.xml><?xml version="1.0" encoding="utf-8"?>
<Properties xmlns="http://schemas.openxmlformats.org/officeDocument/2006/custom-properties" xmlns:vt="http://schemas.openxmlformats.org/officeDocument/2006/docPropsVTypes"/>
</file>