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5F4A"/>
          <w:sz w:val="24"/>
          <w:szCs w:val="24"/>
        </w:rPr>
        <w:t xml:space="preserve">SGES — Système de gestion environnementale, sociale et climatique</w:t>
      </w:r>
    </w:p>
    <w:p>
      <w:pPr>
        <w:spacing w:after="240"/>
      </w:pPr>
      <w:r>
        <w:rPr>
          <w:b/>
          <w:bCs/>
          <w:sz w:val="44"/>
          <w:szCs w:val="44"/>
        </w:rPr>
        <w:t xml:space="preserve">Proposition : listes déroulantes, paramétrage et questionnaires allégés selon l’activité</w:t>
      </w:r>
    </w:p>
    <w:p>
      <w:pPr>
        <w:pBdr>
          <w:bottom w:val="single" w:color="1F5F4A" w:sz="12" w:space="6"/>
        </w:pBdr>
        <w:spacing w:after="300"/>
      </w:pPr>
    </w:p>
    <w:p>
      <w:pPr>
        <w:spacing w:after="120" w:line="276"/>
      </w:pPr>
      <w:r>
        <w:rPr>
          <w:i/>
          <w:iCs/>
          <w:sz w:val="22"/>
          <w:szCs w:val="22"/>
        </w:rPr>
        <w:t xml:space="preserve">Document de proposition — aucune modification n’a été apportée à l’outil.</w:t>
      </w:r>
    </w:p>
    <w:p>
      <w:pPr>
        <w:spacing w:after="120" w:line="276"/>
      </w:pPr>
      <w:r>
        <w:rPr>
          <w:sz w:val="22"/>
          <w:szCs w:val="22"/>
        </w:rPr>
        <w:t xml:space="preserve">Version du 26 octobre 2026</w:t>
      </w:r>
    </w:p>
    <w:p>
      <w:pPr>
        <w:spacing w:after="120" w:line="276"/>
      </w:pPr>
      <w:r>
        <w:rPr>
          <w:sz w:val="22"/>
          <w:szCs w:val="22"/>
        </w:rPr>
        <w:t xml:space="preserve">Destinataires : direction du projet SGES, Responsable Social et Environnemental, Conformité, Juridique.</w:t>
      </w:r>
    </w:p>
    <w:p>
      <w:pPr>
        <w:pStyle w:val="Heading1"/>
        <w:pageBreakBefore/>
      </w:pPr>
      <w:r>
        <w:t xml:space="preserve">Synthèse</w:t>
      </w:r>
    </w:p>
    <w:p>
      <w:pPr>
        <w:spacing w:after="120" w:line="276"/>
      </w:pPr>
      <w:r>
        <w:t xml:space="preserve">Vous avez demandé trois choses : plus de listes déroulantes, un outil paramétrable au maximum, et la possibilité de réduire les questionnaires au minimum réglementaire selon l’activité de l’entreprise. Les trois sont possibles. Ce document explique ce qui existe déjà, ce qui est proposé et ce qui doit être validé par des experts avant tout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F4A" w:sz="12"/>
              <w:left w:val="single" w:color="C9D3CF" w:sz="4"/>
              <w:bottom w:val="single" w:color="C9D3CF" w:sz="4"/>
              <w:right w:val="single" w:color="C9D3CF" w:sz="4"/>
            </w:tcBorders>
            <w:shd w:fill="E6F0EC" w:color="auto" w:val="clear"/>
            <w:tcMar>
              <w:top w:type="dxa" w:w="120"/>
              <w:left w:type="dxa" w:w="160"/>
              <w:bottom w:type="dxa" w:w="120"/>
              <w:right w:type="dxa" w:w="160"/>
            </w:tcMar>
          </w:tcPr>
          <w:p>
            <w:pPr>
              <w:spacing w:after="80"/>
            </w:pPr>
            <w:r>
              <w:rPr>
                <w:b/>
                <w:bCs/>
                <w:color w:val="1F5F4A"/>
                <w:sz w:val="22"/>
                <w:szCs w:val="22"/>
              </w:rPr>
              <w:t xml:space="preserve">Les trois propositions en bref</w:t>
            </w:r>
          </w:p>
          <w:p>
            <w:pPr>
              <w:pStyle w:val="ListParagraph"/>
              <w:numPr>
                <w:ilvl w:val="0"/>
                <w:numId w:val="2"/>
              </w:numPr>
              <w:spacing w:after="60" w:line="264"/>
            </w:pPr>
            <w:r>
              <w:rPr>
                <w:b/>
                <w:bCs/>
              </w:rPr>
              <w:t xml:space="preserve">Listes déroulantes. </w:t>
            </w:r>
            <w:r>
              <w:t xml:space="preserve">Sur une soixantaine de champs saisis librement, 23 peuvent devenir des listes (ou des cases à cocher dans un catalogue). Les commentaires d’analyse restent en texte libre, parce qu’ils portent le jugement du chargé et du comité.</w:t>
            </w:r>
          </w:p>
          <w:p>
            <w:pPr>
              <w:pStyle w:val="ListParagraph"/>
              <w:numPr>
                <w:ilvl w:val="0"/>
                <w:numId w:val="2"/>
              </w:numPr>
              <w:spacing w:after="60" w:line="264"/>
            </w:pPr>
            <w:r>
              <w:rPr>
                <w:b/>
                <w:bCs/>
              </w:rPr>
              <w:t xml:space="preserve">Paramétrage. </w:t>
            </w:r>
            <w:r>
              <w:t xml:space="preserve">L’outil compte déjà 9 listes de valeurs et 37 paramètres modifiables sans développement. Onze éléments sont encore figés dans le code (pièces attendues, clauses E&amp;S, types de visite, horizons d’action, référentiel climat, notifications…) : la proposition est de les rendre modifiables dans l’administration.</w:t>
            </w:r>
          </w:p>
          <w:p>
            <w:pPr>
              <w:pStyle w:val="ListParagraph"/>
              <w:numPr>
                <w:ilvl w:val="0"/>
                <w:numId w:val="2"/>
              </w:numPr>
              <w:spacing w:after="60" w:line="264"/>
            </w:pPr>
            <w:r>
              <w:rPr>
                <w:b/>
                <w:bCs/>
              </w:rPr>
              <w:t xml:space="preserve">Questionnaires allégés. </w:t>
            </w:r>
            <w:r>
              <w:t xml:space="preserve">Chaque question reçoit un niveau (réglementaire, interne, SFI / Équateur, bonne pratique) et, si besoin, un déclencheur lié au secteur, à la zone, à l’effectif ou au mode de financement. L’outil ne pose alors que les questions utiles. Exemple : un hôtel de catégorie B passe de 46 questions à 21 au minimum réglementaire, ou à 34 en niveau standard.</w:t>
            </w:r>
          </w:p>
        </w:tc>
      </w:tr>
    </w:tbl>
    <w:p>
      <w:pPr>
        <w:spacing w:after="80"/>
      </w:pPr>
    </w:p>
    <w:p>
      <w:pPr>
        <w:pStyle w:val="Heading3"/>
      </w:pPr>
      <w:r>
        <w:t xml:space="preserve">Ce qui protège la banque</w:t>
      </w:r>
    </w:p>
    <w:p>
      <w:pPr>
        <w:pStyle w:val="ListParagraph"/>
        <w:numPr>
          <w:ilvl w:val="0"/>
          <w:numId w:val="2"/>
        </w:numPr>
        <w:spacing w:after="60" w:line="264"/>
      </w:pPr>
      <w:r>
        <w:t xml:space="preserve">Les questions réglementaires ne sont jamais retirées.</w:t>
      </w:r>
    </w:p>
    <w:p>
      <w:pPr>
        <w:pStyle w:val="ListParagraph"/>
        <w:numPr>
          <w:ilvl w:val="0"/>
          <w:numId w:val="2"/>
        </w:numPr>
        <w:spacing w:after="60" w:line="264"/>
      </w:pPr>
      <w:r>
        <w:t xml:space="preserve">La catégorie A garde toujours le questionnaire complet, comme le prévoit la procédure.</w:t>
      </w:r>
    </w:p>
    <w:p>
      <w:pPr>
        <w:pStyle w:val="ListParagraph"/>
        <w:numPr>
          <w:ilvl w:val="0"/>
          <w:numId w:val="2"/>
        </w:numPr>
        <w:spacing w:after="60" w:line="264"/>
      </w:pPr>
      <w:r>
        <w:t xml:space="preserve">Dès qu’un bailleur ou les Principes de l’Équateur s’appliquent, les questions SFI correspondantes reviennent automatiquement.</w:t>
      </w:r>
    </w:p>
    <w:p>
      <w:pPr>
        <w:pStyle w:val="ListParagraph"/>
        <w:numPr>
          <w:ilvl w:val="0"/>
          <w:numId w:val="2"/>
        </w:numPr>
        <w:spacing w:after="60" w:line="264"/>
      </w:pPr>
      <w:r>
        <w:t xml:space="preserve">Le Responsable RSE peut toujours imposer le questionnaire complet sur un dossier.</w:t>
      </w:r>
    </w:p>
    <w:p>
      <w:pPr>
        <w:pStyle w:val="ListParagraph"/>
        <w:numPr>
          <w:ilvl w:val="0"/>
          <w:numId w:val="2"/>
        </w:numPr>
        <w:spacing w:after="60" w:line="264"/>
      </w:pPr>
      <w:r>
        <w:t xml:space="preserve">La fiche E&amp;S indique le niveau retenu et le nombre de questions non posées, pour l’audit.</w:t>
      </w:r>
    </w:p>
    <w:p>
      <w:pPr>
        <w:pStyle w:val="Heading3"/>
      </w:pPr>
      <w:r>
        <w:t xml:space="preserve">Ce qu’il faut décider</w:t>
      </w:r>
    </w:p>
    <w:p>
      <w:pPr>
        <w:spacing w:after="120" w:line="276"/>
      </w:pPr>
      <w:r>
        <w:t xml:space="preserve">Le marquage des questions (annexe 2) est une première proposition faite à partir des références réglementaires déjà inscrites dans chaque question. Il doit être validé par le Responsable RSE et la Conformité / le Juridique : c’est la condition indispensable avant de développer quoi que ce soit. La liste des décisions attendues figure au chapitre 5.</w:t>
      </w:r>
    </w:p>
    <w:p>
      <w:pPr>
        <w:pStyle w:val="Heading1"/>
        <w:pageBreakBefore/>
      </w:pPr>
      <w:r>
        <w:t xml:space="preserve">1. État des lieux de l’outil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338"/>
      </w:tblGrid>
      <w:tr>
        <w:trPr>
          <w:tblHeader/>
        </w:trPr>
        <w:tc>
          <w:tcPr>
            <w:tcW w:type="dxa" w:w="27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Élément</w:t>
            </w:r>
          </w:p>
        </w:tc>
        <w:tc>
          <w:tcPr>
            <w:tcW w:type="dxa" w:w="16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Aujourd’hui</w:t>
            </w:r>
          </w:p>
        </w:tc>
        <w:tc>
          <w:tcPr>
            <w:tcW w:type="dxa" w:w="53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Commentaire</w:t>
            </w:r>
          </w:p>
        </w:tc>
      </w:tr>
      <w:tr>
        <w:trPr>
          <w:cantSplit/>
        </w:trPr>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Listes déroulantes dans les écrans</w:t>
            </w:r>
          </w:p>
        </w:tc>
        <w:tc>
          <w:tcPr>
            <w:tcW w:type="dxa" w:w="1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28 champs</w:t>
            </w:r>
          </w:p>
        </w:tc>
        <w:tc>
          <w:tcPr>
            <w:tcW w:type="dxa" w:w="53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Types de crédit, secteurs, régions, devises, comités, motifs de rejet, types de pièces, formes juridiques…</w:t>
            </w:r>
          </w:p>
        </w:tc>
      </w:tr>
      <w:tr>
        <w:trPr>
          <w:cantSplit/>
        </w:trPr>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Listes de valeurs modifiables par l’administrateur</w:t>
            </w:r>
          </w:p>
        </w:tc>
        <w:tc>
          <w:tcPr>
            <w:tcW w:type="dxa" w:w="1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9 listes</w:t>
            </w:r>
          </w:p>
        </w:tc>
        <w:tc>
          <w:tcPr>
            <w:tcW w:type="dxa" w:w="53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Type de crédit, nature du projet, type de zone, comité, motif de rejet, type de document, forme juridique, segment, ligne de financement. Libellés en français, anglais et arabe.</w:t>
            </w:r>
          </w:p>
        </w:tc>
      </w:tr>
      <w:tr>
        <w:trPr>
          <w:cantSplit/>
        </w:trPr>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Paramètres modifiables</w:t>
            </w:r>
          </w:p>
        </w:tc>
        <w:tc>
          <w:tcPr>
            <w:tcW w:type="dxa" w:w="1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37 paramètres</w:t>
            </w:r>
          </w:p>
        </w:tc>
        <w:tc>
          <w:tcPr>
            <w:tcW w:type="dxa" w:w="53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Seuils, délais, séparation des fonctions, volet climat, IA, sécurité des sessions…</w:t>
            </w:r>
          </w:p>
        </w:tc>
      </w:tr>
      <w:tr>
        <w:trPr>
          <w:cantSplit/>
        </w:trPr>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Référentiels modifiables</w:t>
            </w:r>
          </w:p>
        </w:tc>
        <w:tc>
          <w:tcPr>
            <w:tcW w:type="dxa" w:w="1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9 écrans</w:t>
            </w:r>
          </w:p>
        </w:tc>
        <w:tc>
          <w:tcPr>
            <w:tcW w:type="dxa" w:w="53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Langues, devises, cours de change, listes, secteurs, régions, liste d’exclusion, catégorisation, thématiques et questionnaires.</w:t>
            </w:r>
          </w:p>
        </w:tc>
      </w:tr>
      <w:tr>
        <w:trPr>
          <w:cantSplit/>
        </w:trPr>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Champs saisis en texte libre</w:t>
            </w:r>
          </w:p>
        </w:tc>
        <w:tc>
          <w:tcPr>
            <w:tcW w:type="dxa" w:w="1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environ 60</w:t>
            </w:r>
          </w:p>
        </w:tc>
        <w:tc>
          <w:tcPr>
            <w:tcW w:type="dxa" w:w="53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Dont 23 transformables en liste ou en catalogue (chapitre 2).</w:t>
            </w:r>
          </w:p>
        </w:tc>
      </w:tr>
      <w:tr>
        <w:trPr>
          <w:cantSplit/>
        </w:trPr>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Questionnaire d’évaluation des risques</w:t>
            </w:r>
          </w:p>
        </w:tc>
        <w:tc>
          <w:tcPr>
            <w:tcW w:type="dxa" w:w="1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55 questions</w:t>
            </w:r>
          </w:p>
        </w:tc>
        <w:tc>
          <w:tcPr>
            <w:tcW w:type="dxa" w:w="53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Catégorie A : 49 questions ; B : 46 ; C : 20 ; intermédiaires financiers (FI) : 9.</w:t>
            </w:r>
          </w:p>
        </w:tc>
      </w:tr>
      <w:tr>
        <w:trPr>
          <w:cantSplit/>
        </w:trPr>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Ciblage des questions par secteur</w:t>
            </w:r>
          </w:p>
        </w:tc>
        <w:tc>
          <w:tcPr>
            <w:tcW w:type="dxa" w:w="1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Prévu mais inutilisé</w:t>
            </w:r>
          </w:p>
        </w:tc>
        <w:tc>
          <w:tcPr>
            <w:tcW w:type="dxa" w:w="53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Chaque question peut déjà être limitée à certains secteurs, mais aucune ne l’est aujourd’hui : toutes les questions de la catégorie sont posées à tous les dossiers.</w:t>
            </w:r>
          </w:p>
        </w:tc>
      </w:tr>
      <w:tr>
        <w:trPr>
          <w:cantSplit/>
        </w:trPr>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Éléments figés dans le code</w:t>
            </w:r>
          </w:p>
        </w:tc>
        <w:tc>
          <w:tcPr>
            <w:tcW w:type="dxa" w:w="1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11 éléments</w:t>
            </w:r>
          </w:p>
        </w:tc>
        <w:tc>
          <w:tcPr>
            <w:tcW w:type="dxa" w:w="53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Pièces attendues, clauses E&amp;S, types de visite, niveaux de conformité, horizons d’action, référentiel climat… (chapitre 3).</w:t>
            </w:r>
          </w:p>
        </w:tc>
      </w:tr>
    </w:tbl>
    <w:p>
      <w:pPr>
        <w:spacing w:after="80"/>
      </w:pPr>
    </w:p>
    <w:p>
      <w:pPr>
        <w:spacing w:after="120" w:line="276"/>
      </w:pPr>
      <w:r>
        <w:t xml:space="preserve">Bonne nouvelle : la mécanique nécessaire à l’allègement des questionnaires existe déjà en partie. L’outil sait filtrer une question par catégorie et par secteur. Il manque surtout le marquage des questions et quelques déclencheurs supplémentaires.</w:t>
      </w:r>
    </w:p>
    <w:p>
      <w:pPr>
        <w:pStyle w:val="Heading1"/>
        <w:pageBreakBefore/>
      </w:pPr>
      <w:r>
        <w:t xml:space="preserve">2. Davantage de listes déroulantes</w:t>
      </w:r>
    </w:p>
    <w:p>
      <w:pPr>
        <w:pStyle w:val="Heading2"/>
      </w:pPr>
      <w:r>
        <w:t xml:space="preserve">2.1 Principes proposés</w:t>
      </w:r>
    </w:p>
    <w:p>
      <w:pPr>
        <w:pStyle w:val="ListParagraph"/>
        <w:numPr>
          <w:ilvl w:val="0"/>
          <w:numId w:val="2"/>
        </w:numPr>
        <w:spacing w:after="60" w:line="264"/>
      </w:pPr>
      <w:r>
        <w:rPr>
          <w:b/>
          <w:bCs/>
        </w:rPr>
        <w:t xml:space="preserve">Liste + « Autre (préciser) ». </w:t>
      </w:r>
      <w:r>
        <w:t xml:space="preserve">Chaque liste garde une option « Autre » avec un petit champ texte, pour ne jamais bloquer le chargé. L’administrateur voit les « Autre » les plus fréquents et peut les ajouter à la liste.</w:t>
      </w:r>
    </w:p>
    <w:p>
      <w:pPr>
        <w:pStyle w:val="ListParagraph"/>
        <w:numPr>
          <w:ilvl w:val="0"/>
          <w:numId w:val="2"/>
        </w:numPr>
        <w:spacing w:after="60" w:line="264"/>
      </w:pPr>
      <w:r>
        <w:rPr>
          <w:b/>
          <w:bCs/>
        </w:rPr>
        <w:t xml:space="preserve">Catalogue à cocher pour les textes longs. </w:t>
      </w:r>
      <w:r>
        <w:t xml:space="preserve">Pour les réserves, constats ou mesures d’adaptation, on coche des éléments types puis on complète si besoin. La fiche reste lisible et le reporting devient possible (par exemple : « combien de dossiers ont une réserve sur l’autorisation de déversement ? »).</w:t>
      </w:r>
    </w:p>
    <w:p>
      <w:pPr>
        <w:pStyle w:val="ListParagraph"/>
        <w:numPr>
          <w:ilvl w:val="0"/>
          <w:numId w:val="2"/>
        </w:numPr>
        <w:spacing w:after="60" w:line="264"/>
      </w:pPr>
      <w:r>
        <w:rPr>
          <w:b/>
          <w:bCs/>
        </w:rPr>
        <w:t xml:space="preserve">Listes liées. </w:t>
      </w:r>
      <w:r>
        <w:t xml:space="preserve">La liste des communes dépend de la région ; celle des actions types dépend du thème ; celle des clauses dépend de la catégorie.</w:t>
      </w:r>
    </w:p>
    <w:p>
      <w:pPr>
        <w:pStyle w:val="ListParagraph"/>
        <w:numPr>
          <w:ilvl w:val="0"/>
          <w:numId w:val="2"/>
        </w:numPr>
        <w:spacing w:after="60" w:line="264"/>
      </w:pPr>
      <w:r>
        <w:rPr>
          <w:b/>
          <w:bCs/>
        </w:rPr>
        <w:t xml:space="preserve">Texte libre conservé pour le jugement. </w:t>
      </w:r>
      <w:r>
        <w:t xml:space="preserve">Commentaire d’évaluation, avis du comité, commentaire climat et motivation d’une dérogation restent libres. L’assistant IA sait déjà les pré-rédiger.</w:t>
      </w:r>
    </w:p>
    <w:p>
      <w:pPr>
        <w:pStyle w:val="ListParagraph"/>
        <w:numPr>
          <w:ilvl w:val="0"/>
          <w:numId w:val="2"/>
        </w:numPr>
        <w:spacing w:after="60" w:line="264"/>
      </w:pPr>
      <w:r>
        <w:rPr>
          <w:b/>
          <w:bCs/>
        </w:rPr>
        <w:t xml:space="preserve">Trois langues. </w:t>
      </w:r>
      <w:r>
        <w:t xml:space="preserve">Toutes les nouvelles listes ont un libellé en français, anglais et arabe, comme les listes actuelles.</w:t>
      </w:r>
    </w:p>
    <w:p>
      <w:pPr>
        <w:pStyle w:val="Heading2"/>
      </w:pPr>
      <w:r>
        <w:t xml:space="preserve">2.2 Champs concernés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400"/>
        <w:gridCol w:w="4838"/>
      </w:tblGrid>
      <w:tr>
        <w:trPr>
          <w:tblHeader/>
        </w:trPr>
        <w:tc>
          <w:tcPr>
            <w:tcW w:type="dxa" w:w="15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Écran</w:t>
            </w:r>
          </w:p>
        </w:tc>
        <w:tc>
          <w:tcPr>
            <w:tcW w:type="dxa" w:w="19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Champ</w:t>
            </w:r>
          </w:p>
        </w:tc>
        <w:tc>
          <w:tcPr>
            <w:tcW w:type="dxa" w:w="14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Aujourd’hui</w:t>
            </w:r>
          </w:p>
        </w:tc>
        <w:tc>
          <w:tcPr>
            <w:tcW w:type="dxa" w:w="48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Proposition</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Identification</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Localité</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Liste des provinces / préfectures et communes, filtrée par la région choisie (nouveau référentiel « communes »).</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Identification</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Objet du projet</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Liste « type d’objet » (nouvelle unité, extension de capacité, acquisition d’équipements, mise à niveau environnementale, efficacité énergétique…) + description libre pré-remplie par un modèle selon le secteur.</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Identification</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Processus de production</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Modèle de description proposé selon le secteur, modifiable.</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Identification</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Durée du crédit</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Nombre de mois</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Durées usuelles proposées (12 à 180 mois) avec saisie libre possible.</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Client</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Ville</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Liste des villes (même référentiel que les communes).</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Client / Entités</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Pays</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Liste des pays (codes ISO), libellés en trois langues.</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Exclusion</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Motif / justification</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Liste : activité principale, activité accessoire (&lt; seuil), fournisseur ou sous-traitant, activité future… + précision.</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Catégorisation</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Justification du reclassement</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Liste de motifs (EIES disponible, ampleur limitée, zone sensible, cumul d’impacts, avis RSE…) + commentaire.</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Climat</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Source des émissions</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Liste : bilan carbone vérifié, audit énergétique (loi 47-09), déclaration du client, facteurs d’émission sectoriels, étude d’impact.</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Climat</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Mesures d’adaptation</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Catalogue à cocher : rétention des eaux pluviales, forage ou source d’eau de secours, recyclage de l’eau, protection contre l’inondation, isolation / toiture réfléchissante, groupe électrogène, assurance catastrophes (loi 110-14)… + précision.</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Plan d’actions</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Libellé d’une action ajoutée</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Catalogue d’actions types par thème (déjà utilisé pour les actions générées automatiquement) + « Autre ».</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Plan d’actions</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Responsable</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Liste de fonctions côté client : direction générale, responsable HSE, DRH, direction technique, bureau d’études, sous-traitant.</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Plan d’actions</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Échéance</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Date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Horizon proposé (3, 6, 12, 24 mois) qui calcule la date, modifiable.</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Décision</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Réserves du comité</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Catalogue de conditions et réserves types, reliées aux clauses E&amp;S déjà générées par l’outil, à cocher + texte complémentaire.</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Suivi</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Participants à la visite</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Sélection multiple : utilisateurs de la banque + fonctions côté client.</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Suivi</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Constats de visite</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Catalogue de constats types par thème (rejets, déchets, sécurité, social…) avec niveau de gravité + texte libre.</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Suivi</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Recommandations</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Catalogue de recommandations types, transformables en action du plan en un clic.</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Suivi</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Prochaine visite</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Date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Proposition automatique selon la catégorie et la conformité constatée (paramètre).</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Administration</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Fonction d’un utilisateur</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Liste des fonctions de la banque.</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Administration</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Secteurs ciblés par une question</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Codes tapés à la main</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Sélection multiple dans le référentiel des secteurs.</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Administration</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Références normatives d’une question</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Texte libre</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Sélection multiple dans un référentiel des textes (lois marocaines, normes SFI, directive BAM, Principes de l’Équateur).</w:t>
            </w:r>
          </w:p>
        </w:tc>
      </w:tr>
      <w:tr>
        <w:trPr>
          <w:cantSplit/>
        </w:trPr>
        <w:tc>
          <w:tcPr>
            <w:tcW w:type="dxa" w:w="1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Administration</w:t>
            </w:r>
          </w:p>
        </w:tc>
        <w:tc>
          <w:tcPr>
            <w:tcW w:type="dxa" w:w="19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Délai d’expiration d’une clé d’API</w:t>
            </w:r>
          </w:p>
        </w:tc>
        <w:tc>
          <w:tcPr>
            <w:tcW w:type="dxa" w:w="14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Date</w:t>
            </w:r>
          </w:p>
        </w:tc>
        <w:tc>
          <w:tcPr>
            <w:tcW w:type="dxa" w:w="4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Durées proposées (3, 6, 12 mois).</w:t>
            </w:r>
          </w:p>
        </w:tc>
      </w:tr>
      <w:tr>
        <w:trPr>
          <w:cantSplit/>
        </w:trPr>
        <w:tc>
          <w:tcPr>
            <w:tcW w:type="dxa" w:w="1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Reporting</w:t>
            </w:r>
          </w:p>
        </w:tc>
        <w:tc>
          <w:tcPr>
            <w:tcW w:type="dxa" w:w="19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Période (du / au)</w:t>
            </w:r>
          </w:p>
        </w:tc>
        <w:tc>
          <w:tcPr>
            <w:tcW w:type="dxa" w:w="14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Deux dates</w:t>
            </w:r>
          </w:p>
        </w:tc>
        <w:tc>
          <w:tcPr>
            <w:tcW w:type="dxa" w:w="4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Périodes prédéfinies : mois, trimestre, semestre, année, année glissante.</w:t>
            </w:r>
          </w:p>
        </w:tc>
      </w:tr>
    </w:tbl>
    <w:p>
      <w:pPr>
        <w:spacing w:after="80"/>
      </w:pPr>
    </w:p>
    <w:p>
      <w:pPr>
        <w:spacing w:after="120" w:line="276"/>
      </w:pPr>
      <w:r>
        <w:rPr>
          <w:b/>
          <w:bCs/>
        </w:rPr>
        <w:t xml:space="preserve">Champs laissés en texte libre (volontairement) : </w:t>
      </w:r>
      <w:r>
        <w:t xml:space="preserve">commentaire d’évaluation, commentaire climat, avis et commentaire du comité, motif détaillé d’un rejet, motivation d’une dérogation, commentaire de retour au chargé, adresse, raison sociale et coordonnées.</w:t>
      </w:r>
    </w:p>
    <w:p>
      <w:pPr>
        <w:pStyle w:val="Heading1"/>
        <w:spacing w:after="240" w:before="480"/>
      </w:pPr>
      <w:r>
        <w:t xml:space="preserve">3. Rendre l’outil paramétrable au maximum</w:t>
      </w:r>
    </w:p>
    <w:p>
      <w:pPr>
        <w:pStyle w:val="Heading2"/>
      </w:pPr>
      <w:r>
        <w:t xml:space="preserve">3.1 Éléments aujourd’hui figés dans le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538"/>
      </w:tblGrid>
      <w:tr>
        <w:trPr>
          <w:tblHeader/>
        </w:trPr>
        <w:tc>
          <w:tcPr>
            <w:tcW w:type="dxa" w:w="25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Élément</w:t>
            </w:r>
          </w:p>
        </w:tc>
        <w:tc>
          <w:tcPr>
            <w:tcW w:type="dxa" w:w="26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Aujourd’hui</w:t>
            </w:r>
          </w:p>
        </w:tc>
        <w:tc>
          <w:tcPr>
            <w:tcW w:type="dxa" w:w="45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Proposition</w:t>
            </w:r>
          </w:p>
        </w:tc>
      </w:tr>
      <w:tr>
        <w:trPr>
          <w:cantSplit/>
        </w:trPr>
        <w:tc>
          <w:tcPr>
            <w:tcW w:type="dxa" w:w="2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Pièces attendues et informations contrôlées dans chaque pièce</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Fixé dans le code, selon la catégorie</w:t>
            </w:r>
          </w:p>
        </w:tc>
        <w:tc>
          <w:tcPr>
            <w:tcW w:type="dxa" w:w="4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Écran « Pièces attendues » : pièces par catégorie, secteur et niveau de questionnaire ; informations attendues ; caractère obligatoire ; pièce officielle ou non.</w:t>
            </w:r>
          </w:p>
        </w:tc>
      </w:tr>
      <w:tr>
        <w:trPr>
          <w:cantSplit/>
        </w:trPr>
        <w:tc>
          <w:tcPr>
            <w:tcW w:type="dxa" w:w="2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Clauses E&amp;S de la convention de crédit</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Textes et règles dans le code</w:t>
            </w:r>
          </w:p>
        </w:tc>
        <w:tc>
          <w:tcPr>
            <w:tcW w:type="dxa" w:w="45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Écran « Clauses » : texte en trois langues, type (condition préalable, engagement, reporting, défaut), règle d’application (catégorie, risque, climat, ligne de financement).</w:t>
            </w:r>
          </w:p>
        </w:tc>
      </w:tr>
      <w:tr>
        <w:trPr>
          <w:cantSplit/>
        </w:trPr>
        <w:tc>
          <w:tcPr>
            <w:tcW w:type="dxa" w:w="2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Types de visite</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Liste fixe (pré-octroi, suivi, clôture, inopinée)</w:t>
            </w:r>
          </w:p>
        </w:tc>
        <w:tc>
          <w:tcPr>
            <w:tcW w:type="dxa" w:w="4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Liste de valeurs modifiable.</w:t>
            </w:r>
          </w:p>
        </w:tc>
      </w:tr>
      <w:tr>
        <w:trPr>
          <w:cantSplit/>
        </w:trPr>
        <w:tc>
          <w:tcPr>
            <w:tcW w:type="dxa" w:w="2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Niveaux de conformité</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Liste fixe (conforme, partielle, non conforme)</w:t>
            </w:r>
          </w:p>
        </w:tc>
        <w:tc>
          <w:tcPr>
            <w:tcW w:type="dxa" w:w="45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Liste de valeurs modifiable, avec effet paramétrable sur la prochaine visite.</w:t>
            </w:r>
          </w:p>
        </w:tc>
      </w:tr>
      <w:tr>
        <w:trPr>
          <w:cantSplit/>
        </w:trPr>
        <w:tc>
          <w:tcPr>
            <w:tcW w:type="dxa" w:w="2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Horizons des actions</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Court / moyen / long, délais fixes</w:t>
            </w:r>
          </w:p>
        </w:tc>
        <w:tc>
          <w:tcPr>
            <w:tcW w:type="dxa" w:w="4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Liste modifiable avec délai en mois pour chaque horizon.</w:t>
            </w:r>
          </w:p>
        </w:tc>
      </w:tr>
      <w:tr>
        <w:trPr>
          <w:cantSplit/>
        </w:trPr>
        <w:tc>
          <w:tcPr>
            <w:tcW w:type="dxa" w:w="2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Statuts et origines des actions</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Libellés fixes</w:t>
            </w:r>
          </w:p>
        </w:tc>
        <w:tc>
          <w:tcPr>
            <w:tcW w:type="dxa" w:w="45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Libellés modifiables (les codes restent fixes car ils pilotent les calculs).</w:t>
            </w:r>
          </w:p>
        </w:tc>
      </w:tr>
      <w:tr>
        <w:trPr>
          <w:cantSplit/>
        </w:trPr>
        <w:tc>
          <w:tcPr>
            <w:tcW w:type="dxa" w:w="2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Référentiel climat</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Aléas, facteurs de transition, méthodes d’émissions, alignement taxonomique fixés</w:t>
            </w:r>
          </w:p>
        </w:tc>
        <w:tc>
          <w:tcPr>
            <w:tcW w:type="dxa" w:w="4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Écran « Référentiel climat » : activer / désactiver un aléa, libellés, pondérations, valeurs par défaut par région et secteur.</w:t>
            </w:r>
          </w:p>
        </w:tc>
      </w:tr>
      <w:tr>
        <w:trPr>
          <w:cantSplit/>
        </w:trPr>
        <w:tc>
          <w:tcPr>
            <w:tcW w:type="dxa" w:w="2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Niveaux de risque</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Seuils paramétrables, libellés et couleurs fixes</w:t>
            </w:r>
          </w:p>
        </w:tc>
        <w:tc>
          <w:tcPr>
            <w:tcW w:type="dxa" w:w="45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Libellés et couleurs modifiables.</w:t>
            </w:r>
          </w:p>
        </w:tc>
      </w:tr>
      <w:tr>
        <w:trPr>
          <w:cantSplit/>
        </w:trPr>
        <w:tc>
          <w:tcPr>
            <w:tcW w:type="dxa" w:w="2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Notifications</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Deux paramètres (exclusion, catégorie A)</w:t>
            </w:r>
          </w:p>
        </w:tc>
        <w:tc>
          <w:tcPr>
            <w:tcW w:type="dxa" w:w="4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Matrice « événement × rôle destinataire » : soumission, retour, validation, échéance d’action dépassée, visite à prévoir, cours de change périmé…</w:t>
            </w:r>
          </w:p>
        </w:tc>
      </w:tr>
      <w:tr>
        <w:trPr>
          <w:cantSplit/>
        </w:trPr>
        <w:tc>
          <w:tcPr>
            <w:tcW w:type="dxa" w:w="2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Canevas à remplir avec le client</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Générés à partir des pièces (code)</w:t>
            </w:r>
          </w:p>
        </w:tc>
        <w:tc>
          <w:tcPr>
            <w:tcW w:type="dxa" w:w="45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Suivent automatiquement l’écran « Pièces attendues » ; en-tête et mentions modifiables.</w:t>
            </w:r>
          </w:p>
        </w:tc>
      </w:tr>
      <w:tr>
        <w:trPr>
          <w:cantSplit/>
        </w:trPr>
        <w:tc>
          <w:tcPr>
            <w:tcW w:type="dxa" w:w="2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Assistant IA</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Consignes de rédaction dans le code</w:t>
            </w:r>
          </w:p>
        </w:tc>
        <w:tc>
          <w:tcPr>
            <w:tcW w:type="dxa" w:w="4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Paramètres par type de texte : longueur, ton, sections attendues, mentions obligatoires.</w:t>
            </w:r>
          </w:p>
        </w:tc>
      </w:tr>
    </w:tbl>
    <w:p>
      <w:pPr>
        <w:pStyle w:val="Heading2"/>
      </w:pPr>
      <w:r>
        <w:t xml:space="preserve">3.2 Ce qui doit rester figé, et pourquoi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Élément</w:t>
            </w:r>
          </w:p>
        </w:tc>
        <w:tc>
          <w:tcPr>
            <w:tcW w:type="dxa" w:w="64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Raison</w:t>
            </w:r>
          </w:p>
        </w:tc>
      </w:tr>
      <w:tr>
        <w:trPr>
          <w:cantSplit/>
        </w:trPr>
        <w:tc>
          <w:tcPr>
            <w:tcW w:type="dxa" w:w="32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Statuts du dossier et circuit de validation</w:t>
            </w:r>
          </w:p>
        </w:tc>
        <w:tc>
          <w:tcPr>
            <w:tcW w:type="dxa" w:w="64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Contrôle interne et piste d’audit : un circuit modifiable rendrait les contrôles et l’historique non comparables d’un dossier à l’autre.</w:t>
            </w:r>
          </w:p>
        </w:tc>
      </w:tr>
      <w:tr>
        <w:trPr>
          <w:cantSplit/>
        </w:trPr>
        <w:tc>
          <w:tcPr>
            <w:tcW w:type="dxa" w:w="32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Catégories A, B, C et FI</w:t>
            </w:r>
          </w:p>
        </w:tc>
        <w:tc>
          <w:tcPr>
            <w:tcW w:type="dxa" w:w="64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Définies par la procédure CFD12340876/0217 et alignées sur la SFI ; le reporting groupe en dépend.</w:t>
            </w:r>
          </w:p>
        </w:tc>
      </w:tr>
      <w:tr>
        <w:trPr>
          <w:cantSplit/>
        </w:trPr>
        <w:tc>
          <w:tcPr>
            <w:tcW w:type="dxa" w:w="32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Décisions du comité (accordé, rejeté, ajourné)</w:t>
            </w:r>
          </w:p>
        </w:tc>
        <w:tc>
          <w:tcPr>
            <w:tcW w:type="dxa" w:w="64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Elles déclenchent le suivi, la clôture ou le retour en brouillon.</w:t>
            </w:r>
          </w:p>
        </w:tc>
      </w:tr>
      <w:tr>
        <w:trPr>
          <w:cantSplit/>
        </w:trPr>
        <w:tc>
          <w:tcPr>
            <w:tcW w:type="dxa" w:w="32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Formules de calcul des scores</w:t>
            </w:r>
          </w:p>
        </w:tc>
        <w:tc>
          <w:tcPr>
            <w:tcW w:type="dxa" w:w="64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Elles sont versionnées et figées dans chaque évaluation. Leurs pondérations et seuils sont déjà paramétrables.</w:t>
            </w:r>
          </w:p>
        </w:tc>
      </w:tr>
      <w:tr>
        <w:trPr>
          <w:cantSplit/>
        </w:trPr>
        <w:tc>
          <w:tcPr>
            <w:tcW w:type="dxa" w:w="32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Séparation des fonctions</w:t>
            </w:r>
          </w:p>
        </w:tc>
        <w:tc>
          <w:tcPr>
            <w:tcW w:type="dxa" w:w="64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Déjà un paramètre ; il est proposé de ne permettre sa désactivation qu’avec une double validation (administrateur + Conformité).</w:t>
            </w:r>
          </w:p>
        </w:tc>
      </w:tr>
    </w:tbl>
    <w:p>
      <w:pPr>
        <w:spacing w:after="80"/>
      </w:pPr>
    </w:p>
    <w:p>
      <w:pPr>
        <w:spacing w:after="120" w:line="276"/>
      </w:pPr>
      <w:r>
        <w:rPr>
          <w:b/>
          <w:bCs/>
        </w:rPr>
        <w:t xml:space="preserve">Garde-fous du paramétrage : </w:t>
      </w:r>
      <w:r>
        <w:t xml:space="preserve">chaque modification est tracée (qui, quand, avant / après) dans le journal d’audit, ce qui est déjà le cas pour les paramètres. Il est proposé d’ajouter un export de la configuration complète pour la revue annuelle par la Conformité.</w:t>
      </w:r>
    </w:p>
    <w:p>
      <w:pPr>
        <w:pStyle w:val="Heading1"/>
        <w:pageBreakBefore/>
      </w:pPr>
      <w:r>
        <w:t xml:space="preserve">4. Réduire les questionnaires au minimum réglementaire</w:t>
      </w:r>
    </w:p>
    <w:p>
      <w:pPr>
        <w:pStyle w:val="Heading2"/>
      </w:pPr>
      <w:r>
        <w:t xml:space="preserve">4.1 Ce que dit le cadre, en termes simples</w:t>
      </w:r>
    </w:p>
    <w:p>
      <w:pPr>
        <w:spacing w:after="120" w:line="276"/>
      </w:pPr>
      <w:r>
        <w:t xml:space="preserve">Les questions posées aujourd’hui relèvent de quatre « couches » d’exigences. Elles n’ont pas toutes la même force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2500"/>
        <w:gridCol w:w="2038"/>
      </w:tblGrid>
      <w:tr>
        <w:trPr>
          <w:tblHeader/>
        </w:trPr>
        <w:tc>
          <w:tcPr>
            <w:tcW w:type="dxa" w:w="20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Couche</w:t>
            </w:r>
          </w:p>
        </w:tc>
        <w:tc>
          <w:tcPr>
            <w:tcW w:type="dxa" w:w="31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Exemples de textes</w:t>
            </w:r>
          </w:p>
        </w:tc>
        <w:tc>
          <w:tcPr>
            <w:tcW w:type="dxa" w:w="25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Force</w:t>
            </w:r>
          </w:p>
        </w:tc>
        <w:tc>
          <w:tcPr>
            <w:tcW w:type="dxa" w:w="20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Quand la poser ?</w:t>
            </w:r>
          </w:p>
        </w:tc>
      </w:tr>
      <w:tr>
        <w:trPr>
          <w:cantSplit/>
        </w:trPr>
        <w:tc>
          <w:tcPr>
            <w:tcW w:type="dxa" w:w="2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Réglementaire (droit marocain)</w:t>
            </w:r>
          </w:p>
        </w:tc>
        <w:tc>
          <w:tcPr>
            <w:tcW w:type="dxa" w:w="3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Loi 49-17 (évaluation environnementale), 36-15 (eau), 28-00 (déchets), 13-03 (air), 47-09 (efficacité énergétique), 110-14 (catastrophes), Code du travail</w:t>
            </w:r>
          </w:p>
        </w:tc>
        <w:tc>
          <w:tcPr>
            <w:tcW w:type="dxa" w:w="2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Obligation légale du client ; un manquement est un risque juridique et de réputation pour la banque</w:t>
            </w:r>
          </w:p>
        </w:tc>
        <w:tc>
          <w:tcPr>
            <w:tcW w:type="dxa" w:w="20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Toujours, dès que l’activité est concernée</w:t>
            </w:r>
          </w:p>
        </w:tc>
      </w:tr>
      <w:tr>
        <w:trPr>
          <w:cantSplit/>
        </w:trPr>
        <w:tc>
          <w:tcPr>
            <w:tcW w:type="dxa" w:w="2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Interne et prudentielle</w:t>
            </w:r>
          </w:p>
        </w:tc>
        <w:tc>
          <w:tcPr>
            <w:tcW w:type="dxa" w:w="3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Circulaire CFD-537/01-24, procédure CFD12340876/0217, directive BAM 5/W/2021 (risques climatiques)</w:t>
            </w:r>
          </w:p>
        </w:tc>
        <w:tc>
          <w:tcPr>
            <w:tcW w:type="dxa" w:w="2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Obligation de la banque envers son régulateur et sa gouvernance</w:t>
            </w:r>
          </w:p>
        </w:tc>
        <w:tc>
          <w:tcPr>
            <w:tcW w:type="dxa" w:w="20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Toujours ; la directive BAM admet une intensité proportionnée au risque</w:t>
            </w:r>
          </w:p>
        </w:tc>
      </w:tr>
      <w:tr>
        <w:trPr>
          <w:cantSplit/>
        </w:trPr>
        <w:tc>
          <w:tcPr>
            <w:tcW w:type="dxa" w:w="2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SFI / Principes de l’Équateur</w:t>
            </w:r>
          </w:p>
        </w:tc>
        <w:tc>
          <w:tcPr>
            <w:tcW w:type="dxa" w:w="3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Normes de performance SFI 1 à 8, Principes de l’Équateur IV</w:t>
            </w:r>
          </w:p>
        </w:tc>
        <w:tc>
          <w:tcPr>
            <w:tcW w:type="dxa" w:w="25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Contractuelle : obligatoire si un bailleur l’exige (lignes BEI, BERD, AFD / Proparco, SFI…) ou si les Principes de l’Équateur s’appliquent</w:t>
            </w:r>
          </w:p>
        </w:tc>
        <w:tc>
          <w:tcPr>
            <w:tcW w:type="dxa" w:w="20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Si ligne de bailleur, Principes de l’Équateur, ou catégorie A</w:t>
            </w:r>
          </w:p>
        </w:tc>
      </w:tr>
      <w:tr>
        <w:trPr>
          <w:cantSplit/>
        </w:trPr>
        <w:tc>
          <w:tcPr>
            <w:tcW w:type="dxa" w:w="2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Bonne pratique</w:t>
            </w:r>
          </w:p>
        </w:tc>
        <w:tc>
          <w:tcPr>
            <w:tcW w:type="dxa" w:w="3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Certifications ISO, part des femmes dans l’effectif, sous-traitance</w:t>
            </w:r>
          </w:p>
        </w:tc>
        <w:tc>
          <w:tcPr>
            <w:tcW w:type="dxa" w:w="25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Recommandée, non exigée</w:t>
            </w:r>
          </w:p>
        </w:tc>
        <w:tc>
          <w:tcPr>
            <w:tcW w:type="dxa" w:w="20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Facultative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F4A" w:sz="12"/>
              <w:left w:val="single" w:color="C9D3CF" w:sz="4"/>
              <w:bottom w:val="single" w:color="C9D3CF" w:sz="4"/>
              <w:right w:val="single" w:color="C9D3CF" w:sz="4"/>
            </w:tcBorders>
            <w:shd w:fill="E6F0EC" w:color="auto" w:val="clear"/>
            <w:tcMar>
              <w:top w:type="dxa" w:w="120"/>
              <w:left w:type="dxa" w:w="160"/>
              <w:bottom w:type="dxa" w:w="120"/>
              <w:right w:type="dxa" w:w="160"/>
            </w:tcMar>
          </w:tcPr>
          <w:p>
            <w:pPr>
              <w:spacing w:after="80"/>
            </w:pPr>
            <w:r>
              <w:rPr>
                <w:b/>
                <w:bCs/>
                <w:color w:val="1F5F4A"/>
                <w:sz w:val="22"/>
                <w:szCs w:val="22"/>
              </w:rPr>
              <w:t xml:space="preserve">Point clé</w:t>
            </w:r>
          </w:p>
          <w:p>
            <w:pPr>
              <w:spacing w:after="120" w:line="276"/>
            </w:pPr>
            <w:r>
              <w:t xml:space="preserve">Le « minimum réglementaire » correspond aux deux premières couches. Les normes SFI et les Principes de l’Équateur ne sont pas des lois marocaines, mais ils deviennent obligatoires dès qu’un bailleur ou les Principes de l’Équateur s’appliquent au financement. L’outil connaît déjà la ligne de financement de chaque dossier : il peut donc le déterminer automatiquement.</w:t>
            </w:r>
          </w:p>
        </w:tc>
      </w:tr>
    </w:tbl>
    <w:p>
      <w:pPr>
        <w:pStyle w:val="Heading2"/>
      </w:pPr>
      <w:r>
        <w:t xml:space="preserve">4.2 Le principe : un questionnaire construit automatiquement</w:t>
      </w:r>
    </w:p>
    <w:p>
      <w:pPr>
        <w:spacing w:after="120" w:line="276"/>
      </w:pPr>
      <w:r>
        <w:t xml:space="preserve">Au lieu d’une liste fixe par catégorie, l’outil assemble le questionnaire à partir de critères déjà saisis dans l’identification du dossier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Critère</w:t>
            </w:r>
          </w:p>
        </w:tc>
        <w:tc>
          <w:tcPr>
            <w:tcW w:type="dxa" w:w="26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Déjà disponible ?</w:t>
            </w:r>
          </w:p>
        </w:tc>
        <w:tc>
          <w:tcPr>
            <w:tcW w:type="dxa" w:w="40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Effet</w:t>
            </w:r>
          </w:p>
        </w:tc>
      </w:tr>
      <w:tr>
        <w:trPr>
          <w:cantSplit/>
        </w:trPr>
        <w:tc>
          <w:tcPr>
            <w:tcW w:type="dxa" w:w="3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Catégorie (A, B, C, FI)</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Oui</w:t>
            </w:r>
          </w:p>
        </w:tc>
        <w:tc>
          <w:tcPr>
            <w:tcW w:type="dxa" w:w="40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Socle de questions de la catégorie.</w:t>
            </w:r>
          </w:p>
        </w:tc>
      </w:tr>
      <w:tr>
        <w:trPr>
          <w:cantSplit/>
        </w:trPr>
        <w:tc>
          <w:tcPr>
            <w:tcW w:type="dxa" w:w="3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Secteur d’activité</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Oui</w:t>
            </w:r>
          </w:p>
        </w:tc>
        <w:tc>
          <w:tcPr>
            <w:tcW w:type="dxa" w:w="40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Active les modules sectoriels (rejets, émissions, produits dangereux…).</w:t>
            </w:r>
          </w:p>
        </w:tc>
      </w:tr>
      <w:tr>
        <w:trPr>
          <w:cantSplit/>
        </w:trPr>
        <w:tc>
          <w:tcPr>
            <w:tcW w:type="dxa" w:w="3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Type de zone</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Oui</w:t>
            </w:r>
          </w:p>
        </w:tc>
        <w:tc>
          <w:tcPr>
            <w:tcW w:type="dxa" w:w="40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Active les modules biodiversité, riverains, terres collectives.</w:t>
            </w:r>
          </w:p>
        </w:tc>
      </w:tr>
      <w:tr>
        <w:trPr>
          <w:cantSplit/>
        </w:trPr>
        <w:tc>
          <w:tcPr>
            <w:tcW w:type="dxa" w:w="3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Région (stress hydrique)</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Oui</w:t>
            </w:r>
          </w:p>
        </w:tc>
        <w:tc>
          <w:tcPr>
            <w:tcW w:type="dxa" w:w="40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Active le module ressource en eau.</w:t>
            </w:r>
          </w:p>
        </w:tc>
      </w:tr>
      <w:tr>
        <w:trPr>
          <w:cantSplit/>
        </w:trPr>
        <w:tc>
          <w:tcPr>
            <w:tcW w:type="dxa" w:w="3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Nature du projet</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Oui</w:t>
            </w:r>
          </w:p>
        </w:tc>
        <w:tc>
          <w:tcPr>
            <w:tcW w:type="dxa" w:w="40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Une création ou une extension active le module foncier / communautés.</w:t>
            </w:r>
          </w:p>
        </w:tc>
      </w:tr>
      <w:tr>
        <w:trPr>
          <w:cantSplit/>
        </w:trPr>
        <w:tc>
          <w:tcPr>
            <w:tcW w:type="dxa" w:w="3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Ligne de financement / Principes de l’Équateur</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Oui (ligne) ; à ajouter : case « Principes de l’Équateur applicables »</w:t>
            </w:r>
          </w:p>
        </w:tc>
        <w:tc>
          <w:tcPr>
            <w:tcW w:type="dxa" w:w="40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Rend obligatoires les questions SFI correspondantes.</w:t>
            </w:r>
          </w:p>
        </w:tc>
      </w:tr>
      <w:tr>
        <w:trPr>
          <w:cantSplit/>
        </w:trPr>
        <w:tc>
          <w:tcPr>
            <w:tcW w:type="dxa" w:w="3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Effectif</w:t>
            </w:r>
          </w:p>
        </w:tc>
        <w:tc>
          <w:tcPr>
            <w:tcW w:type="dxa" w:w="2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Oui (question SIG01)</w:t>
            </w:r>
          </w:p>
        </w:tc>
        <w:tc>
          <w:tcPr>
            <w:tcW w:type="dxa" w:w="40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Questions liées aux seuils du Code du travail (10 et 50 salariés).</w:t>
            </w:r>
          </w:p>
        </w:tc>
      </w:tr>
      <w:tr>
        <w:trPr>
          <w:cantSplit/>
        </w:trPr>
        <w:tc>
          <w:tcPr>
            <w:tcW w:type="dxa" w:w="3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Questions filtres</w:t>
            </w:r>
          </w:p>
        </w:tc>
        <w:tc>
          <w:tcPr>
            <w:tcW w:type="dxa" w:w="2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À ajouter</w:t>
            </w:r>
          </w:p>
        </w:tc>
        <w:tc>
          <w:tcPr>
            <w:tcW w:type="dxa" w:w="40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Une question par module : « L’activité rejette-t-elle des eaux industrielles ? ». Si « Non », le module est sauté, avec justification tracée.</w:t>
            </w:r>
          </w:p>
        </w:tc>
      </w:tr>
    </w:tbl>
    <w:p>
      <w:pPr>
        <w:spacing w:after="80"/>
      </w:pPr>
    </w:p>
    <w:p>
      <w:pPr>
        <w:pStyle w:val="Heading3"/>
      </w:pPr>
      <w:r>
        <w:t xml:space="preserve">Quatre niveaux de questionnaire, réglables par catégorie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Niveau</w:t>
            </w:r>
          </w:p>
        </w:tc>
        <w:tc>
          <w:tcPr>
            <w:tcW w:type="dxa" w:w="37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Questions posées</w:t>
            </w:r>
          </w:p>
        </w:tc>
        <w:tc>
          <w:tcPr>
            <w:tcW w:type="dxa" w:w="36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Usage proposé</w:t>
            </w:r>
          </w:p>
        </w:tc>
      </w:tr>
      <w:tr>
        <w:trPr>
          <w:cantSplit/>
        </w:trPr>
        <w:tc>
          <w:tcPr>
            <w:tcW w:type="dxa" w:w="2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Minimum réglementaire</w:t>
            </w:r>
          </w:p>
        </w:tc>
        <w:tc>
          <w:tcPr>
            <w:tcW w:type="dxa" w:w="3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Réglementaire + interne / BAM, selon les modules déclenchés</w:t>
            </w:r>
          </w:p>
        </w:tc>
        <w:tc>
          <w:tcPr>
            <w:tcW w:type="dxa" w:w="3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Catégorie C, et catégorie B sans bailleur ni Principes de l’Équateur</w:t>
            </w:r>
          </w:p>
        </w:tc>
      </w:tr>
      <w:tr>
        <w:trPr>
          <w:cantSplit/>
        </w:trPr>
        <w:tc>
          <w:tcPr>
            <w:tcW w:type="dxa" w:w="2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Standard</w:t>
            </w:r>
          </w:p>
        </w:tc>
        <w:tc>
          <w:tcPr>
            <w:tcW w:type="dxa" w:w="3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Minimum + SFI / Équateur selon les modules</w:t>
            </w:r>
          </w:p>
        </w:tc>
        <w:tc>
          <w:tcPr>
            <w:tcW w:type="dxa" w:w="3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Catégorie B avec bailleur ou Principes de l’Équateur ; option pour toute catégorie B</w:t>
            </w:r>
          </w:p>
        </w:tc>
      </w:tr>
      <w:tr>
        <w:trPr>
          <w:cantSplit/>
        </w:trPr>
        <w:tc>
          <w:tcPr>
            <w:tcW w:type="dxa" w:w="2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Complet</w:t>
            </w:r>
          </w:p>
        </w:tc>
        <w:tc>
          <w:tcPr>
            <w:tcW w:type="dxa" w:w="3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Toutes les questions de la catégorie</w:t>
            </w:r>
          </w:p>
        </w:tc>
        <w:tc>
          <w:tcPr>
            <w:tcW w:type="dxa" w:w="3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Catégorie A (toujours) ; sur décision du Responsable RSE</w:t>
            </w:r>
          </w:p>
        </w:tc>
      </w:tr>
      <w:tr>
        <w:trPr>
          <w:cantSplit/>
        </w:trPr>
        <w:tc>
          <w:tcPr>
            <w:tcW w:type="dxa" w:w="2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FI</w:t>
            </w:r>
          </w:p>
        </w:tc>
        <w:tc>
          <w:tcPr>
            <w:tcW w:type="dxa" w:w="3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Questionnaire des intermédiaires financiers</w:t>
            </w:r>
          </w:p>
        </w:tc>
        <w:tc>
          <w:tcPr>
            <w:tcW w:type="dxa" w:w="3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Inchangé</w:t>
            </w:r>
          </w:p>
        </w:tc>
      </w:tr>
    </w:tbl>
    <w:p>
      <w:pPr>
        <w:spacing w:after="120" w:line="276"/>
      </w:pPr>
      <w:r>
        <w:t xml:space="preserve">Le niveau par défaut de chaque catégorie serait un paramètre (« NIVEAU_QUESTIONNAIRE_B = standard », par exemple) : la banque peut commencer prudemment et alléger ensuite.</w:t>
      </w:r>
    </w:p>
    <w:p>
      <w:pPr>
        <w:pStyle w:val="Heading2"/>
      </w:pPr>
      <w:r>
        <w:t xml:space="preserve">4.3 Les modules déclenchés par l’activité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238"/>
      </w:tblGrid>
      <w:tr>
        <w:trPr>
          <w:tblHeader/>
        </w:trPr>
        <w:tc>
          <w:tcPr>
            <w:tcW w:type="dxa" w:w="7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Code</w:t>
            </w:r>
          </w:p>
        </w:tc>
        <w:tc>
          <w:tcPr>
            <w:tcW w:type="dxa" w:w="27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Module</w:t>
            </w:r>
          </w:p>
        </w:tc>
        <w:tc>
          <w:tcPr>
            <w:tcW w:type="dxa" w:w="62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Déclencheur proposé</w:t>
            </w:r>
          </w:p>
        </w:tc>
      </w:tr>
      <w:tr>
        <w:trPr>
          <w:cantSplit/>
        </w:trPr>
        <w:tc>
          <w:tcPr>
            <w:tcW w:type="dxa" w:w="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M1</w:t>
            </w:r>
          </w:p>
        </w:tc>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Rejets liquides industriels</w:t>
            </w:r>
          </w:p>
        </w:tc>
        <w:tc>
          <w:tcPr>
            <w:tcW w:type="dxa" w:w="62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Question filtre : « L’activité rejette-t-elle des eaux autres que sanitaires ? ». Secteurs pré-cochés : élevage, aquaculture, mines, agroalimentaire, boissons, textile, papier, chimie, pharmacie, métallurgie, centrales thermiques, eau et assainissement, déchets, hôtellerie.</w:t>
            </w:r>
          </w:p>
        </w:tc>
      </w:tr>
      <w:tr>
        <w:trPr>
          <w:cantSplit/>
        </w:trPr>
        <w:tc>
          <w:tcPr>
            <w:tcW w:type="dxa" w:w="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M2</w:t>
            </w:r>
          </w:p>
        </w:tc>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Émissions atmosphériques</w:t>
            </w:r>
          </w:p>
        </w:tc>
        <w:tc>
          <w:tcPr>
            <w:tcW w:type="dxa" w:w="62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Question filtre : présence de cheminées, chaudières, fours ou poussières. Secteurs : mines et carrières, ciment, céramique, métallurgie, aluminium, raffinage, chimie, papier, centrales thermiques, traitement des déchets.</w:t>
            </w:r>
          </w:p>
        </w:tc>
      </w:tr>
      <w:tr>
        <w:trPr>
          <w:cantSplit/>
        </w:trPr>
        <w:tc>
          <w:tcPr>
            <w:tcW w:type="dxa" w:w="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M3</w:t>
            </w:r>
          </w:p>
        </w:tc>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Produits et déchets dangereux</w:t>
            </w:r>
          </w:p>
        </w:tc>
        <w:tc>
          <w:tcPr>
            <w:tcW w:type="dxa" w:w="62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Question filtre : utilisation ou production de produits chimiques, huiles, solvants, pesticides. Secteurs : agriculture (pesticides), mines, textile, chimie, pharmacie, plastique, métallurgie, automobile, électricité, déchets, carburants.</w:t>
            </w:r>
          </w:p>
        </w:tc>
      </w:tr>
      <w:tr>
        <w:trPr>
          <w:cantSplit/>
        </w:trPr>
        <w:tc>
          <w:tcPr>
            <w:tcW w:type="dxa" w:w="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M4</w:t>
            </w:r>
          </w:p>
        </w:tc>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Communautés, foncier, patrimoine (NP4, NP5, NP8)</w:t>
            </w:r>
          </w:p>
        </w:tc>
        <w:tc>
          <w:tcPr>
            <w:tcW w:type="dxa" w:w="62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Projets avec construction ou emprise au sol : génie civil, promotion immobilière, énergie, eau, déchets, tourisme, mines ; nature « Création » ou « Extension » ; financement de grands projets.</w:t>
            </w:r>
          </w:p>
        </w:tc>
      </w:tr>
      <w:tr>
        <w:trPr>
          <w:cantSplit/>
        </w:trPr>
        <w:tc>
          <w:tcPr>
            <w:tcW w:type="dxa" w:w="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M5</w:t>
            </w:r>
          </w:p>
        </w:tc>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Biodiversité et aires protégées (NP6, loi 22-07)</w:t>
            </w:r>
          </w:p>
        </w:tc>
        <w:tc>
          <w:tcPr>
            <w:tcW w:type="dxa" w:w="62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Type de zone « sensible / protégée », « côtière », « montagne / forestière » ou « oasis » ; secteurs agriculture, forêt, mines, éolien, génie civil, tourisme, transport maritime.</w:t>
            </w:r>
          </w:p>
        </w:tc>
      </w:tr>
      <w:tr>
        <w:trPr>
          <w:cantSplit/>
        </w:trPr>
        <w:tc>
          <w:tcPr>
            <w:tcW w:type="dxa" w:w="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M6</w:t>
            </w:r>
          </w:p>
        </w:tc>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Émissions de GES et transition</w:t>
            </w:r>
          </w:p>
        </w:tc>
        <w:tc>
          <w:tcPr>
            <w:tcW w:type="dxa" w:w="62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Secteurs à risque de transition élevé ou exposés au mécanisme carbone européen (CBAM) : ciment, acier, aluminium, engrais, électricité thermique, hydrogène, raffinage, transport.</w:t>
            </w:r>
          </w:p>
        </w:tc>
      </w:tr>
      <w:tr>
        <w:trPr>
          <w:cantSplit/>
        </w:trPr>
        <w:tc>
          <w:tcPr>
            <w:tcW w:type="dxa" w:w="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M7</w:t>
            </w:r>
          </w:p>
        </w:tc>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Nuisances pour les riverains</w:t>
            </w:r>
          </w:p>
        </w:tc>
        <w:tc>
          <w:tcPr>
            <w:tcW w:type="dxa" w:w="62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Type de zone « urbaine » ou « périurbaine », ou riverains à moins d’une distance paramétrable.</w:t>
            </w:r>
          </w:p>
        </w:tc>
      </w:tr>
      <w:tr>
        <w:trPr>
          <w:cantSplit/>
        </w:trPr>
        <w:tc>
          <w:tcPr>
            <w:tcW w:type="dxa" w:w="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M8</w:t>
            </w:r>
          </w:p>
        </w:tc>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Ressource en eau</w:t>
            </w:r>
          </w:p>
        </w:tc>
        <w:tc>
          <w:tcPr>
            <w:tcW w:type="dxa" w:w="62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Région en stress hydrique élevé (référentiel des régions) ou secteurs gros consommateurs d’eau (agriculture, agroalimentaire, tourisme, textile, papier, mines).</w:t>
            </w:r>
          </w:p>
        </w:tc>
      </w:tr>
      <w:tr>
        <w:trPr>
          <w:cantSplit/>
        </w:trPr>
        <w:tc>
          <w:tcPr>
            <w:tcW w:type="dxa" w:w="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M9</w:t>
            </w:r>
          </w:p>
        </w:tc>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Main-d’œuvre particulière</w:t>
            </w:r>
          </w:p>
        </w:tc>
        <w:tc>
          <w:tcPr>
            <w:tcW w:type="dxa" w:w="62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Recours important à des intérimaires, saisonniers, travailleurs hébergés sur site ou licenciements collectifs (question filtre).</w:t>
            </w:r>
          </w:p>
        </w:tc>
      </w:tr>
      <w:tr>
        <w:trPr>
          <w:cantSplit/>
        </w:trPr>
        <w:tc>
          <w:tcPr>
            <w:tcW w:type="dxa" w:w="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M10</w:t>
            </w:r>
          </w:p>
        </w:tc>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Terres collectives (NP7, loi 62-17)</w:t>
            </w:r>
          </w:p>
        </w:tc>
        <w:tc>
          <w:tcPr>
            <w:tcW w:type="dxa" w:w="62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Zone rurale avec terres collectives ou soulaliyates (question filtre) ; rarement applicable.</w:t>
            </w:r>
          </w:p>
        </w:tc>
      </w:tr>
      <w:tr>
        <w:trPr>
          <w:cantSplit/>
        </w:trPr>
        <w:tc>
          <w:tcPr>
            <w:tcW w:type="dxa" w:w="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E10</w:t>
            </w:r>
          </w:p>
        </w:tc>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Effectif ≥ 10 salariés</w:t>
            </w:r>
          </w:p>
        </w:tc>
        <w:tc>
          <w:tcPr>
            <w:tcW w:type="dxa" w:w="62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Délégués des salariés (Code du travail).</w:t>
            </w:r>
          </w:p>
        </w:tc>
      </w:tr>
      <w:tr>
        <w:trPr>
          <w:cantSplit/>
        </w:trPr>
        <w:tc>
          <w:tcPr>
            <w:tcW w:type="dxa" w:w="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E50</w:t>
            </w:r>
          </w:p>
        </w:tc>
        <w:tc>
          <w:tcPr>
            <w:tcW w:type="dxa" w:w="2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Effectif ≥ 50 salariés</w:t>
            </w:r>
          </w:p>
        </w:tc>
        <w:tc>
          <w:tcPr>
            <w:tcW w:type="dxa" w:w="62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Comité de sécurité et d’hygiène et service médical du travail (Code du travail).</w:t>
            </w:r>
          </w:p>
        </w:tc>
      </w:tr>
      <w:tr>
        <w:trPr>
          <w:cantSplit/>
        </w:trPr>
        <w:tc>
          <w:tcPr>
            <w:tcW w:type="dxa" w:w="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EP</w:t>
            </w:r>
          </w:p>
        </w:tc>
        <w:tc>
          <w:tcPr>
            <w:tcW w:type="dxa" w:w="2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Principes de l’Équateur applicables</w:t>
            </w:r>
          </w:p>
        </w:tc>
        <w:tc>
          <w:tcPr>
            <w:tcW w:type="dxa" w:w="62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Financement de projet ou prêt lié à un projet au-delà des seuils des Principes de l’Équateur, ou ligne de bailleur qui les exige.</w:t>
            </w:r>
          </w:p>
        </w:tc>
      </w:tr>
    </w:tbl>
    <w:p>
      <w:pPr>
        <w:spacing w:after="120" w:line="276"/>
      </w:pPr>
      <w:r>
        <w:rPr>
          <w:i/>
          <w:iCs/>
        </w:rPr>
        <w:t xml:space="preserve">Les listes de secteurs sont des propositions à valider ; elles seraient modifiables dans l’administration.</w:t>
      </w:r>
    </w:p>
    <w:p>
      <w:pPr>
        <w:pStyle w:val="Heading2"/>
      </w:pPr>
      <w:r>
        <w:t xml:space="preserve">4.4 Ce que cela change : exemples</w:t>
      </w:r>
    </w:p>
    <w:p>
      <w:pPr>
        <w:spacing w:after="120" w:line="276"/>
      </w:pPr>
      <w:r>
        <w:t xml:space="preserve">Calcul fait sur les 55 questions actuelles avec le marquage proposé en annexe 2. Ce sont des ordres de grandeur, à confirmer après validation du marquage.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00"/>
        <w:gridCol w:w="1100"/>
        <w:gridCol w:w="1000"/>
        <w:gridCol w:w="1100"/>
        <w:gridCol w:w="2538"/>
      </w:tblGrid>
      <w:tr>
        <w:trPr>
          <w:tblHeader/>
        </w:trPr>
        <w:tc>
          <w:tcPr>
            <w:tcW w:type="dxa" w:w="33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Dossier type</w:t>
            </w:r>
          </w:p>
        </w:tc>
        <w:tc>
          <w:tcPr>
            <w:tcW w:type="dxa" w:w="6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Cat.</w:t>
            </w:r>
          </w:p>
        </w:tc>
        <w:tc>
          <w:tcPr>
            <w:tcW w:type="dxa" w:w="11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Aujourd’hui</w:t>
            </w:r>
          </w:p>
        </w:tc>
        <w:tc>
          <w:tcPr>
            <w:tcW w:type="dxa" w:w="10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Minimum</w:t>
            </w:r>
          </w:p>
        </w:tc>
        <w:tc>
          <w:tcPr>
            <w:tcW w:type="dxa" w:w="11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Standard</w:t>
            </w:r>
          </w:p>
        </w:tc>
        <w:tc>
          <w:tcPr>
            <w:tcW w:type="dxa" w:w="25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Niveau appliqué</w:t>
            </w:r>
          </w:p>
        </w:tc>
      </w:tr>
      <w:tr>
        <w:trPr>
          <w:cantSplit/>
        </w:trPr>
        <w:tc>
          <w:tcPr>
            <w:tcW w:type="dxa" w:w="3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Commerce de gros, 30 salariés, zone urbaine, sans bailleur</w:t>
            </w:r>
          </w:p>
        </w:tc>
        <w:tc>
          <w:tcPr>
            <w:tcW w:type="dxa" w:w="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C</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20</w:t>
            </w:r>
          </w:p>
        </w:tc>
        <w:tc>
          <w:tcPr>
            <w:tcW w:type="dxa" w:w="1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14</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17</w:t>
            </w:r>
          </w:p>
        </w:tc>
        <w:tc>
          <w:tcPr>
            <w:tcW w:type="dxa" w:w="2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Minimum : 14 questions (−30 %)</w:t>
            </w:r>
          </w:p>
        </w:tc>
      </w:tr>
      <w:tr>
        <w:trPr>
          <w:cantSplit/>
        </w:trPr>
        <w:tc>
          <w:tcPr>
            <w:tcW w:type="dxa" w:w="3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Hôtel, 80 salariés, zone côtière, sans bailleur</w:t>
            </w:r>
          </w:p>
        </w:tc>
        <w:tc>
          <w:tcPr>
            <w:tcW w:type="dxa" w:w="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B</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46</w:t>
            </w:r>
          </w:p>
        </w:tc>
        <w:tc>
          <w:tcPr>
            <w:tcW w:type="dxa" w:w="1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21</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34</w:t>
            </w:r>
          </w:p>
        </w:tc>
        <w:tc>
          <w:tcPr>
            <w:tcW w:type="dxa" w:w="25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Minimum : 21 questions (−54 %)</w:t>
            </w:r>
          </w:p>
        </w:tc>
      </w:tr>
      <w:tr>
        <w:trPr>
          <w:cantSplit/>
        </w:trPr>
        <w:tc>
          <w:tcPr>
            <w:tcW w:type="dxa" w:w="3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Agroalimentaire, 120 salariés, zone industrielle, sans bailleur</w:t>
            </w:r>
          </w:p>
        </w:tc>
        <w:tc>
          <w:tcPr>
            <w:tcW w:type="dxa" w:w="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B</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46</w:t>
            </w:r>
          </w:p>
        </w:tc>
        <w:tc>
          <w:tcPr>
            <w:tcW w:type="dxa" w:w="1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27</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36</w:t>
            </w:r>
          </w:p>
        </w:tc>
        <w:tc>
          <w:tcPr>
            <w:tcW w:type="dxa" w:w="2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Minimum : 27 questions (−41 %)</w:t>
            </w:r>
          </w:p>
        </w:tc>
      </w:tr>
      <w:tr>
        <w:trPr>
          <w:cantSplit/>
        </w:trPr>
        <w:tc>
          <w:tcPr>
            <w:tcW w:type="dxa" w:w="3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Centrale solaire en financement de projet (Principes de l’Équateur)</w:t>
            </w:r>
          </w:p>
        </w:tc>
        <w:tc>
          <w:tcPr>
            <w:tcW w:type="dxa" w:w="6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B</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46</w:t>
            </w:r>
          </w:p>
        </w:tc>
        <w:tc>
          <w:tcPr>
            <w:tcW w:type="dxa" w:w="1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18</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28</w:t>
            </w:r>
          </w:p>
        </w:tc>
        <w:tc>
          <w:tcPr>
            <w:tcW w:type="dxa" w:w="25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8"/>
                <w:szCs w:val="18"/>
              </w:rPr>
              <w:t xml:space="preserve">Standard obligatoire : 28 questions (−39 %)</w:t>
            </w:r>
          </w:p>
        </w:tc>
      </w:tr>
      <w:tr>
        <w:trPr>
          <w:cantSplit/>
        </w:trPr>
        <w:tc>
          <w:tcPr>
            <w:tcW w:type="dxa" w:w="3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Cimenterie exportatrice vers l’UE</w:t>
            </w:r>
          </w:p>
        </w:tc>
        <w:tc>
          <w:tcPr>
            <w:tcW w:type="dxa" w:w="6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A</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49</w:t>
            </w:r>
          </w:p>
        </w:tc>
        <w:tc>
          <w:tcPr>
            <w:tcW w:type="dxa" w:w="1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28</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46</w:t>
            </w:r>
          </w:p>
        </w:tc>
        <w:tc>
          <w:tcPr>
            <w:tcW w:type="dxa" w:w="25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8"/>
                <w:szCs w:val="18"/>
              </w:rPr>
              <w:t xml:space="preserve">Complet obligatoire : 49 questions</w:t>
            </w:r>
          </w:p>
        </w:tc>
      </w:tr>
    </w:tbl>
    <w:p>
      <w:pPr>
        <w:spacing w:after="80"/>
      </w:pPr>
    </w:p>
    <w:p>
      <w:pPr>
        <w:spacing w:after="120" w:line="276"/>
      </w:pPr>
      <w:r>
        <w:t xml:space="preserve">Ce gain s’ajoute à celui de l’assistant IA, qui pré-remplit déjà une partie des réponses à partir des pièces déposées.</w:t>
      </w:r>
    </w:p>
    <w:p>
      <w:pPr>
        <w:pStyle w:val="Heading2"/>
      </w:pPr>
      <w:r>
        <w:t xml:space="preserve">4.5 Garde-fous indispensables</w:t>
      </w:r>
    </w:p>
    <w:p>
      <w:pPr>
        <w:pStyle w:val="ListParagraph"/>
        <w:numPr>
          <w:ilvl w:val="0"/>
          <w:numId w:val="3"/>
        </w:numPr>
        <w:spacing w:after="60" w:line="264"/>
      </w:pPr>
      <w:r>
        <w:rPr>
          <w:b/>
          <w:bCs/>
        </w:rPr>
        <w:t xml:space="preserve">Socle verrouillé. </w:t>
      </w:r>
      <w:r>
        <w:t xml:space="preserve">Une question marquée « réglementaire » ne peut pas être désactivée sur un dossier ; seul un changement du référentiel, tracé et validé, peut la modifier.</w:t>
      </w:r>
    </w:p>
    <w:p>
      <w:pPr>
        <w:pStyle w:val="ListParagraph"/>
        <w:numPr>
          <w:ilvl w:val="0"/>
          <w:numId w:val="3"/>
        </w:numPr>
        <w:spacing w:after="60" w:line="264"/>
      </w:pPr>
      <w:r>
        <w:rPr>
          <w:b/>
          <w:bCs/>
        </w:rPr>
        <w:t xml:space="preserve">Catégorie A toujours complète. </w:t>
      </w:r>
      <w:r>
        <w:t xml:space="preserve">C’est l’exigence de la procédure et des Principes de l’Équateur.</w:t>
      </w:r>
    </w:p>
    <w:p>
      <w:pPr>
        <w:pStyle w:val="ListParagraph"/>
        <w:numPr>
          <w:ilvl w:val="0"/>
          <w:numId w:val="3"/>
        </w:numPr>
        <w:spacing w:after="60" w:line="264"/>
      </w:pPr>
      <w:r>
        <w:rPr>
          <w:b/>
          <w:bCs/>
        </w:rPr>
        <w:t xml:space="preserve">Retour automatique des questions SFI. </w:t>
      </w:r>
      <w:r>
        <w:t xml:space="preserve">Si la ligne de financement ou les Principes de l’Équateur l’exigent, le niveau « Standard » s’impose, quel que soit le paramètre.</w:t>
      </w:r>
    </w:p>
    <w:p>
      <w:pPr>
        <w:pStyle w:val="ListParagraph"/>
        <w:numPr>
          <w:ilvl w:val="0"/>
          <w:numId w:val="3"/>
        </w:numPr>
        <w:spacing w:after="60" w:line="264"/>
      </w:pPr>
      <w:r>
        <w:rPr>
          <w:b/>
          <w:bCs/>
        </w:rPr>
        <w:t xml:space="preserve">Questions filtres justifiées. </w:t>
      </w:r>
      <w:r>
        <w:t xml:space="preserve">Répondre « Non » à une question filtre retire un module ; la réponse et son auteur figurent dans l’historique, et l’IA signale une contradiction avec les pièces (par exemple, une EIES qui mentionne des rejets).</w:t>
      </w:r>
    </w:p>
    <w:p>
      <w:pPr>
        <w:pStyle w:val="ListParagraph"/>
        <w:numPr>
          <w:ilvl w:val="0"/>
          <w:numId w:val="3"/>
        </w:numPr>
        <w:spacing w:after="60" w:line="264"/>
      </w:pPr>
      <w:r>
        <w:rPr>
          <w:b/>
          <w:bCs/>
        </w:rPr>
        <w:t xml:space="preserve">Droit de forcer. </w:t>
      </w:r>
      <w:r>
        <w:t xml:space="preserve">Le Responsable RSE (et le directeur, si vous le souhaitez) peut imposer le niveau complet sur un dossier.</w:t>
      </w:r>
    </w:p>
    <w:p>
      <w:pPr>
        <w:pStyle w:val="ListParagraph"/>
        <w:numPr>
          <w:ilvl w:val="0"/>
          <w:numId w:val="3"/>
        </w:numPr>
        <w:spacing w:after="60" w:line="264"/>
      </w:pPr>
      <w:r>
        <w:rPr>
          <w:b/>
          <w:bCs/>
        </w:rPr>
        <w:t xml:space="preserve">Transparence de la fiche. </w:t>
      </w:r>
      <w:r>
        <w:t xml:space="preserve">La fiche E&amp;S et l’API indiquent : niveau appliqué, modules retenus et écartés, nombre de questions non posées, version du référentiel.</w:t>
      </w:r>
    </w:p>
    <w:p>
      <w:pPr>
        <w:pStyle w:val="ListParagraph"/>
        <w:numPr>
          <w:ilvl w:val="0"/>
          <w:numId w:val="3"/>
        </w:numPr>
        <w:spacing w:after="60" w:line="264"/>
      </w:pPr>
      <w:r>
        <w:rPr>
          <w:b/>
          <w:bCs/>
        </w:rPr>
        <w:t xml:space="preserve">Reclassement. </w:t>
      </w:r>
      <w:r>
        <w:t xml:space="preserve">Si la catégorie change (B devient A), le questionnaire est complété automatiquement et les réponses déjà données sont conservées.</w:t>
      </w:r>
    </w:p>
    <w:p>
      <w:pPr>
        <w:pStyle w:val="ListParagraph"/>
        <w:numPr>
          <w:ilvl w:val="0"/>
          <w:numId w:val="3"/>
        </w:numPr>
        <w:spacing w:after="60" w:line="264"/>
      </w:pPr>
      <w:r>
        <w:rPr>
          <w:b/>
          <w:bCs/>
        </w:rPr>
        <w:t xml:space="preserve">Revue annuelle. </w:t>
      </w:r>
      <w:r>
        <w:t xml:space="preserve">Le marquage et les déclencheurs sont revus chaque année par le Responsable RSE et la Conformité (évolution des lois, retour d’expérience des visites).</w:t>
      </w:r>
    </w:p>
    <w:p>
      <w:pPr>
        <w:pStyle w:val="Heading1"/>
        <w:spacing w:after="240" w:before="480"/>
      </w:pPr>
      <w:r>
        <w:t xml:space="preserve">5. Mise en œuvre proposée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2100"/>
        <w:gridCol w:w="1838"/>
      </w:tblGrid>
      <w:tr>
        <w:trPr>
          <w:tblHeader/>
        </w:trPr>
        <w:tc>
          <w:tcPr>
            <w:tcW w:type="dxa" w:w="17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Lot</w:t>
            </w:r>
          </w:p>
        </w:tc>
        <w:tc>
          <w:tcPr>
            <w:tcW w:type="dxa" w:w="40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Contenu</w:t>
            </w:r>
          </w:p>
        </w:tc>
        <w:tc>
          <w:tcPr>
            <w:tcW w:type="dxa" w:w="21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Qui</w:t>
            </w:r>
          </w:p>
        </w:tc>
        <w:tc>
          <w:tcPr>
            <w:tcW w:type="dxa" w:w="18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Charge indicative</w:t>
            </w:r>
          </w:p>
        </w:tc>
      </w:tr>
      <w:tr>
        <w:trPr>
          <w:cantSplit/>
        </w:trPr>
        <w:tc>
          <w:tcPr>
            <w:tcW w:type="dxa" w:w="1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0. Validation</w:t>
            </w:r>
          </w:p>
        </w:tc>
        <w:tc>
          <w:tcPr>
            <w:tcW w:type="dxa" w:w="4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Valider le marquage des 55 questions (annexe 2), les modules et leurs secteurs, les niveaux par catégorie</w:t>
            </w:r>
          </w:p>
        </w:tc>
        <w:tc>
          <w:tcPr>
            <w:tcW w:type="dxa" w:w="2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Responsable RSE, Conformité, Juridique</w:t>
            </w:r>
          </w:p>
        </w:tc>
        <w:tc>
          <w:tcPr>
            <w:tcW w:type="dxa" w:w="1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2 à 3 ateliers</w:t>
            </w:r>
          </w:p>
        </w:tc>
      </w:tr>
      <w:tr>
        <w:trPr>
          <w:cantSplit/>
        </w:trPr>
        <w:tc>
          <w:tcPr>
            <w:tcW w:type="dxa" w:w="1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1. Questionnaire modulaire</w:t>
            </w:r>
          </w:p>
        </w:tc>
        <w:tc>
          <w:tcPr>
            <w:tcW w:type="dxa" w:w="4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Niveau de chaque question, modules, questions filtres, niveau par catégorie, case « Principes de l’Équateur », affichage sur la fiche, tests</w:t>
            </w:r>
          </w:p>
        </w:tc>
        <w:tc>
          <w:tcPr>
            <w:tcW w:type="dxa" w:w="2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Développement</w:t>
            </w:r>
          </w:p>
        </w:tc>
        <w:tc>
          <w:tcPr>
            <w:tcW w:type="dxa" w:w="1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8 à 10 jours</w:t>
            </w:r>
          </w:p>
        </w:tc>
      </w:tr>
      <w:tr>
        <w:trPr>
          <w:cantSplit/>
        </w:trPr>
        <w:tc>
          <w:tcPr>
            <w:tcW w:type="dxa" w:w="1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2. Listes déroulantes</w:t>
            </w:r>
          </w:p>
        </w:tc>
        <w:tc>
          <w:tcPr>
            <w:tcW w:type="dxa" w:w="4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Référentiels communes / villes / pays / fonctions, catalogues (actions, réserves, constats, adaptation), « Autre (préciser) », traductions</w:t>
            </w:r>
          </w:p>
        </w:tc>
        <w:tc>
          <w:tcPr>
            <w:tcW w:type="dxa" w:w="2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Développement + saisie des catalogues</w:t>
            </w:r>
          </w:p>
        </w:tc>
        <w:tc>
          <w:tcPr>
            <w:tcW w:type="dxa" w:w="1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6 à 8 jours</w:t>
            </w:r>
          </w:p>
        </w:tc>
      </w:tr>
      <w:tr>
        <w:trPr>
          <w:cantSplit/>
        </w:trPr>
        <w:tc>
          <w:tcPr>
            <w:tcW w:type="dxa" w:w="17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3. Paramétrage avancé</w:t>
            </w:r>
          </w:p>
        </w:tc>
        <w:tc>
          <w:tcPr>
            <w:tcW w:type="dxa" w:w="40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Écrans pièces attendues, clauses, référentiel climat, matrice de notifications, listes de visite et horizons</w:t>
            </w:r>
          </w:p>
        </w:tc>
        <w:tc>
          <w:tcPr>
            <w:tcW w:type="dxa" w:w="2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Développement</w:t>
            </w:r>
          </w:p>
        </w:tc>
        <w:tc>
          <w:tcPr>
            <w:tcW w:type="dxa" w:w="18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8 à 10 jours</w:t>
            </w:r>
          </w:p>
        </w:tc>
      </w:tr>
      <w:tr>
        <w:trPr>
          <w:cantSplit/>
        </w:trPr>
        <w:tc>
          <w:tcPr>
            <w:tcW w:type="dxa" w:w="17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4. Recette et formation</w:t>
            </w:r>
          </w:p>
        </w:tc>
        <w:tc>
          <w:tcPr>
            <w:tcW w:type="dxa" w:w="40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Recette avec 3 dossiers réels par catégorie, mise à jour du guide utilisateur</w:t>
            </w:r>
          </w:p>
        </w:tc>
        <w:tc>
          <w:tcPr>
            <w:tcW w:type="dxa" w:w="2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Métier + équipe projet</w:t>
            </w:r>
          </w:p>
        </w:tc>
        <w:tc>
          <w:tcPr>
            <w:tcW w:type="dxa" w:w="18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3 à 5 jours</w:t>
            </w:r>
          </w:p>
        </w:tc>
      </w:tr>
    </w:tbl>
    <w:p>
      <w:pPr>
        <w:spacing w:after="120" w:line="276"/>
      </w:pPr>
      <w:r>
        <w:rPr>
          <w:i/>
          <w:iCs/>
        </w:rPr>
        <w:t xml:space="preserve">Les charges sont des estimations indicatives, à affiner après validation du lot 0.</w:t>
      </w:r>
    </w:p>
    <w:p>
      <w:pPr>
        <w:pStyle w:val="Heading2"/>
      </w:pPr>
      <w:r>
        <w:t xml:space="preserve">Décisions attendues de votre part</w:t>
      </w:r>
    </w:p>
    <w:p>
      <w:pPr>
        <w:pStyle w:val="ListParagraph"/>
        <w:numPr>
          <w:ilvl w:val="0"/>
          <w:numId w:val="4"/>
        </w:numPr>
        <w:spacing w:after="60" w:line="264"/>
      </w:pPr>
      <w:r>
        <w:t xml:space="preserve">Valider le principe des quatre niveaux de questionnaire et le niveau par défaut de chaque catégorie (proposition : C = minimum ; B = minimum sans bailleur, standard avec bailleur ; A = complet).</w:t>
      </w:r>
    </w:p>
    <w:p>
      <w:pPr>
        <w:pStyle w:val="ListParagraph"/>
        <w:numPr>
          <w:ilvl w:val="0"/>
          <w:numId w:val="4"/>
        </w:numPr>
        <w:spacing w:after="60" w:line="264"/>
      </w:pPr>
      <w:r>
        <w:t xml:space="preserve">Désigner les personnes qui valideront le marquage des questions (Responsable RSE et Conformité / Juridique recommandés).</w:t>
      </w:r>
    </w:p>
    <w:p>
      <w:pPr>
        <w:pStyle w:val="ListParagraph"/>
        <w:numPr>
          <w:ilvl w:val="0"/>
          <w:numId w:val="4"/>
        </w:numPr>
        <w:spacing w:after="60" w:line="264"/>
      </w:pPr>
      <w:r>
        <w:t xml:space="preserve">Confirmer qui peut forcer le questionnaire complet : Responsable RSE seul, ou aussi le directeur de centre d’affaires.</w:t>
      </w:r>
    </w:p>
    <w:p>
      <w:pPr>
        <w:pStyle w:val="ListParagraph"/>
        <w:numPr>
          <w:ilvl w:val="0"/>
          <w:numId w:val="4"/>
        </w:numPr>
        <w:spacing w:after="60" w:line="264"/>
      </w:pPr>
      <w:r>
        <w:t xml:space="preserve">Choisir les catalogues prioritaires parmi ceux du chapitre 2 (proposition : réserves du comité, constats de visite, actions types).</w:t>
      </w:r>
    </w:p>
    <w:p>
      <w:pPr>
        <w:pStyle w:val="ListParagraph"/>
        <w:numPr>
          <w:ilvl w:val="0"/>
          <w:numId w:val="4"/>
        </w:numPr>
        <w:spacing w:after="60" w:line="264"/>
      </w:pPr>
      <w:r>
        <w:t xml:space="preserve">Fixer l’ordre des lots (proposition : 0, puis 1, puis 2, puis 3).</w:t>
      </w:r>
    </w:p>
    <w:p>
      <w:pPr>
        <w:pStyle w:val="Heading1"/>
        <w:pageBreakBefore/>
      </w:pPr>
      <w:r>
        <w:t xml:space="preserve">Annexe 1 — Légende du marquage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Niveau</w:t>
            </w:r>
          </w:p>
        </w:tc>
        <w:tc>
          <w:tcPr>
            <w:tcW w:type="dxa" w:w="73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8"/>
                <w:szCs w:val="18"/>
              </w:rPr>
              <w:t xml:space="preserve">Signification</w:t>
            </w:r>
          </w:p>
        </w:tc>
      </w:tr>
      <w:tr>
        <w:trPr>
          <w:cantSplit/>
        </w:trPr>
        <w:tc>
          <w:tcPr>
            <w:tcW w:type="dxa" w:w="2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Réglementaire</w:t>
            </w:r>
          </w:p>
        </w:tc>
        <w:tc>
          <w:tcPr>
            <w:tcW w:type="dxa" w:w="73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Exigence du droit marocain (loi, décret, Code du travail). Toujours posée si l’activité est concernée ; non désactivable.</w:t>
            </w:r>
          </w:p>
        </w:tc>
      </w:tr>
      <w:tr>
        <w:trPr>
          <w:cantSplit/>
        </w:trPr>
        <w:tc>
          <w:tcPr>
            <w:tcW w:type="dxa" w:w="2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Interne / BAM</w:t>
            </w:r>
          </w:p>
        </w:tc>
        <w:tc>
          <w:tcPr>
            <w:tcW w:type="dxa" w:w="73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Exigence de la procédure du groupe ou de la directive BAM 5/W/2021. Toujours posée.</w:t>
            </w:r>
          </w:p>
        </w:tc>
      </w:tr>
      <w:tr>
        <w:trPr>
          <w:cantSplit/>
        </w:trPr>
        <w:tc>
          <w:tcPr>
            <w:tcW w:type="dxa" w:w="2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bCs/>
                <w:sz w:val="18"/>
                <w:szCs w:val="18"/>
              </w:rPr>
              <w:t xml:space="preserve">SFI / Équateur</w:t>
            </w:r>
          </w:p>
        </w:tc>
        <w:tc>
          <w:tcPr>
            <w:tcW w:type="dxa" w:w="73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b w:val="false"/>
                <w:bCs w:val="false"/>
                <w:sz w:val="18"/>
                <w:szCs w:val="18"/>
              </w:rPr>
              <w:t xml:space="preserve">Norme de performance SFI ou Principe de l’Équateur. Posée en niveau « Standard » et « Complet », ou si un bailleur l’exige.</w:t>
            </w:r>
          </w:p>
        </w:tc>
      </w:tr>
      <w:tr>
        <w:trPr>
          <w:cantSplit/>
        </w:trPr>
        <w:tc>
          <w:tcPr>
            <w:tcW w:type="dxa" w:w="2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bCs/>
                <w:sz w:val="18"/>
                <w:szCs w:val="18"/>
              </w:rPr>
              <w:t xml:space="preserve">Bonne pratique</w:t>
            </w:r>
          </w:p>
        </w:tc>
        <w:tc>
          <w:tcPr>
            <w:tcW w:type="dxa" w:w="73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b w:val="false"/>
                <w:bCs w:val="false"/>
                <w:sz w:val="18"/>
                <w:szCs w:val="18"/>
              </w:rPr>
              <w:t xml:space="preserve">Information utile mais non exigée. Posée en niveau « Complet » ou si le chargé le souhaite.</w:t>
            </w:r>
          </w:p>
        </w:tc>
      </w:tr>
    </w:tbl>
    <w:p>
      <w:pPr>
        <w:spacing w:after="120" w:line="276"/>
      </w:pPr>
      <w:r>
        <w:t xml:space="preserve">Le déclencheur (colonne « Module ») renvoie au tableau du § 4.3. Une question sans module est posée à tous les dossiers de la catégorie.</w:t>
      </w:r>
    </w:p>
    <w:p>
      <w:pPr>
        <w:pStyle w:val="Heading1"/>
        <w:spacing w:after="240" w:before="480"/>
      </w:pPr>
      <w:r>
        <w:t xml:space="preserve">Annexe 2 — Marquage proposé des 55 questions</w:t>
      </w:r>
    </w:p>
    <w:p>
      <w:pPr>
        <w:spacing w:after="120" w:line="276"/>
      </w:pPr>
      <w:r>
        <w:rPr>
          <w:i/>
          <w:iCs/>
        </w:rPr>
        <w:t xml:space="preserve">Proposition initiale à valider : elle s’appuie sur les références déjà inscrites dans chaque question. Une question qui cite à la fois une loi marocaine et une norme SFI est classée « Réglementaire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638"/>
        <w:gridCol w:w="1100"/>
        <w:gridCol w:w="1300"/>
        <w:gridCol w:w="800"/>
      </w:tblGrid>
      <w:tr>
        <w:trPr>
          <w:tblHeader/>
        </w:trPr>
        <w:tc>
          <w:tcPr>
            <w:tcW w:type="dxa" w:w="8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6"/>
                <w:szCs w:val="16"/>
              </w:rPr>
              <w:t xml:space="preserve">Code</w:t>
            </w:r>
          </w:p>
        </w:tc>
        <w:tc>
          <w:tcPr>
            <w:tcW w:type="dxa" w:w="5638"/>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6"/>
                <w:szCs w:val="16"/>
              </w:rPr>
              <w:t xml:space="preserve">Question</w:t>
            </w:r>
          </w:p>
        </w:tc>
        <w:tc>
          <w:tcPr>
            <w:tcW w:type="dxa" w:w="11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6"/>
                <w:szCs w:val="16"/>
              </w:rPr>
              <w:t xml:space="preserve">Cat.</w:t>
            </w:r>
          </w:p>
        </w:tc>
        <w:tc>
          <w:tcPr>
            <w:tcW w:type="dxa" w:w="13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6"/>
                <w:szCs w:val="16"/>
              </w:rPr>
              <w:t xml:space="preserve">Niveau</w:t>
            </w:r>
          </w:p>
        </w:tc>
        <w:tc>
          <w:tcPr>
            <w:tcW w:type="dxa" w:w="800"/>
            <w:tcBorders>
              <w:top w:val="single" w:color="C9D3CF" w:sz="4"/>
              <w:left w:val="single" w:color="C9D3CF" w:sz="4"/>
              <w:bottom w:val="single" w:color="C9D3CF" w:sz="4"/>
              <w:right w:val="single" w:color="C9D3CF" w:sz="4"/>
            </w:tcBorders>
            <w:shd w:fill="1F5F4A" w:color="auto" w:val="clear"/>
            <w:tcMar>
              <w:top w:type="dxa" w:w="60"/>
              <w:left w:type="dxa" w:w="90"/>
              <w:bottom w:type="dxa" w:w="60"/>
              <w:right w:type="dxa" w:w="90"/>
            </w:tcMar>
          </w:tcPr>
          <w:p>
            <w:pPr>
              <w:spacing w:after="0" w:line="252"/>
            </w:pPr>
            <w:r>
              <w:rPr>
                <w:b/>
                <w:bCs/>
                <w:color w:val="FFFFFF"/>
                <w:sz w:val="16"/>
                <w:szCs w:val="16"/>
              </w:rPr>
              <w:t xml:space="preserve">Module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SIG01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Effectif total (salariés permanents et temporaires)</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 FI</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SIG02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Part des femmes dans l'effectif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 FI</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Bonne pratique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SIG03</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Activités sous-traitées et principaux sous-traitants</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 FI</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Bonne pratique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EFF01</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effluents liquides (eaux de procédé, de lavage, sanitaires) sont-ils collectés séparément et traités avant rejet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M1</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EFF02</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 rejet dispose-t-il d'une autorisation de déversement de l'Agence de bassin hydraulique et respecte-t-il les valeurs limites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M1</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EFF03</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Des analyses périodiques des rejets liquides sont-elles réalisées et archivées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M1</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DS01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Les déchets solides non dangereux sont-ils triés, stockés sur une aire dédiée et évacués par un collecteur autorisé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DS02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Un registre des quantités de déchets produits et éliminés est-il tenu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AIR01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Existe-t-il des émissions de particules en suspension ou de fumées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M2</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AIR02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sources d'émission (cheminées, chaudières, fours) sont-elles équipées de dispositifs de traitement et contrôlées périodiquement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M2</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AIR03</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Les niveaux de bruit en limite de site sont-ils mesurés et conformes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M7</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DD01</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produits chimiques et déchets dangereux sont-ils stockés sur rétention, étiquetés, avec fiches de données de sécurité disponibles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M3</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DD02</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Les déchets dangereux sont-ils éliminés par une entreprise autorisée, avec conservation des bordereaux de suivi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M3</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DD03</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L'activité utilise-t-elle des substances appauvrissant la couche d'ozone ou des équipements contenant des PCB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M3</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URG01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Un plan d'urgence (incendie, déversement, fuite, évacuation) existe-t-il et est-il testé par des exercices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URG02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moyens de lutte contre l'incendie (extincteurs, robinets d'incendie, détection) sont-ils en place et vérifiés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CERT01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 projet dispose-t-il (ou disposera-t-il avant décaissement) des autorisations requises : décision d'acceptabilité environnementale, autorisation d'exploiter, autorisation de prélèvement d'eau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CERT02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L'entreprise est-elle certifiée (ISO 14001, ISO 45001, ISO 50001) ou engagée dans une démarche de certification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Bonne pratique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SGE01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L'entreprise dispose-t-elle d'une politique environnementale et sociale formalisée et d'un responsable désigné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SGE02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aspects et risques E&amp;S de l'activité sont-ils identifiés et suivis (registre, indicateurs, revue de direction)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SGE03</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Une étude d'impact environnemental et social (EIES) a-t-elle été réalisée par un bureau d'études qualifié, avec un plan de gestion (PGES)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RES01</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La consommation d'eau est-elle mesurée et des mesures d'économie sont-elles mises en œuvre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RES02</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La ressource en eau du projet est-elle sécurisée compte tenu du stress hydrique local (autorisation de prélèvement, ressource alternative)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M8</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HN01</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riverains sont-ils exposés à des nuisances (bruit, odeurs, poussières, trafic de poids lourds)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M7</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HS01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Une évaluation des risques professionnels est-elle réalisée et mise à jour, avec un plan de prévention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HS02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équipements de protection individuelle sont-ils fournis gratuitement et leur port est-il contrôlé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HS03</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Existe-t-il un comité de sécurité et d'hygiène et un service médical du travail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E50</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HS04</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accidents du travail sont-ils déclarés, enregistrés et analysés (taux de fréquence suivi)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CT01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Les installations sanitaires, l'éclairage, la ventilation et l'eau potable sont-ils adaptés aux effectifs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CT02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 personnel est-il formé à la sécurité (accueil sécurité, habilitations, conduite d'engins)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RH01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Tous les salariés disposent-ils d'un contrat de travail et sont-ils déclarés à la sécurité sociale (CNSS)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RH02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 salaire minimum légal, la durée du travail et la rémunération des heures supplémentaires sont-ils respectés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RH03</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L'entreprise garantit-elle l'absence de travail des enfants et de travail forcé, y compris chez ses sous-traitants et fournisseurs principaux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RH04</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Existe-t-il une politique de non-discrimination, d'égalité des chances et de prévention du harcèlement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RH05</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La liberté d'association et la représentation du personnel (délégués des salariés) sont-elles respectées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E10</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RH06</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Un mécanisme de réclamation accessible aux travailleurs (confidentiel, sans représailles) existe-t-il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RH07</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 projet prévoit-il des licenciements collectifs ou un recours important à de la main-d'œuvre temporaire, migrante ou hébergée sur site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M9</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NP01</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parties prenantes (riverains, autorités, communautés) ont-elles été consultées et un mécanisme de plaintes externe est-il en place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NP04</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Les risques pour la santé et la sécurité des communautés (trafic, matières dangereuses, rupture d'ouvrage, agents de sécurité) sont-ils évalués et gérés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M4</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NP05</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 projet nécessite-t-il une acquisition de terres ou entraîne-t-il un déplacement physique ou économique de populations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M4</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NP06</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 site est-il situé dans ou à proximité d'une aire protégée, d'un habitat critique, d'un site Ramsar ou d'un SIBE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M5</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NP07</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 projet affecte-t-il des populations autochtones ou des terres et ressources coutumières (terres collectives)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M10</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NP08</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 projet peut-il affecter un patrimoine culturel (sites archéologiques ou religieux, ksour, kasbahs)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M4</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NP09</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 projet fait-il l'objet d'une revue E&amp;S indépendante, d'un plan d'action (ESAP) et de clauses E&amp;S dans la documentation de financement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EP</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CL01</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Les émissions de gaz à effet de serre du projet (scopes 1 et 2) sont-elles estimées et suivies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M6</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CL02</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 projet intègre-t-il des mesures d'efficacité énergétique ou d'énergies renouvelables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M6</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CL03</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Si l'entreprise exporte vers l'Union européenne des produits couverts par le CBAM, est-elle en mesure de déclarer leurs émissions intégrées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M6</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CL04</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Les risques climatiques physiques du site (inondation, sécheresse, chaleur extrême, submersion) ont-ils été pris en compte dans la conception du projet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CL05</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Les actifs financés sont-ils assurés contre les événements catastrophiques (inondation, séisme)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A, B, C</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Réglementaire</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FI01</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L'institution applique-t-elle à ses financements une politique E&amp;S et la liste d'exclusion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FI</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FI02</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Les opérations à risque E&amp;S élevé (catégorie A) du portefeuille sont-elles identifiées et suivies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FI</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FI03</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Part du portefeuille dans les secteurs à risque E&amp;S élevé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FI</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FI04</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Un responsable E&amp;S est-il désigné et formé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FI</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FI05</w:t>
            </w:r>
          </w:p>
        </w:tc>
        <w:tc>
          <w:tcPr>
            <w:tcW w:type="dxa" w:w="5638"/>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Un reporting E&amp;S périodique est-il produit pour la direction et les bailleurs de fonds ?</w:t>
            </w:r>
          </w:p>
        </w:tc>
        <w:tc>
          <w:tcPr>
            <w:tcW w:type="dxa" w:w="11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FI</w:t>
            </w:r>
          </w:p>
        </w:tc>
        <w:tc>
          <w:tcPr>
            <w:tcW w:type="dxa" w:w="13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SFI / Équateur</w:t>
            </w:r>
          </w:p>
        </w:tc>
        <w:tc>
          <w:tcPr>
            <w:tcW w:type="dxa" w:w="800"/>
            <w:tcBorders>
              <w:top w:val="single" w:color="C9D3CF" w:sz="4"/>
              <w:left w:val="single" w:color="C9D3CF" w:sz="4"/>
              <w:bottom w:val="single" w:color="C9D3CF" w:sz="4"/>
              <w:right w:val="single" w:color="C9D3CF" w:sz="4"/>
            </w:tcBorders>
            <w:shd w:fill="F3F4F4" w:color="auto" w:val="clear"/>
            <w:tcMar>
              <w:top w:type="dxa" w:w="60"/>
              <w:left w:type="dxa" w:w="90"/>
              <w:bottom w:type="dxa" w:w="60"/>
              <w:right w:type="dxa" w:w="90"/>
            </w:tcMar>
          </w:tcPr>
          <w:p>
            <w:pPr>
              <w:spacing w:after="0" w:line="252"/>
            </w:pPr>
            <w:r>
              <w:rPr>
                <w:sz w:val="16"/>
                <w:szCs w:val="16"/>
              </w:rPr>
              <w:t xml:space="preserve">—</w:t>
            </w:r>
          </w:p>
        </w:tc>
      </w:tr>
      <w:tr>
        <w:trPr>
          <w:cantSplit/>
        </w:trPr>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FI06</w:t>
            </w:r>
          </w:p>
        </w:tc>
        <w:tc>
          <w:tcPr>
            <w:tcW w:type="dxa" w:w="5638"/>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L'institution évalue-t-elle les risques climatiques de son portefeuille ?</w:t>
            </w:r>
          </w:p>
        </w:tc>
        <w:tc>
          <w:tcPr>
            <w:tcW w:type="dxa" w:w="11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FI</w:t>
            </w:r>
          </w:p>
        </w:tc>
        <w:tc>
          <w:tcPr>
            <w:tcW w:type="dxa" w:w="13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Interne / BAM</w:t>
            </w:r>
          </w:p>
        </w:tc>
        <w:tc>
          <w:tcPr>
            <w:tcW w:type="dxa" w:w="800"/>
            <w:tcBorders>
              <w:top w:val="single" w:color="C9D3CF" w:sz="4"/>
              <w:left w:val="single" w:color="C9D3CF" w:sz="4"/>
              <w:bottom w:val="single" w:color="C9D3CF" w:sz="4"/>
              <w:right w:val="single" w:color="C9D3CF" w:sz="4"/>
            </w:tcBorders>
            <w:tcMar>
              <w:top w:type="dxa" w:w="60"/>
              <w:left w:type="dxa" w:w="90"/>
              <w:bottom w:type="dxa" w:w="60"/>
              <w:right w:type="dxa" w:w="90"/>
            </w:tcMar>
          </w:tcPr>
          <w:p>
            <w:pPr>
              <w:spacing w:after="0" w:line="252"/>
            </w:pPr>
            <w:r>
              <w:rPr>
                <w:sz w:val="16"/>
                <w:szCs w:val="16"/>
              </w:rPr>
              <w:t xml:space="preserv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SGES — Proposition de paramétrage et de questionnaires allégés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5F4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5F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 listes, paramétrage et questionnaires allégés</dc:title>
  <dc:creator>SGES</dc:creator>
  <cp:lastModifiedBy>Un-named</cp:lastModifiedBy>
  <cp:revision>1</cp:revision>
  <dcterms:created xsi:type="dcterms:W3CDTF">2026-10-26T06:49:23.819Z</dcterms:created>
  <dcterms:modified xsi:type="dcterms:W3CDTF">2026-10-26T06:49:23.819Z</dcterms:modified>
</cp:coreProperties>
</file>

<file path=docProps/custom.xml><?xml version="1.0" encoding="utf-8"?>
<Properties xmlns="http://schemas.openxmlformats.org/officeDocument/2006/custom-properties" xmlns:vt="http://schemas.openxmlformats.org/officeDocument/2006/docPropsVTypes"/>
</file>