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r>
        <w:rPr>
          <w:rFonts w:ascii="Arial" w:cs="Arial" w:eastAsia="Arial" w:hAnsi="Arial"/>
          <w:b/>
          <w:bCs/>
          <w:color w:val="115E4A"/>
          <w:sz w:val="120"/>
          <w:szCs w:val="120"/>
        </w:rPr>
        <w:t xml:space="preserve">SGES</w:t>
      </w:r>
    </w:p>
    <w:p>
      <w:pPr>
        <w:pBdr>
          <w:bottom w:val="single" w:color="115E4A" w:sz="18" w:space="8"/>
        </w:pBdr>
        <w:spacing w:after="400"/>
      </w:pPr>
      <w:r>
        <w:rPr>
          <w:rFonts w:ascii="Arial" w:cs="Arial" w:eastAsia="Arial" w:hAnsi="Arial"/>
          <w:color w:val="5B6560"/>
          <w:sz w:val="30"/>
          <w:szCs w:val="30"/>
        </w:rPr>
        <w:t xml:space="preserve">Système de Gestion Environnementale, Sociale et Climatique</w:t>
      </w:r>
    </w:p>
    <w:p>
      <w:pPr>
        <w:spacing w:after="200" w:before="600"/>
      </w:pPr>
      <w:r>
        <w:rPr>
          <w:rFonts w:ascii="Arial" w:cs="Arial" w:eastAsia="Arial" w:hAnsi="Arial"/>
          <w:b/>
          <w:bCs/>
          <w:sz w:val="64"/>
          <w:szCs w:val="64"/>
        </w:rPr>
        <w:t xml:space="preserve">Guide utilisateur</w:t>
      </w:r>
    </w:p>
    <w:p>
      <w:pPr>
        <w:spacing w:after="120"/>
      </w:pPr>
      <w:r>
        <w:rPr>
          <w:rFonts w:ascii="Arial" w:cs="Arial" w:eastAsia="Arial" w:hAnsi="Arial"/>
          <w:sz w:val="28"/>
          <w:szCs w:val="28"/>
        </w:rPr>
        <w:t xml:space="preserve">Évaluation des risques E&amp;S et climat des crédits d'investissement</w:t>
      </w:r>
    </w:p>
    <w:p>
      <w:pPr>
        <w:spacing w:after="1800"/>
      </w:pPr>
      <w:r>
        <w:rPr>
          <w:rFonts w:ascii="Arial" w:cs="Arial" w:eastAsia="Arial" w:hAnsi="Arial"/>
          <w:color w:val="5B6560"/>
          <w:sz w:val="22"/>
          <w:szCs w:val="22"/>
        </w:rPr>
        <w:t xml:space="preserve">Du premier accès à l'administration : pas à pas, avec captures d'écran annotées</w:t>
      </w:r>
    </w:p>
    <w:p>
      <w:r>
        <w:rPr>
          <w:rFonts w:ascii="Arial" w:cs="Arial" w:eastAsia="Arial" w:hAnsi="Arial"/>
          <w:color w:val="5B6560"/>
          <w:sz w:val="18"/>
          <w:szCs w:val="18"/>
        </w:rPr>
        <w:t xml:space="preserve">Référentiel : circulaire CFD-537/01-24 · procédure CFD12340876/0217 · SFI · Principes de l'Équateur · directive BAM n° 5/W/2021</w:t>
      </w:r>
    </w:p>
    <w:p>
      <w:pPr>
        <w:spacing w:before="200"/>
      </w:pPr>
      <w:r>
        <w:rPr>
          <w:rFonts w:ascii="Arial" w:cs="Arial" w:eastAsia="Arial" w:hAnsi="Arial"/>
          <w:color w:val="5B6560"/>
          <w:sz w:val="18"/>
          <w:szCs w:val="18"/>
        </w:rPr>
        <w:t xml:space="preserve">Version 1.0 — Octobre 2026 · Document interne</w:t>
      </w:r>
    </w:p>
    <w:p>
      <w:pPr>
        <w:sectPr>
          <w:pgSz w:w="11906" w:h="16838" w:orient="portrait"/>
          <w:pgMar w:top="1134" w:right="1134" w:bottom="1200" w:left="1134" w:header="600" w:footer="560" w:gutter="0"/>
          <w:pgNumType/>
          <w:docGrid w:linePitch="360"/>
        </w:sectPr>
      </w:pPr>
    </w:p>
    <w:p>
      <w:pPr>
        <w:pStyle w:val="Heading1"/>
      </w:pPr>
      <w:r>
        <w:rPr>
          <w:rFonts w:ascii="Arial" w:cs="Arial" w:eastAsia="Arial" w:hAnsi="Arial"/>
        </w:rPr>
        <w:t xml:space="preserve">Sommaire</w:t>
      </w:r>
    </w:p>
    <w:p>
      <w:pPr>
        <w:tabs>
          <w:tab w:val="right" w:pos="9638" w:leader="dot"/>
        </w:tabs>
        <w:spacing w:after="40" w:before="120"/>
        <w:ind w:left="0"/>
      </w:pPr>
      <w:hyperlink w:history="1" w:anchor="t1">
        <w:r>
          <w:rPr>
            <w:rFonts w:ascii="Arial" w:cs="Arial" w:eastAsia="Arial" w:hAnsi="Arial"/>
            <w:b/>
            <w:bCs/>
            <w:color w:val="115E4A"/>
            <w:sz w:val="21"/>
            <w:szCs w:val="21"/>
          </w:rPr>
          <w:t xml:space="preserve">1. Présentation de l'outil</w:t>
        </w:r>
        <w:r>
          <w:rPr>
            <w:rFonts w:ascii="Arial" w:cs="Arial" w:eastAsia="Arial" w:hAnsi="Arial"/>
            <w:b/>
            <w:bCs/>
            <w:color w:val="222222"/>
            <w:sz w:val="21"/>
            <w:szCs w:val="21"/>
          </w:rPr>
          <w:t xml:space="preserve">	4</w:t>
        </w:r>
      </w:hyperlink>
    </w:p>
    <w:p>
      <w:pPr>
        <w:tabs>
          <w:tab w:val="right" w:pos="9638" w:leader="dot"/>
        </w:tabs>
        <w:spacing w:after="20" w:before="0"/>
        <w:ind w:left="400"/>
      </w:pPr>
      <w:hyperlink w:history="1" w:anchor="t2">
        <w:r>
          <w:rPr>
            <w:rFonts w:ascii="Arial" w:cs="Arial" w:eastAsia="Arial" w:hAnsi="Arial"/>
            <w:b w:val="false"/>
            <w:bCs w:val="false"/>
            <w:color w:val="222222"/>
            <w:sz w:val="19"/>
            <w:szCs w:val="19"/>
          </w:rPr>
          <w:t xml:space="preserve">1.1 À quoi sert le SGES ?</w:t>
        </w:r>
        <w:r>
          <w:rPr>
            <w:rFonts w:ascii="Arial" w:cs="Arial" w:eastAsia="Arial" w:hAnsi="Arial"/>
            <w:b w:val="false"/>
            <w:bCs w:val="false"/>
            <w:color w:val="222222"/>
            <w:sz w:val="19"/>
            <w:szCs w:val="19"/>
          </w:rPr>
          <w:t xml:space="preserve">	4</w:t>
        </w:r>
      </w:hyperlink>
    </w:p>
    <w:p>
      <w:pPr>
        <w:tabs>
          <w:tab w:val="right" w:pos="9638" w:leader="dot"/>
        </w:tabs>
        <w:spacing w:after="20" w:before="0"/>
        <w:ind w:left="400"/>
      </w:pPr>
      <w:hyperlink w:history="1" w:anchor="t3">
        <w:r>
          <w:rPr>
            <w:rFonts w:ascii="Arial" w:cs="Arial" w:eastAsia="Arial" w:hAnsi="Arial"/>
            <w:b w:val="false"/>
            <w:bCs w:val="false"/>
            <w:color w:val="222222"/>
            <w:sz w:val="19"/>
            <w:szCs w:val="19"/>
          </w:rPr>
          <w:t xml:space="preserve">1.2 Quand une évaluation est-elle obligatoire ?</w:t>
        </w:r>
        <w:r>
          <w:rPr>
            <w:rFonts w:ascii="Arial" w:cs="Arial" w:eastAsia="Arial" w:hAnsi="Arial"/>
            <w:b w:val="false"/>
            <w:bCs w:val="false"/>
            <w:color w:val="222222"/>
            <w:sz w:val="19"/>
            <w:szCs w:val="19"/>
          </w:rPr>
          <w:t xml:space="preserve">	4</w:t>
        </w:r>
      </w:hyperlink>
    </w:p>
    <w:p>
      <w:pPr>
        <w:tabs>
          <w:tab w:val="right" w:pos="9638" w:leader="dot"/>
        </w:tabs>
        <w:spacing w:after="20" w:before="0"/>
        <w:ind w:left="400"/>
      </w:pPr>
      <w:hyperlink w:history="1" w:anchor="t4">
        <w:r>
          <w:rPr>
            <w:rFonts w:ascii="Arial" w:cs="Arial" w:eastAsia="Arial" w:hAnsi="Arial"/>
            <w:b w:val="false"/>
            <w:bCs w:val="false"/>
            <w:color w:val="222222"/>
            <w:sz w:val="19"/>
            <w:szCs w:val="19"/>
          </w:rPr>
          <w:t xml:space="preserve">1.3 Le parcours en neuf étapes</w:t>
        </w:r>
        <w:r>
          <w:rPr>
            <w:rFonts w:ascii="Arial" w:cs="Arial" w:eastAsia="Arial" w:hAnsi="Arial"/>
            <w:b w:val="false"/>
            <w:bCs w:val="false"/>
            <w:color w:val="222222"/>
            <w:sz w:val="19"/>
            <w:szCs w:val="19"/>
          </w:rPr>
          <w:t xml:space="preserve">	4</w:t>
        </w:r>
      </w:hyperlink>
    </w:p>
    <w:p>
      <w:pPr>
        <w:tabs>
          <w:tab w:val="right" w:pos="9638" w:leader="dot"/>
        </w:tabs>
        <w:spacing w:after="20" w:before="0"/>
        <w:ind w:left="400"/>
      </w:pPr>
      <w:hyperlink w:history="1" w:anchor="t5">
        <w:r>
          <w:rPr>
            <w:rFonts w:ascii="Arial" w:cs="Arial" w:eastAsia="Arial" w:hAnsi="Arial"/>
            <w:b w:val="false"/>
            <w:bCs w:val="false"/>
            <w:color w:val="222222"/>
            <w:sz w:val="19"/>
            <w:szCs w:val="19"/>
          </w:rPr>
          <w:t xml:space="preserve">1.4 Les statuts d'un dossier</w:t>
        </w:r>
        <w:r>
          <w:rPr>
            <w:rFonts w:ascii="Arial" w:cs="Arial" w:eastAsia="Arial" w:hAnsi="Arial"/>
            <w:b w:val="false"/>
            <w:bCs w:val="false"/>
            <w:color w:val="222222"/>
            <w:sz w:val="19"/>
            <w:szCs w:val="19"/>
          </w:rPr>
          <w:t xml:space="preserve">	5</w:t>
        </w:r>
      </w:hyperlink>
    </w:p>
    <w:p>
      <w:pPr>
        <w:tabs>
          <w:tab w:val="right" w:pos="9638" w:leader="dot"/>
        </w:tabs>
        <w:spacing w:after="20" w:before="0"/>
        <w:ind w:left="400"/>
      </w:pPr>
      <w:hyperlink w:history="1" w:anchor="t6">
        <w:r>
          <w:rPr>
            <w:rFonts w:ascii="Arial" w:cs="Arial" w:eastAsia="Arial" w:hAnsi="Arial"/>
            <w:b w:val="false"/>
            <w:bCs w:val="false"/>
            <w:color w:val="222222"/>
            <w:sz w:val="19"/>
            <w:szCs w:val="19"/>
          </w:rPr>
          <w:t xml:space="preserve">1.5 Qui fait quoi ? Les rôles</w:t>
        </w:r>
        <w:r>
          <w:rPr>
            <w:rFonts w:ascii="Arial" w:cs="Arial" w:eastAsia="Arial" w:hAnsi="Arial"/>
            <w:b w:val="false"/>
            <w:bCs w:val="false"/>
            <w:color w:val="222222"/>
            <w:sz w:val="19"/>
            <w:szCs w:val="19"/>
          </w:rPr>
          <w:t xml:space="preserve">	6</w:t>
        </w:r>
      </w:hyperlink>
    </w:p>
    <w:p>
      <w:pPr>
        <w:tabs>
          <w:tab w:val="right" w:pos="9638" w:leader="dot"/>
        </w:tabs>
        <w:spacing w:after="20" w:before="0"/>
        <w:ind w:left="400"/>
      </w:pPr>
      <w:hyperlink w:history="1" w:anchor="t7">
        <w:r>
          <w:rPr>
            <w:rFonts w:ascii="Arial" w:cs="Arial" w:eastAsia="Arial" w:hAnsi="Arial"/>
            <w:b w:val="false"/>
            <w:bCs w:val="false"/>
            <w:color w:val="222222"/>
            <w:sz w:val="19"/>
            <w:szCs w:val="19"/>
          </w:rPr>
          <w:t xml:space="preserve">1.6 Principes à connaître</w:t>
        </w:r>
        <w:r>
          <w:rPr>
            <w:rFonts w:ascii="Arial" w:cs="Arial" w:eastAsia="Arial" w:hAnsi="Arial"/>
            <w:b w:val="false"/>
            <w:bCs w:val="false"/>
            <w:color w:val="222222"/>
            <w:sz w:val="19"/>
            <w:szCs w:val="19"/>
          </w:rPr>
          <w:t xml:space="preserve">	6</w:t>
        </w:r>
      </w:hyperlink>
    </w:p>
    <w:p>
      <w:pPr>
        <w:tabs>
          <w:tab w:val="right" w:pos="9638" w:leader="dot"/>
        </w:tabs>
        <w:spacing w:after="40" w:before="120"/>
        <w:ind w:left="0"/>
      </w:pPr>
      <w:hyperlink w:history="1" w:anchor="t8">
        <w:r>
          <w:rPr>
            <w:rFonts w:ascii="Arial" w:cs="Arial" w:eastAsia="Arial" w:hAnsi="Arial"/>
            <w:b/>
            <w:bCs/>
            <w:color w:val="115E4A"/>
            <w:sz w:val="21"/>
            <w:szCs w:val="21"/>
          </w:rPr>
          <w:t xml:space="preserve">2. Prise en main</w:t>
        </w:r>
        <w:r>
          <w:rPr>
            <w:rFonts w:ascii="Arial" w:cs="Arial" w:eastAsia="Arial" w:hAnsi="Arial"/>
            <w:b/>
            <w:bCs/>
            <w:color w:val="222222"/>
            <w:sz w:val="21"/>
            <w:szCs w:val="21"/>
          </w:rPr>
          <w:t xml:space="preserve">	7</w:t>
        </w:r>
      </w:hyperlink>
    </w:p>
    <w:p>
      <w:pPr>
        <w:tabs>
          <w:tab w:val="right" w:pos="9638" w:leader="dot"/>
        </w:tabs>
        <w:spacing w:after="20" w:before="0"/>
        <w:ind w:left="400"/>
      </w:pPr>
      <w:hyperlink w:history="1" w:anchor="t9">
        <w:r>
          <w:rPr>
            <w:rFonts w:ascii="Arial" w:cs="Arial" w:eastAsia="Arial" w:hAnsi="Arial"/>
            <w:b w:val="false"/>
            <w:bCs w:val="false"/>
            <w:color w:val="222222"/>
            <w:sz w:val="19"/>
            <w:szCs w:val="19"/>
          </w:rPr>
          <w:t xml:space="preserve">2.1 Se connecter</w:t>
        </w:r>
        <w:r>
          <w:rPr>
            <w:rFonts w:ascii="Arial" w:cs="Arial" w:eastAsia="Arial" w:hAnsi="Arial"/>
            <w:b w:val="false"/>
            <w:bCs w:val="false"/>
            <w:color w:val="222222"/>
            <w:sz w:val="19"/>
            <w:szCs w:val="19"/>
          </w:rPr>
          <w:t xml:space="preserve">	7</w:t>
        </w:r>
      </w:hyperlink>
    </w:p>
    <w:p>
      <w:pPr>
        <w:tabs>
          <w:tab w:val="right" w:pos="9638" w:leader="dot"/>
        </w:tabs>
        <w:spacing w:after="20" w:before="0"/>
        <w:ind w:left="400"/>
      </w:pPr>
      <w:hyperlink w:history="1" w:anchor="t10">
        <w:r>
          <w:rPr>
            <w:rFonts w:ascii="Arial" w:cs="Arial" w:eastAsia="Arial" w:hAnsi="Arial"/>
            <w:b w:val="false"/>
            <w:bCs w:val="false"/>
            <w:color w:val="222222"/>
            <w:sz w:val="19"/>
            <w:szCs w:val="19"/>
          </w:rPr>
          <w:t xml:space="preserve">2.2 Premier accès et mot de passe provisoire</w:t>
        </w:r>
        <w:r>
          <w:rPr>
            <w:rFonts w:ascii="Arial" w:cs="Arial" w:eastAsia="Arial" w:hAnsi="Arial"/>
            <w:b w:val="false"/>
            <w:bCs w:val="false"/>
            <w:color w:val="222222"/>
            <w:sz w:val="19"/>
            <w:szCs w:val="19"/>
          </w:rPr>
          <w:t xml:space="preserve">	7</w:t>
        </w:r>
      </w:hyperlink>
    </w:p>
    <w:p>
      <w:pPr>
        <w:tabs>
          <w:tab w:val="right" w:pos="9638" w:leader="dot"/>
        </w:tabs>
        <w:spacing w:after="20" w:before="0"/>
        <w:ind w:left="400"/>
      </w:pPr>
      <w:hyperlink w:history="1" w:anchor="t11">
        <w:r>
          <w:rPr>
            <w:rFonts w:ascii="Arial" w:cs="Arial" w:eastAsia="Arial" w:hAnsi="Arial"/>
            <w:b w:val="false"/>
            <w:bCs w:val="false"/>
            <w:color w:val="222222"/>
            <w:sz w:val="19"/>
            <w:szCs w:val="19"/>
          </w:rPr>
          <w:t xml:space="preserve">2.3 Découvrir l'écran</w:t>
        </w:r>
        <w:r>
          <w:rPr>
            <w:rFonts w:ascii="Arial" w:cs="Arial" w:eastAsia="Arial" w:hAnsi="Arial"/>
            <w:b w:val="false"/>
            <w:bCs w:val="false"/>
            <w:color w:val="222222"/>
            <w:sz w:val="19"/>
            <w:szCs w:val="19"/>
          </w:rPr>
          <w:t xml:space="preserve">	8</w:t>
        </w:r>
      </w:hyperlink>
    </w:p>
    <w:p>
      <w:pPr>
        <w:tabs>
          <w:tab w:val="right" w:pos="9638" w:leader="dot"/>
        </w:tabs>
        <w:spacing w:after="20" w:before="0"/>
        <w:ind w:left="400"/>
      </w:pPr>
      <w:hyperlink w:history="1" w:anchor="t12">
        <w:r>
          <w:rPr>
            <w:rFonts w:ascii="Arial" w:cs="Arial" w:eastAsia="Arial" w:hAnsi="Arial"/>
            <w:b w:val="false"/>
            <w:bCs w:val="false"/>
            <w:color w:val="222222"/>
            <w:sz w:val="19"/>
            <w:szCs w:val="19"/>
          </w:rPr>
          <w:t xml:space="preserve">2.4 Langue, devise et préférences</w:t>
        </w:r>
        <w:r>
          <w:rPr>
            <w:rFonts w:ascii="Arial" w:cs="Arial" w:eastAsia="Arial" w:hAnsi="Arial"/>
            <w:b w:val="false"/>
            <w:bCs w:val="false"/>
            <w:color w:val="222222"/>
            <w:sz w:val="19"/>
            <w:szCs w:val="19"/>
          </w:rPr>
          <w:t xml:space="preserve">	9</w:t>
        </w:r>
      </w:hyperlink>
    </w:p>
    <w:p>
      <w:pPr>
        <w:tabs>
          <w:tab w:val="right" w:pos="9638" w:leader="dot"/>
        </w:tabs>
        <w:spacing w:after="20" w:before="0"/>
        <w:ind w:left="400"/>
      </w:pPr>
      <w:hyperlink w:history="1" w:anchor="t13">
        <w:r>
          <w:rPr>
            <w:rFonts w:ascii="Arial" w:cs="Arial" w:eastAsia="Arial" w:hAnsi="Arial"/>
            <w:b w:val="false"/>
            <w:bCs w:val="false"/>
            <w:color w:val="222222"/>
            <w:sz w:val="19"/>
            <w:szCs w:val="19"/>
          </w:rPr>
          <w:t xml:space="preserve">2.5 Notifications</w:t>
        </w:r>
        <w:r>
          <w:rPr>
            <w:rFonts w:ascii="Arial" w:cs="Arial" w:eastAsia="Arial" w:hAnsi="Arial"/>
            <w:b w:val="false"/>
            <w:bCs w:val="false"/>
            <w:color w:val="222222"/>
            <w:sz w:val="19"/>
            <w:szCs w:val="19"/>
          </w:rPr>
          <w:t xml:space="preserve">	10</w:t>
        </w:r>
      </w:hyperlink>
    </w:p>
    <w:p>
      <w:pPr>
        <w:tabs>
          <w:tab w:val="right" w:pos="9638" w:leader="dot"/>
        </w:tabs>
        <w:spacing w:after="20" w:before="0"/>
        <w:ind w:left="400"/>
      </w:pPr>
      <w:hyperlink w:history="1" w:anchor="t14">
        <w:r>
          <w:rPr>
            <w:rFonts w:ascii="Arial" w:cs="Arial" w:eastAsia="Arial" w:hAnsi="Arial"/>
            <w:b w:val="false"/>
            <w:bCs w:val="false"/>
            <w:color w:val="222222"/>
            <w:sz w:val="19"/>
            <w:szCs w:val="19"/>
          </w:rPr>
          <w:t xml:space="preserve">2.6 Utiliser l'outil sur tablette ou téléphone</w:t>
        </w:r>
        <w:r>
          <w:rPr>
            <w:rFonts w:ascii="Arial" w:cs="Arial" w:eastAsia="Arial" w:hAnsi="Arial"/>
            <w:b w:val="false"/>
            <w:bCs w:val="false"/>
            <w:color w:val="222222"/>
            <w:sz w:val="19"/>
            <w:szCs w:val="19"/>
          </w:rPr>
          <w:t xml:space="preserve">	11</w:t>
        </w:r>
      </w:hyperlink>
    </w:p>
    <w:p>
      <w:pPr>
        <w:tabs>
          <w:tab w:val="right" w:pos="9638" w:leader="dot"/>
        </w:tabs>
        <w:spacing w:after="40" w:before="120"/>
        <w:ind w:left="0"/>
      </w:pPr>
      <w:hyperlink w:history="1" w:anchor="t15">
        <w:r>
          <w:rPr>
            <w:rFonts w:ascii="Arial" w:cs="Arial" w:eastAsia="Arial" w:hAnsi="Arial"/>
            <w:b/>
            <w:bCs/>
            <w:color w:val="115E4A"/>
            <w:sz w:val="21"/>
            <w:szCs w:val="21"/>
          </w:rPr>
          <w:t xml:space="preserve">3. Réaliser une évaluation E&amp;S</w:t>
        </w:r>
        <w:r>
          <w:rPr>
            <w:rFonts w:ascii="Arial" w:cs="Arial" w:eastAsia="Arial" w:hAnsi="Arial"/>
            <w:b/>
            <w:bCs/>
            <w:color w:val="222222"/>
            <w:sz w:val="21"/>
            <w:szCs w:val="21"/>
          </w:rPr>
          <w:t xml:space="preserve">	12</w:t>
        </w:r>
      </w:hyperlink>
    </w:p>
    <w:p>
      <w:pPr>
        <w:tabs>
          <w:tab w:val="right" w:pos="9638" w:leader="dot"/>
        </w:tabs>
        <w:spacing w:after="20" w:before="0"/>
        <w:ind w:left="400"/>
      </w:pPr>
      <w:hyperlink w:history="1" w:anchor="t16">
        <w:r>
          <w:rPr>
            <w:rFonts w:ascii="Arial" w:cs="Arial" w:eastAsia="Arial" w:hAnsi="Arial"/>
            <w:b w:val="false"/>
            <w:bCs w:val="false"/>
            <w:color w:val="222222"/>
            <w:sz w:val="19"/>
            <w:szCs w:val="19"/>
          </w:rPr>
          <w:t xml:space="preserve">3.1 Créer l'évaluation : client et identification</w:t>
        </w:r>
        <w:r>
          <w:rPr>
            <w:rFonts w:ascii="Arial" w:cs="Arial" w:eastAsia="Arial" w:hAnsi="Arial"/>
            <w:b w:val="false"/>
            <w:bCs w:val="false"/>
            <w:color w:val="222222"/>
            <w:sz w:val="19"/>
            <w:szCs w:val="19"/>
          </w:rPr>
          <w:t xml:space="preserve">	12</w:t>
        </w:r>
      </w:hyperlink>
    </w:p>
    <w:p>
      <w:pPr>
        <w:tabs>
          <w:tab w:val="right" w:pos="9638" w:leader="dot"/>
        </w:tabs>
        <w:spacing w:after="20" w:before="0"/>
        <w:ind w:left="400"/>
      </w:pPr>
      <w:hyperlink w:history="1" w:anchor="t17">
        <w:r>
          <w:rPr>
            <w:rFonts w:ascii="Arial" w:cs="Arial" w:eastAsia="Arial" w:hAnsi="Arial"/>
            <w:b w:val="false"/>
            <w:bCs w:val="false"/>
            <w:color w:val="222222"/>
            <w:sz w:val="19"/>
            <w:szCs w:val="19"/>
          </w:rPr>
          <w:t xml:space="preserve">3.2 Étape 2 — Vérifier la liste d'exclusion</w:t>
        </w:r>
        <w:r>
          <w:rPr>
            <w:rFonts w:ascii="Arial" w:cs="Arial" w:eastAsia="Arial" w:hAnsi="Arial"/>
            <w:b w:val="false"/>
            <w:bCs w:val="false"/>
            <w:color w:val="222222"/>
            <w:sz w:val="19"/>
            <w:szCs w:val="19"/>
          </w:rPr>
          <w:t xml:space="preserve">	16</w:t>
        </w:r>
      </w:hyperlink>
    </w:p>
    <w:p>
      <w:pPr>
        <w:tabs>
          <w:tab w:val="right" w:pos="9638" w:leader="dot"/>
        </w:tabs>
        <w:spacing w:after="20" w:before="0"/>
        <w:ind w:left="400"/>
      </w:pPr>
      <w:hyperlink w:history="1" w:anchor="t18">
        <w:r>
          <w:rPr>
            <w:rFonts w:ascii="Arial" w:cs="Arial" w:eastAsia="Arial" w:hAnsi="Arial"/>
            <w:b w:val="false"/>
            <w:bCs w:val="false"/>
            <w:color w:val="222222"/>
            <w:sz w:val="19"/>
            <w:szCs w:val="19"/>
          </w:rPr>
          <w:t xml:space="preserve">3.3 Étape 3 — Catégoriser le projet</w:t>
        </w:r>
        <w:r>
          <w:rPr>
            <w:rFonts w:ascii="Arial" w:cs="Arial" w:eastAsia="Arial" w:hAnsi="Arial"/>
            <w:b w:val="false"/>
            <w:bCs w:val="false"/>
            <w:color w:val="222222"/>
            <w:sz w:val="19"/>
            <w:szCs w:val="19"/>
          </w:rPr>
          <w:t xml:space="preserve">	18</w:t>
        </w:r>
      </w:hyperlink>
    </w:p>
    <w:p>
      <w:pPr>
        <w:tabs>
          <w:tab w:val="right" w:pos="9638" w:leader="dot"/>
        </w:tabs>
        <w:spacing w:after="20" w:before="0"/>
        <w:ind w:left="400"/>
      </w:pPr>
      <w:hyperlink w:history="1" w:anchor="t19">
        <w:r>
          <w:rPr>
            <w:rFonts w:ascii="Arial" w:cs="Arial" w:eastAsia="Arial" w:hAnsi="Arial"/>
            <w:b w:val="false"/>
            <w:bCs w:val="false"/>
            <w:color w:val="222222"/>
            <w:sz w:val="19"/>
            <w:szCs w:val="19"/>
          </w:rPr>
          <w:t xml:space="preserve">3.4 Étape 4 — Identifier les risques E&amp;S (check-lists)</w:t>
        </w:r>
        <w:r>
          <w:rPr>
            <w:rFonts w:ascii="Arial" w:cs="Arial" w:eastAsia="Arial" w:hAnsi="Arial"/>
            <w:b w:val="false"/>
            <w:bCs w:val="false"/>
            <w:color w:val="222222"/>
            <w:sz w:val="19"/>
            <w:szCs w:val="19"/>
          </w:rPr>
          <w:t xml:space="preserve">	21</w:t>
        </w:r>
      </w:hyperlink>
    </w:p>
    <w:p>
      <w:pPr>
        <w:tabs>
          <w:tab w:val="right" w:pos="9638" w:leader="dot"/>
        </w:tabs>
        <w:spacing w:after="20" w:before="0"/>
        <w:ind w:left="400"/>
      </w:pPr>
      <w:hyperlink w:history="1" w:anchor="t20">
        <w:r>
          <w:rPr>
            <w:rFonts w:ascii="Arial" w:cs="Arial" w:eastAsia="Arial" w:hAnsi="Arial"/>
            <w:b w:val="false"/>
            <w:bCs w:val="false"/>
            <w:color w:val="222222"/>
            <w:sz w:val="19"/>
            <w:szCs w:val="19"/>
          </w:rPr>
          <w:t xml:space="preserve">3.5 Étape 5 — Renseigner le volet climat</w:t>
        </w:r>
        <w:r>
          <w:rPr>
            <w:rFonts w:ascii="Arial" w:cs="Arial" w:eastAsia="Arial" w:hAnsi="Arial"/>
            <w:b w:val="false"/>
            <w:bCs w:val="false"/>
            <w:color w:val="222222"/>
            <w:sz w:val="19"/>
            <w:szCs w:val="19"/>
          </w:rPr>
          <w:t xml:space="preserve">	24</w:t>
        </w:r>
      </w:hyperlink>
    </w:p>
    <w:p>
      <w:pPr>
        <w:tabs>
          <w:tab w:val="right" w:pos="9638" w:leader="dot"/>
        </w:tabs>
        <w:spacing w:after="20" w:before="0"/>
        <w:ind w:left="400"/>
      </w:pPr>
      <w:hyperlink w:history="1" w:anchor="t21">
        <w:r>
          <w:rPr>
            <w:rFonts w:ascii="Arial" w:cs="Arial" w:eastAsia="Arial" w:hAnsi="Arial"/>
            <w:b w:val="false"/>
            <w:bCs w:val="false"/>
            <w:color w:val="222222"/>
            <w:sz w:val="19"/>
            <w:szCs w:val="19"/>
          </w:rPr>
          <w:t xml:space="preserve">3.6 Étape 6 — Négocier le plan d'actions</w:t>
        </w:r>
        <w:r>
          <w:rPr>
            <w:rFonts w:ascii="Arial" w:cs="Arial" w:eastAsia="Arial" w:hAnsi="Arial"/>
            <w:b w:val="false"/>
            <w:bCs w:val="false"/>
            <w:color w:val="222222"/>
            <w:sz w:val="19"/>
            <w:szCs w:val="19"/>
          </w:rPr>
          <w:t xml:space="preserve">	27</w:t>
        </w:r>
      </w:hyperlink>
    </w:p>
    <w:p>
      <w:pPr>
        <w:tabs>
          <w:tab w:val="right" w:pos="9638" w:leader="dot"/>
        </w:tabs>
        <w:spacing w:after="20" w:before="0"/>
        <w:ind w:left="400"/>
      </w:pPr>
      <w:hyperlink w:history="1" w:anchor="t22">
        <w:r>
          <w:rPr>
            <w:rFonts w:ascii="Arial" w:cs="Arial" w:eastAsia="Arial" w:hAnsi="Arial"/>
            <w:b w:val="false"/>
            <w:bCs w:val="false"/>
            <w:color w:val="222222"/>
            <w:sz w:val="19"/>
            <w:szCs w:val="19"/>
          </w:rPr>
          <w:t xml:space="preserve">3.7 Joindre les pièces</w:t>
        </w:r>
        <w:r>
          <w:rPr>
            <w:rFonts w:ascii="Arial" w:cs="Arial" w:eastAsia="Arial" w:hAnsi="Arial"/>
            <w:b w:val="false"/>
            <w:bCs w:val="false"/>
            <w:color w:val="222222"/>
            <w:sz w:val="19"/>
            <w:szCs w:val="19"/>
          </w:rPr>
          <w:t xml:space="preserve">	30</w:t>
        </w:r>
      </w:hyperlink>
    </w:p>
    <w:p>
      <w:pPr>
        <w:tabs>
          <w:tab w:val="right" w:pos="9638" w:leader="dot"/>
        </w:tabs>
        <w:spacing w:after="20" w:before="0"/>
        <w:ind w:left="400"/>
      </w:pPr>
      <w:hyperlink w:history="1" w:anchor="t23">
        <w:r>
          <w:rPr>
            <w:rFonts w:ascii="Arial" w:cs="Arial" w:eastAsia="Arial" w:hAnsi="Arial"/>
            <w:b w:val="false"/>
            <w:bCs w:val="false"/>
            <w:color w:val="222222"/>
            <w:sz w:val="19"/>
            <w:szCs w:val="19"/>
          </w:rPr>
          <w:t xml:space="preserve">3.8 Étape 7 — Relire la fiche et soumettre à validation</w:t>
        </w:r>
        <w:r>
          <w:rPr>
            <w:rFonts w:ascii="Arial" w:cs="Arial" w:eastAsia="Arial" w:hAnsi="Arial"/>
            <w:b w:val="false"/>
            <w:bCs w:val="false"/>
            <w:color w:val="222222"/>
            <w:sz w:val="19"/>
            <w:szCs w:val="19"/>
          </w:rPr>
          <w:t xml:space="preserve">	31</w:t>
        </w:r>
      </w:hyperlink>
    </w:p>
    <w:p>
      <w:pPr>
        <w:tabs>
          <w:tab w:val="right" w:pos="9638" w:leader="dot"/>
        </w:tabs>
        <w:spacing w:after="20" w:before="0"/>
        <w:ind w:left="400"/>
      </w:pPr>
      <w:hyperlink w:history="1" w:anchor="t24">
        <w:r>
          <w:rPr>
            <w:rFonts w:ascii="Arial" w:cs="Arial" w:eastAsia="Arial" w:hAnsi="Arial"/>
            <w:b w:val="false"/>
            <w:bCs w:val="false"/>
            <w:color w:val="222222"/>
            <w:sz w:val="19"/>
            <w:szCs w:val="19"/>
          </w:rPr>
          <w:t xml:space="preserve">3.9 Historique du dossier</w:t>
        </w:r>
        <w:r>
          <w:rPr>
            <w:rFonts w:ascii="Arial" w:cs="Arial" w:eastAsia="Arial" w:hAnsi="Arial"/>
            <w:b w:val="false"/>
            <w:bCs w:val="false"/>
            <w:color w:val="222222"/>
            <w:sz w:val="19"/>
            <w:szCs w:val="19"/>
          </w:rPr>
          <w:t xml:space="preserve">	35</w:t>
        </w:r>
      </w:hyperlink>
    </w:p>
    <w:p>
      <w:pPr>
        <w:tabs>
          <w:tab w:val="right" w:pos="9638" w:leader="dot"/>
        </w:tabs>
        <w:spacing w:after="40" w:before="120"/>
        <w:ind w:left="0"/>
      </w:pPr>
      <w:hyperlink w:history="1" w:anchor="t25">
        <w:r>
          <w:rPr>
            <w:rFonts w:ascii="Arial" w:cs="Arial" w:eastAsia="Arial" w:hAnsi="Arial"/>
            <w:b/>
            <w:bCs/>
            <w:color w:val="115E4A"/>
            <w:sz w:val="21"/>
            <w:szCs w:val="21"/>
          </w:rPr>
          <w:t xml:space="preserve">4. Valider, décider et suivre</w:t>
        </w:r>
        <w:r>
          <w:rPr>
            <w:rFonts w:ascii="Arial" w:cs="Arial" w:eastAsia="Arial" w:hAnsi="Arial"/>
            <w:b/>
            <w:bCs/>
            <w:color w:val="222222"/>
            <w:sz w:val="21"/>
            <w:szCs w:val="21"/>
          </w:rPr>
          <w:t xml:space="preserve">	37</w:t>
        </w:r>
      </w:hyperlink>
    </w:p>
    <w:p>
      <w:pPr>
        <w:tabs>
          <w:tab w:val="right" w:pos="9638" w:leader="dot"/>
        </w:tabs>
        <w:spacing w:after="20" w:before="0"/>
        <w:ind w:left="400"/>
      </w:pPr>
      <w:hyperlink w:history="1" w:anchor="t26">
        <w:r>
          <w:rPr>
            <w:rFonts w:ascii="Arial" w:cs="Arial" w:eastAsia="Arial" w:hAnsi="Arial"/>
            <w:b w:val="false"/>
            <w:bCs w:val="false"/>
            <w:color w:val="222222"/>
            <w:sz w:val="19"/>
            <w:szCs w:val="19"/>
          </w:rPr>
          <w:t xml:space="preserve">4.1 La validation par le directeur</w:t>
        </w:r>
        <w:r>
          <w:rPr>
            <w:rFonts w:ascii="Arial" w:cs="Arial" w:eastAsia="Arial" w:hAnsi="Arial"/>
            <w:b w:val="false"/>
            <w:bCs w:val="false"/>
            <w:color w:val="222222"/>
            <w:sz w:val="19"/>
            <w:szCs w:val="19"/>
          </w:rPr>
          <w:t xml:space="preserve">	37</w:t>
        </w:r>
      </w:hyperlink>
    </w:p>
    <w:p>
      <w:pPr>
        <w:tabs>
          <w:tab w:val="right" w:pos="9638" w:leader="dot"/>
        </w:tabs>
        <w:spacing w:after="20" w:before="0"/>
        <w:ind w:left="400"/>
      </w:pPr>
      <w:hyperlink w:history="1" w:anchor="t27">
        <w:r>
          <w:rPr>
            <w:rFonts w:ascii="Arial" w:cs="Arial" w:eastAsia="Arial" w:hAnsi="Arial"/>
            <w:b w:val="false"/>
            <w:bCs w:val="false"/>
            <w:color w:val="222222"/>
            <w:sz w:val="19"/>
            <w:szCs w:val="19"/>
          </w:rPr>
          <w:t xml:space="preserve">4.2 La décision du comité de crédit</w:t>
        </w:r>
        <w:r>
          <w:rPr>
            <w:rFonts w:ascii="Arial" w:cs="Arial" w:eastAsia="Arial" w:hAnsi="Arial"/>
            <w:b w:val="false"/>
            <w:bCs w:val="false"/>
            <w:color w:val="222222"/>
            <w:sz w:val="19"/>
            <w:szCs w:val="19"/>
          </w:rPr>
          <w:t xml:space="preserve">	39</w:t>
        </w:r>
      </w:hyperlink>
    </w:p>
    <w:p>
      <w:pPr>
        <w:tabs>
          <w:tab w:val="right" w:pos="9638" w:leader="dot"/>
        </w:tabs>
        <w:spacing w:after="20" w:before="0"/>
        <w:ind w:left="400"/>
      </w:pPr>
      <w:hyperlink w:history="1" w:anchor="t28">
        <w:r>
          <w:rPr>
            <w:rFonts w:ascii="Arial" w:cs="Arial" w:eastAsia="Arial" w:hAnsi="Arial"/>
            <w:b w:val="false"/>
            <w:bCs w:val="false"/>
            <w:color w:val="222222"/>
            <w:sz w:val="19"/>
            <w:szCs w:val="19"/>
          </w:rPr>
          <w:t xml:space="preserve">4.3 Démarrer le suivi</w:t>
        </w:r>
        <w:r>
          <w:rPr>
            <w:rFonts w:ascii="Arial" w:cs="Arial" w:eastAsia="Arial" w:hAnsi="Arial"/>
            <w:b w:val="false"/>
            <w:bCs w:val="false"/>
            <w:color w:val="222222"/>
            <w:sz w:val="19"/>
            <w:szCs w:val="19"/>
          </w:rPr>
          <w:t xml:space="preserve">	40</w:t>
        </w:r>
      </w:hyperlink>
    </w:p>
    <w:p>
      <w:pPr>
        <w:tabs>
          <w:tab w:val="right" w:pos="9638" w:leader="dot"/>
        </w:tabs>
        <w:spacing w:after="20" w:before="0"/>
        <w:ind w:left="400"/>
      </w:pPr>
      <w:hyperlink w:history="1" w:anchor="t29">
        <w:r>
          <w:rPr>
            <w:rFonts w:ascii="Arial" w:cs="Arial" w:eastAsia="Arial" w:hAnsi="Arial"/>
            <w:b w:val="false"/>
            <w:bCs w:val="false"/>
            <w:color w:val="222222"/>
            <w:sz w:val="19"/>
            <w:szCs w:val="19"/>
          </w:rPr>
          <w:t xml:space="preserve">4.4 Visites de suivi et mise à jour du plan</w:t>
        </w:r>
        <w:r>
          <w:rPr>
            <w:rFonts w:ascii="Arial" w:cs="Arial" w:eastAsia="Arial" w:hAnsi="Arial"/>
            <w:b w:val="false"/>
            <w:bCs w:val="false"/>
            <w:color w:val="222222"/>
            <w:sz w:val="19"/>
            <w:szCs w:val="19"/>
          </w:rPr>
          <w:t xml:space="preserve">	41</w:t>
        </w:r>
      </w:hyperlink>
    </w:p>
    <w:p>
      <w:pPr>
        <w:tabs>
          <w:tab w:val="right" w:pos="9638" w:leader="dot"/>
        </w:tabs>
        <w:spacing w:after="20" w:before="0"/>
        <w:ind w:left="400"/>
      </w:pPr>
      <w:hyperlink w:history="1" w:anchor="t30">
        <w:r>
          <w:rPr>
            <w:rFonts w:ascii="Arial" w:cs="Arial" w:eastAsia="Arial" w:hAnsi="Arial"/>
            <w:b w:val="false"/>
            <w:bCs w:val="false"/>
            <w:color w:val="222222"/>
            <w:sz w:val="19"/>
            <w:szCs w:val="19"/>
          </w:rPr>
          <w:t xml:space="preserve">4.5 Clôturer, rouvrir, annuler</w:t>
        </w:r>
        <w:r>
          <w:rPr>
            <w:rFonts w:ascii="Arial" w:cs="Arial" w:eastAsia="Arial" w:hAnsi="Arial"/>
            <w:b w:val="false"/>
            <w:bCs w:val="false"/>
            <w:color w:val="222222"/>
            <w:sz w:val="19"/>
            <w:szCs w:val="19"/>
          </w:rPr>
          <w:t xml:space="preserve">	44</w:t>
        </w:r>
      </w:hyperlink>
    </w:p>
    <w:p>
      <w:pPr>
        <w:tabs>
          <w:tab w:val="right" w:pos="9638" w:leader="dot"/>
        </w:tabs>
        <w:spacing w:after="20" w:before="0"/>
        <w:ind w:left="400"/>
      </w:pPr>
      <w:hyperlink w:history="1" w:anchor="t31">
        <w:r>
          <w:rPr>
            <w:rFonts w:ascii="Arial" w:cs="Arial" w:eastAsia="Arial" w:hAnsi="Arial"/>
            <w:b w:val="false"/>
            <w:bCs w:val="false"/>
            <w:color w:val="222222"/>
            <w:sz w:val="19"/>
            <w:szCs w:val="19"/>
          </w:rPr>
          <w:t xml:space="preserve">4.6 Impressions et échanges</w:t>
        </w:r>
        <w:r>
          <w:rPr>
            <w:rFonts w:ascii="Arial" w:cs="Arial" w:eastAsia="Arial" w:hAnsi="Arial"/>
            <w:b w:val="false"/>
            <w:bCs w:val="false"/>
            <w:color w:val="222222"/>
            <w:sz w:val="19"/>
            <w:szCs w:val="19"/>
          </w:rPr>
          <w:t xml:space="preserve">	46</w:t>
        </w:r>
      </w:hyperlink>
    </w:p>
    <w:p>
      <w:pPr>
        <w:tabs>
          <w:tab w:val="right" w:pos="9638" w:leader="dot"/>
        </w:tabs>
        <w:spacing w:after="40" w:before="120"/>
        <w:ind w:left="0"/>
      </w:pPr>
      <w:hyperlink w:history="1" w:anchor="t32">
        <w:r>
          <w:rPr>
            <w:rFonts w:ascii="Arial" w:cs="Arial" w:eastAsia="Arial" w:hAnsi="Arial"/>
            <w:b/>
            <w:bCs/>
            <w:color w:val="115E4A"/>
            <w:sz w:val="21"/>
            <w:szCs w:val="21"/>
          </w:rPr>
          <w:t xml:space="preserve">5. Consulter et piloter le portefeuille</w:t>
        </w:r>
        <w:r>
          <w:rPr>
            <w:rFonts w:ascii="Arial" w:cs="Arial" w:eastAsia="Arial" w:hAnsi="Arial"/>
            <w:b/>
            <w:bCs/>
            <w:color w:val="222222"/>
            <w:sz w:val="21"/>
            <w:szCs w:val="21"/>
          </w:rPr>
          <w:t xml:space="preserve">	49</w:t>
        </w:r>
      </w:hyperlink>
    </w:p>
    <w:p>
      <w:pPr>
        <w:tabs>
          <w:tab w:val="right" w:pos="9638" w:leader="dot"/>
        </w:tabs>
        <w:spacing w:after="20" w:before="0"/>
        <w:ind w:left="400"/>
      </w:pPr>
      <w:hyperlink w:history="1" w:anchor="t33">
        <w:r>
          <w:rPr>
            <w:rFonts w:ascii="Arial" w:cs="Arial" w:eastAsia="Arial" w:hAnsi="Arial"/>
            <w:b w:val="false"/>
            <w:bCs w:val="false"/>
            <w:color w:val="222222"/>
            <w:sz w:val="19"/>
            <w:szCs w:val="19"/>
          </w:rPr>
          <w:t xml:space="preserve">5.1 Tableau de bord</w:t>
        </w:r>
        <w:r>
          <w:rPr>
            <w:rFonts w:ascii="Arial" w:cs="Arial" w:eastAsia="Arial" w:hAnsi="Arial"/>
            <w:b w:val="false"/>
            <w:bCs w:val="false"/>
            <w:color w:val="222222"/>
            <w:sz w:val="19"/>
            <w:szCs w:val="19"/>
          </w:rPr>
          <w:t xml:space="preserve">	49</w:t>
        </w:r>
      </w:hyperlink>
    </w:p>
    <w:p>
      <w:pPr>
        <w:tabs>
          <w:tab w:val="right" w:pos="9638" w:leader="dot"/>
        </w:tabs>
        <w:spacing w:after="20" w:before="0"/>
        <w:ind w:left="400"/>
      </w:pPr>
      <w:hyperlink w:history="1" w:anchor="t34">
        <w:r>
          <w:rPr>
            <w:rFonts w:ascii="Arial" w:cs="Arial" w:eastAsia="Arial" w:hAnsi="Arial"/>
            <w:b w:val="false"/>
            <w:bCs w:val="false"/>
            <w:color w:val="222222"/>
            <w:sz w:val="19"/>
            <w:szCs w:val="19"/>
          </w:rPr>
          <w:t xml:space="preserve">5.2 Liste des dossiers</w:t>
        </w:r>
        <w:r>
          <w:rPr>
            <w:rFonts w:ascii="Arial" w:cs="Arial" w:eastAsia="Arial" w:hAnsi="Arial"/>
            <w:b w:val="false"/>
            <w:bCs w:val="false"/>
            <w:color w:val="222222"/>
            <w:sz w:val="19"/>
            <w:szCs w:val="19"/>
          </w:rPr>
          <w:t xml:space="preserve">	50</w:t>
        </w:r>
      </w:hyperlink>
    </w:p>
    <w:p>
      <w:pPr>
        <w:tabs>
          <w:tab w:val="right" w:pos="9638" w:leader="dot"/>
        </w:tabs>
        <w:spacing w:after="20" w:before="0"/>
        <w:ind w:left="400"/>
      </w:pPr>
      <w:hyperlink w:history="1" w:anchor="t35">
        <w:r>
          <w:rPr>
            <w:rFonts w:ascii="Arial" w:cs="Arial" w:eastAsia="Arial" w:hAnsi="Arial"/>
            <w:b w:val="false"/>
            <w:bCs w:val="false"/>
            <w:color w:val="222222"/>
            <w:sz w:val="19"/>
            <w:szCs w:val="19"/>
          </w:rPr>
          <w:t xml:space="preserve">5.3 Clients</w:t>
        </w:r>
        <w:r>
          <w:rPr>
            <w:rFonts w:ascii="Arial" w:cs="Arial" w:eastAsia="Arial" w:hAnsi="Arial"/>
            <w:b w:val="false"/>
            <w:bCs w:val="false"/>
            <w:color w:val="222222"/>
            <w:sz w:val="19"/>
            <w:szCs w:val="19"/>
          </w:rPr>
          <w:t xml:space="preserve">	51</w:t>
        </w:r>
      </w:hyperlink>
    </w:p>
    <w:p>
      <w:pPr>
        <w:tabs>
          <w:tab w:val="right" w:pos="9638" w:leader="dot"/>
        </w:tabs>
        <w:spacing w:after="20" w:before="0"/>
        <w:ind w:left="400"/>
      </w:pPr>
      <w:hyperlink w:history="1" w:anchor="t36">
        <w:r>
          <w:rPr>
            <w:rFonts w:ascii="Arial" w:cs="Arial" w:eastAsia="Arial" w:hAnsi="Arial"/>
            <w:b w:val="false"/>
            <w:bCs w:val="false"/>
            <w:color w:val="222222"/>
            <w:sz w:val="19"/>
            <w:szCs w:val="19"/>
          </w:rPr>
          <w:t xml:space="preserve">5.4 Plans d'actions du portefeuille</w:t>
        </w:r>
        <w:r>
          <w:rPr>
            <w:rFonts w:ascii="Arial" w:cs="Arial" w:eastAsia="Arial" w:hAnsi="Arial"/>
            <w:b w:val="false"/>
            <w:bCs w:val="false"/>
            <w:color w:val="222222"/>
            <w:sz w:val="19"/>
            <w:szCs w:val="19"/>
          </w:rPr>
          <w:t xml:space="preserve">	52</w:t>
        </w:r>
      </w:hyperlink>
    </w:p>
    <w:p>
      <w:pPr>
        <w:tabs>
          <w:tab w:val="right" w:pos="9638" w:leader="dot"/>
        </w:tabs>
        <w:spacing w:after="20" w:before="0"/>
        <w:ind w:left="400"/>
      </w:pPr>
      <w:hyperlink w:history="1" w:anchor="t37">
        <w:r>
          <w:rPr>
            <w:rFonts w:ascii="Arial" w:cs="Arial" w:eastAsia="Arial" w:hAnsi="Arial"/>
            <w:b w:val="false"/>
            <w:bCs w:val="false"/>
            <w:color w:val="222222"/>
            <w:sz w:val="19"/>
            <w:szCs w:val="19"/>
          </w:rPr>
          <w:t xml:space="preserve">5.5 Visites</w:t>
        </w:r>
        <w:r>
          <w:rPr>
            <w:rFonts w:ascii="Arial" w:cs="Arial" w:eastAsia="Arial" w:hAnsi="Arial"/>
            <w:b w:val="false"/>
            <w:bCs w:val="false"/>
            <w:color w:val="222222"/>
            <w:sz w:val="19"/>
            <w:szCs w:val="19"/>
          </w:rPr>
          <w:t xml:space="preserve">	54</w:t>
        </w:r>
      </w:hyperlink>
    </w:p>
    <w:p>
      <w:pPr>
        <w:tabs>
          <w:tab w:val="right" w:pos="9638" w:leader="dot"/>
        </w:tabs>
        <w:spacing w:after="20" w:before="0"/>
        <w:ind w:left="400"/>
      </w:pPr>
      <w:hyperlink w:history="1" w:anchor="t38">
        <w:r>
          <w:rPr>
            <w:rFonts w:ascii="Arial" w:cs="Arial" w:eastAsia="Arial" w:hAnsi="Arial"/>
            <w:b w:val="false"/>
            <w:bCs w:val="false"/>
            <w:color w:val="222222"/>
            <w:sz w:val="19"/>
            <w:szCs w:val="19"/>
          </w:rPr>
          <w:t xml:space="preserve">5.6 Reporting et exports</w:t>
        </w:r>
        <w:r>
          <w:rPr>
            <w:rFonts w:ascii="Arial" w:cs="Arial" w:eastAsia="Arial" w:hAnsi="Arial"/>
            <w:b w:val="false"/>
            <w:bCs w:val="false"/>
            <w:color w:val="222222"/>
            <w:sz w:val="19"/>
            <w:szCs w:val="19"/>
          </w:rPr>
          <w:t xml:space="preserve">	54</w:t>
        </w:r>
      </w:hyperlink>
    </w:p>
    <w:p>
      <w:pPr>
        <w:tabs>
          <w:tab w:val="right" w:pos="9638" w:leader="dot"/>
        </w:tabs>
        <w:spacing w:after="20" w:before="0"/>
        <w:ind w:left="400"/>
      </w:pPr>
      <w:hyperlink w:history="1" w:anchor="t39">
        <w:r>
          <w:rPr>
            <w:rFonts w:ascii="Arial" w:cs="Arial" w:eastAsia="Arial" w:hAnsi="Arial"/>
            <w:b w:val="false"/>
            <w:bCs w:val="false"/>
            <w:color w:val="222222"/>
            <w:sz w:val="19"/>
            <w:szCs w:val="19"/>
          </w:rPr>
          <w:t xml:space="preserve">5.7 Climat du portefeuille</w:t>
        </w:r>
        <w:r>
          <w:rPr>
            <w:rFonts w:ascii="Arial" w:cs="Arial" w:eastAsia="Arial" w:hAnsi="Arial"/>
            <w:b w:val="false"/>
            <w:bCs w:val="false"/>
            <w:color w:val="222222"/>
            <w:sz w:val="19"/>
            <w:szCs w:val="19"/>
          </w:rPr>
          <w:t xml:space="preserve">	56</w:t>
        </w:r>
      </w:hyperlink>
    </w:p>
    <w:p>
      <w:pPr>
        <w:tabs>
          <w:tab w:val="right" w:pos="9638" w:leader="dot"/>
        </w:tabs>
        <w:spacing w:after="20" w:before="0"/>
        <w:ind w:left="400"/>
      </w:pPr>
      <w:hyperlink w:history="1" w:anchor="t40">
        <w:r>
          <w:rPr>
            <w:rFonts w:ascii="Arial" w:cs="Arial" w:eastAsia="Arial" w:hAnsi="Arial"/>
            <w:b w:val="false"/>
            <w:bCs w:val="false"/>
            <w:color w:val="222222"/>
            <w:sz w:val="19"/>
            <w:szCs w:val="19"/>
          </w:rPr>
          <w:t xml:space="preserve">5.8 Cadre réglementaire</w:t>
        </w:r>
        <w:r>
          <w:rPr>
            <w:rFonts w:ascii="Arial" w:cs="Arial" w:eastAsia="Arial" w:hAnsi="Arial"/>
            <w:b w:val="false"/>
            <w:bCs w:val="false"/>
            <w:color w:val="222222"/>
            <w:sz w:val="19"/>
            <w:szCs w:val="19"/>
          </w:rPr>
          <w:t xml:space="preserve">	58</w:t>
        </w:r>
      </w:hyperlink>
    </w:p>
    <w:p>
      <w:pPr>
        <w:tabs>
          <w:tab w:val="right" w:pos="9638" w:leader="dot"/>
        </w:tabs>
        <w:spacing w:after="20" w:before="0"/>
        <w:ind w:left="400"/>
      </w:pPr>
      <w:hyperlink w:history="1" w:anchor="t41">
        <w:r>
          <w:rPr>
            <w:rFonts w:ascii="Arial" w:cs="Arial" w:eastAsia="Arial" w:hAnsi="Arial"/>
            <w:b w:val="false"/>
            <w:bCs w:val="false"/>
            <w:color w:val="222222"/>
            <w:sz w:val="19"/>
            <w:szCs w:val="19"/>
          </w:rPr>
          <w:t xml:space="preserve">5.9 Journal d'audit</w:t>
        </w:r>
        <w:r>
          <w:rPr>
            <w:rFonts w:ascii="Arial" w:cs="Arial" w:eastAsia="Arial" w:hAnsi="Arial"/>
            <w:b w:val="false"/>
            <w:bCs w:val="false"/>
            <w:color w:val="222222"/>
            <w:sz w:val="19"/>
            <w:szCs w:val="19"/>
          </w:rPr>
          <w:t xml:space="preserve">	58</w:t>
        </w:r>
      </w:hyperlink>
    </w:p>
    <w:p>
      <w:pPr>
        <w:tabs>
          <w:tab w:val="right" w:pos="9638" w:leader="dot"/>
        </w:tabs>
        <w:spacing w:after="40" w:before="120"/>
        <w:ind w:left="0"/>
      </w:pPr>
      <w:hyperlink w:history="1" w:anchor="t42">
        <w:r>
          <w:rPr>
            <w:rFonts w:ascii="Arial" w:cs="Arial" w:eastAsia="Arial" w:hAnsi="Arial"/>
            <w:b/>
            <w:bCs/>
            <w:color w:val="115E4A"/>
            <w:sz w:val="21"/>
            <w:szCs w:val="21"/>
          </w:rPr>
          <w:t xml:space="preserve">6. Le rôle du Responsable RSE</w:t>
        </w:r>
        <w:r>
          <w:rPr>
            <w:rFonts w:ascii="Arial" w:cs="Arial" w:eastAsia="Arial" w:hAnsi="Arial"/>
            <w:b/>
            <w:bCs/>
            <w:color w:val="222222"/>
            <w:sz w:val="21"/>
            <w:szCs w:val="21"/>
          </w:rPr>
          <w:t xml:space="preserve">	60</w:t>
        </w:r>
      </w:hyperlink>
    </w:p>
    <w:p>
      <w:pPr>
        <w:tabs>
          <w:tab w:val="right" w:pos="9638" w:leader="dot"/>
        </w:tabs>
        <w:spacing w:after="20" w:before="0"/>
        <w:ind w:left="400"/>
      </w:pPr>
      <w:hyperlink w:history="1" w:anchor="t43">
        <w:r>
          <w:rPr>
            <w:rFonts w:ascii="Arial" w:cs="Arial" w:eastAsia="Arial" w:hAnsi="Arial"/>
            <w:b w:val="false"/>
            <w:bCs w:val="false"/>
            <w:color w:val="222222"/>
            <w:sz w:val="19"/>
            <w:szCs w:val="19"/>
          </w:rPr>
          <w:t xml:space="preserve">6.1 Notifications</w:t>
        </w:r>
        <w:r>
          <w:rPr>
            <w:rFonts w:ascii="Arial" w:cs="Arial" w:eastAsia="Arial" w:hAnsi="Arial"/>
            <w:b w:val="false"/>
            <w:bCs w:val="false"/>
            <w:color w:val="222222"/>
            <w:sz w:val="19"/>
            <w:szCs w:val="19"/>
          </w:rPr>
          <w:t xml:space="preserve">	60</w:t>
        </w:r>
      </w:hyperlink>
    </w:p>
    <w:p>
      <w:pPr>
        <w:tabs>
          <w:tab w:val="right" w:pos="9638" w:leader="dot"/>
        </w:tabs>
        <w:spacing w:after="20" w:before="0"/>
        <w:ind w:left="400"/>
      </w:pPr>
      <w:hyperlink w:history="1" w:anchor="t44">
        <w:r>
          <w:rPr>
            <w:rFonts w:ascii="Arial" w:cs="Arial" w:eastAsia="Arial" w:hAnsi="Arial"/>
            <w:b w:val="false"/>
            <w:bCs w:val="false"/>
            <w:color w:val="222222"/>
            <w:sz w:val="19"/>
            <w:szCs w:val="19"/>
          </w:rPr>
          <w:t xml:space="preserve">6.2 Reclasser un projet</w:t>
        </w:r>
        <w:r>
          <w:rPr>
            <w:rFonts w:ascii="Arial" w:cs="Arial" w:eastAsia="Arial" w:hAnsi="Arial"/>
            <w:b w:val="false"/>
            <w:bCs w:val="false"/>
            <w:color w:val="222222"/>
            <w:sz w:val="19"/>
            <w:szCs w:val="19"/>
          </w:rPr>
          <w:t xml:space="preserve">	60</w:t>
        </w:r>
      </w:hyperlink>
    </w:p>
    <w:p>
      <w:pPr>
        <w:tabs>
          <w:tab w:val="right" w:pos="9638" w:leader="dot"/>
        </w:tabs>
        <w:spacing w:after="40" w:before="120"/>
        <w:ind w:left="0"/>
      </w:pPr>
      <w:hyperlink w:history="1" w:anchor="t45">
        <w:r>
          <w:rPr>
            <w:rFonts w:ascii="Arial" w:cs="Arial" w:eastAsia="Arial" w:hAnsi="Arial"/>
            <w:b/>
            <w:bCs/>
            <w:color w:val="115E4A"/>
            <w:sz w:val="21"/>
            <w:szCs w:val="21"/>
          </w:rPr>
          <w:t xml:space="preserve">7. Administration et paramétrage</w:t>
        </w:r>
        <w:r>
          <w:rPr>
            <w:rFonts w:ascii="Arial" w:cs="Arial" w:eastAsia="Arial" w:hAnsi="Arial"/>
            <w:b/>
            <w:bCs/>
            <w:color w:val="222222"/>
            <w:sz w:val="21"/>
            <w:szCs w:val="21"/>
          </w:rPr>
          <w:t xml:space="preserve">	62</w:t>
        </w:r>
      </w:hyperlink>
    </w:p>
    <w:p>
      <w:pPr>
        <w:tabs>
          <w:tab w:val="right" w:pos="9638" w:leader="dot"/>
        </w:tabs>
        <w:spacing w:after="20" w:before="0"/>
        <w:ind w:left="400"/>
      </w:pPr>
      <w:hyperlink w:history="1" w:anchor="t46">
        <w:r>
          <w:rPr>
            <w:rFonts w:ascii="Arial" w:cs="Arial" w:eastAsia="Arial" w:hAnsi="Arial"/>
            <w:b w:val="false"/>
            <w:bCs w:val="false"/>
            <w:color w:val="222222"/>
            <w:sz w:val="19"/>
            <w:szCs w:val="19"/>
          </w:rPr>
          <w:t xml:space="preserve">7.1 Paramètres généraux</w:t>
        </w:r>
        <w:r>
          <w:rPr>
            <w:rFonts w:ascii="Arial" w:cs="Arial" w:eastAsia="Arial" w:hAnsi="Arial"/>
            <w:b w:val="false"/>
            <w:bCs w:val="false"/>
            <w:color w:val="222222"/>
            <w:sz w:val="19"/>
            <w:szCs w:val="19"/>
          </w:rPr>
          <w:t xml:space="preserve">	62</w:t>
        </w:r>
      </w:hyperlink>
    </w:p>
    <w:p>
      <w:pPr>
        <w:tabs>
          <w:tab w:val="right" w:pos="9638" w:leader="dot"/>
        </w:tabs>
        <w:spacing w:after="20" w:before="0"/>
        <w:ind w:left="400"/>
      </w:pPr>
      <w:hyperlink w:history="1" w:anchor="t47">
        <w:r>
          <w:rPr>
            <w:rFonts w:ascii="Arial" w:cs="Arial" w:eastAsia="Arial" w:hAnsi="Arial"/>
            <w:b w:val="false"/>
            <w:bCs w:val="false"/>
            <w:color w:val="222222"/>
            <w:sz w:val="19"/>
            <w:szCs w:val="19"/>
          </w:rPr>
          <w:t xml:space="preserve">7.2 Entités (banque et filiales)</w:t>
        </w:r>
        <w:r>
          <w:rPr>
            <w:rFonts w:ascii="Arial" w:cs="Arial" w:eastAsia="Arial" w:hAnsi="Arial"/>
            <w:b w:val="false"/>
            <w:bCs w:val="false"/>
            <w:color w:val="222222"/>
            <w:sz w:val="19"/>
            <w:szCs w:val="19"/>
          </w:rPr>
          <w:t xml:space="preserve">	66</w:t>
        </w:r>
      </w:hyperlink>
    </w:p>
    <w:p>
      <w:pPr>
        <w:tabs>
          <w:tab w:val="right" w:pos="9638" w:leader="dot"/>
        </w:tabs>
        <w:spacing w:after="20" w:before="0"/>
        <w:ind w:left="400"/>
      </w:pPr>
      <w:hyperlink w:history="1" w:anchor="t48">
        <w:r>
          <w:rPr>
            <w:rFonts w:ascii="Arial" w:cs="Arial" w:eastAsia="Arial" w:hAnsi="Arial"/>
            <w:b w:val="false"/>
            <w:bCs w:val="false"/>
            <w:color w:val="222222"/>
            <w:sz w:val="19"/>
            <w:szCs w:val="19"/>
          </w:rPr>
          <w:t xml:space="preserve">7.3 Utilisateurs</w:t>
        </w:r>
        <w:r>
          <w:rPr>
            <w:rFonts w:ascii="Arial" w:cs="Arial" w:eastAsia="Arial" w:hAnsi="Arial"/>
            <w:b w:val="false"/>
            <w:bCs w:val="false"/>
            <w:color w:val="222222"/>
            <w:sz w:val="19"/>
            <w:szCs w:val="19"/>
          </w:rPr>
          <w:t xml:space="preserve">	68</w:t>
        </w:r>
      </w:hyperlink>
    </w:p>
    <w:p>
      <w:pPr>
        <w:tabs>
          <w:tab w:val="right" w:pos="9638" w:leader="dot"/>
        </w:tabs>
        <w:spacing w:after="20" w:before="0"/>
        <w:ind w:left="400"/>
      </w:pPr>
      <w:hyperlink w:history="1" w:anchor="t49">
        <w:r>
          <w:rPr>
            <w:rFonts w:ascii="Arial" w:cs="Arial" w:eastAsia="Arial" w:hAnsi="Arial"/>
            <w:b w:val="false"/>
            <w:bCs w:val="false"/>
            <w:color w:val="222222"/>
            <w:sz w:val="19"/>
            <w:szCs w:val="19"/>
          </w:rPr>
          <w:t xml:space="preserve">7.4 Rôles et permissions</w:t>
        </w:r>
        <w:r>
          <w:rPr>
            <w:rFonts w:ascii="Arial" w:cs="Arial" w:eastAsia="Arial" w:hAnsi="Arial"/>
            <w:b w:val="false"/>
            <w:bCs w:val="false"/>
            <w:color w:val="222222"/>
            <w:sz w:val="19"/>
            <w:szCs w:val="19"/>
          </w:rPr>
          <w:t xml:space="preserve">	70</w:t>
        </w:r>
      </w:hyperlink>
    </w:p>
    <w:p>
      <w:pPr>
        <w:tabs>
          <w:tab w:val="right" w:pos="9638" w:leader="dot"/>
        </w:tabs>
        <w:spacing w:after="20" w:before="0"/>
        <w:ind w:left="400"/>
      </w:pPr>
      <w:hyperlink w:history="1" w:anchor="t50">
        <w:r>
          <w:rPr>
            <w:rFonts w:ascii="Arial" w:cs="Arial" w:eastAsia="Arial" w:hAnsi="Arial"/>
            <w:b w:val="false"/>
            <w:bCs w:val="false"/>
            <w:color w:val="222222"/>
            <w:sz w:val="19"/>
            <w:szCs w:val="19"/>
          </w:rPr>
          <w:t xml:space="preserve">7.5 Questionnaires</w:t>
        </w:r>
        <w:r>
          <w:rPr>
            <w:rFonts w:ascii="Arial" w:cs="Arial" w:eastAsia="Arial" w:hAnsi="Arial"/>
            <w:b w:val="false"/>
            <w:bCs w:val="false"/>
            <w:color w:val="222222"/>
            <w:sz w:val="19"/>
            <w:szCs w:val="19"/>
          </w:rPr>
          <w:t xml:space="preserve">	70</w:t>
        </w:r>
      </w:hyperlink>
    </w:p>
    <w:p>
      <w:pPr>
        <w:tabs>
          <w:tab w:val="right" w:pos="9638" w:leader="dot"/>
        </w:tabs>
        <w:spacing w:after="20" w:before="0"/>
        <w:ind w:left="400"/>
      </w:pPr>
      <w:hyperlink w:history="1" w:anchor="t51">
        <w:r>
          <w:rPr>
            <w:rFonts w:ascii="Arial" w:cs="Arial" w:eastAsia="Arial" w:hAnsi="Arial"/>
            <w:b w:val="false"/>
            <w:bCs w:val="false"/>
            <w:color w:val="222222"/>
            <w:sz w:val="19"/>
            <w:szCs w:val="19"/>
          </w:rPr>
          <w:t xml:space="preserve">7.6 Référentiels</w:t>
        </w:r>
        <w:r>
          <w:rPr>
            <w:rFonts w:ascii="Arial" w:cs="Arial" w:eastAsia="Arial" w:hAnsi="Arial"/>
            <w:b w:val="false"/>
            <w:bCs w:val="false"/>
            <w:color w:val="222222"/>
            <w:sz w:val="19"/>
            <w:szCs w:val="19"/>
          </w:rPr>
          <w:t xml:space="preserve">	72</w:t>
        </w:r>
      </w:hyperlink>
    </w:p>
    <w:p>
      <w:pPr>
        <w:tabs>
          <w:tab w:val="right" w:pos="9638" w:leader="dot"/>
        </w:tabs>
        <w:spacing w:after="20" w:before="0"/>
        <w:ind w:left="400"/>
      </w:pPr>
      <w:hyperlink w:history="1" w:anchor="t52">
        <w:r>
          <w:rPr>
            <w:rFonts w:ascii="Arial" w:cs="Arial" w:eastAsia="Arial" w:hAnsi="Arial"/>
            <w:b w:val="false"/>
            <w:bCs w:val="false"/>
            <w:color w:val="222222"/>
            <w:sz w:val="19"/>
            <w:szCs w:val="19"/>
          </w:rPr>
          <w:t xml:space="preserve">7.7 Devises et taux de change</w:t>
        </w:r>
        <w:r>
          <w:rPr>
            <w:rFonts w:ascii="Arial" w:cs="Arial" w:eastAsia="Arial" w:hAnsi="Arial"/>
            <w:b w:val="false"/>
            <w:bCs w:val="false"/>
            <w:color w:val="222222"/>
            <w:sz w:val="19"/>
            <w:szCs w:val="19"/>
          </w:rPr>
          <w:t xml:space="preserve">	74</w:t>
        </w:r>
      </w:hyperlink>
    </w:p>
    <w:p>
      <w:pPr>
        <w:tabs>
          <w:tab w:val="right" w:pos="9638" w:leader="dot"/>
        </w:tabs>
        <w:spacing w:after="20" w:before="0"/>
        <w:ind w:left="400"/>
      </w:pPr>
      <w:hyperlink w:history="1" w:anchor="t53">
        <w:r>
          <w:rPr>
            <w:rFonts w:ascii="Arial" w:cs="Arial" w:eastAsia="Arial" w:hAnsi="Arial"/>
            <w:b w:val="false"/>
            <w:bCs w:val="false"/>
            <w:color w:val="222222"/>
            <w:sz w:val="19"/>
            <w:szCs w:val="19"/>
          </w:rPr>
          <w:t xml:space="preserve">7.8 Langues et traductions</w:t>
        </w:r>
        <w:r>
          <w:rPr>
            <w:rFonts w:ascii="Arial" w:cs="Arial" w:eastAsia="Arial" w:hAnsi="Arial"/>
            <w:b w:val="false"/>
            <w:bCs w:val="false"/>
            <w:color w:val="222222"/>
            <w:sz w:val="19"/>
            <w:szCs w:val="19"/>
          </w:rPr>
          <w:t xml:space="preserve">	75</w:t>
        </w:r>
      </w:hyperlink>
    </w:p>
    <w:p>
      <w:pPr>
        <w:tabs>
          <w:tab w:val="right" w:pos="9638" w:leader="dot"/>
        </w:tabs>
        <w:spacing w:after="20" w:before="0"/>
        <w:ind w:left="400"/>
      </w:pPr>
      <w:hyperlink w:history="1" w:anchor="t54">
        <w:r>
          <w:rPr>
            <w:rFonts w:ascii="Arial" w:cs="Arial" w:eastAsia="Arial" w:hAnsi="Arial"/>
            <w:b w:val="false"/>
            <w:bCs w:val="false"/>
            <w:color w:val="222222"/>
            <w:sz w:val="19"/>
            <w:szCs w:val="19"/>
          </w:rPr>
          <w:t xml:space="preserve">7.9 Intégration : API et base de données</w:t>
        </w:r>
        <w:r>
          <w:rPr>
            <w:rFonts w:ascii="Arial" w:cs="Arial" w:eastAsia="Arial" w:hAnsi="Arial"/>
            <w:b w:val="false"/>
            <w:bCs w:val="false"/>
            <w:color w:val="222222"/>
            <w:sz w:val="19"/>
            <w:szCs w:val="19"/>
          </w:rPr>
          <w:t xml:space="preserve">	76</w:t>
        </w:r>
      </w:hyperlink>
    </w:p>
    <w:p>
      <w:pPr>
        <w:tabs>
          <w:tab w:val="right" w:pos="9638" w:leader="dot"/>
        </w:tabs>
        <w:spacing w:after="40" w:before="120"/>
        <w:ind w:left="0"/>
      </w:pPr>
      <w:hyperlink w:history="1" w:anchor="t55">
        <w:r>
          <w:rPr>
            <w:rFonts w:ascii="Arial" w:cs="Arial" w:eastAsia="Arial" w:hAnsi="Arial"/>
            <w:b/>
            <w:bCs/>
            <w:color w:val="115E4A"/>
            <w:sz w:val="21"/>
            <w:szCs w:val="21"/>
          </w:rPr>
          <w:t xml:space="preserve">8. Langues, arabe et mobile</w:t>
        </w:r>
        <w:r>
          <w:rPr>
            <w:rFonts w:ascii="Arial" w:cs="Arial" w:eastAsia="Arial" w:hAnsi="Arial"/>
            <w:b/>
            <w:bCs/>
            <w:color w:val="222222"/>
            <w:sz w:val="21"/>
            <w:szCs w:val="21"/>
          </w:rPr>
          <w:t xml:space="preserve">	78</w:t>
        </w:r>
      </w:hyperlink>
    </w:p>
    <w:p>
      <w:pPr>
        <w:tabs>
          <w:tab w:val="right" w:pos="9638" w:leader="dot"/>
        </w:tabs>
        <w:spacing w:after="20" w:before="0"/>
        <w:ind w:left="400"/>
      </w:pPr>
      <w:hyperlink w:history="1" w:anchor="t56">
        <w:r>
          <w:rPr>
            <w:rFonts w:ascii="Arial" w:cs="Arial" w:eastAsia="Arial" w:hAnsi="Arial"/>
            <w:b w:val="false"/>
            <w:bCs w:val="false"/>
            <w:color w:val="222222"/>
            <w:sz w:val="19"/>
            <w:szCs w:val="19"/>
          </w:rPr>
          <w:t xml:space="preserve">8.1 Changer de langue</w:t>
        </w:r>
        <w:r>
          <w:rPr>
            <w:rFonts w:ascii="Arial" w:cs="Arial" w:eastAsia="Arial" w:hAnsi="Arial"/>
            <w:b w:val="false"/>
            <w:bCs w:val="false"/>
            <w:color w:val="222222"/>
            <w:sz w:val="19"/>
            <w:szCs w:val="19"/>
          </w:rPr>
          <w:t xml:space="preserve">	78</w:t>
        </w:r>
      </w:hyperlink>
    </w:p>
    <w:p>
      <w:pPr>
        <w:tabs>
          <w:tab w:val="right" w:pos="9638" w:leader="dot"/>
        </w:tabs>
        <w:spacing w:after="20" w:before="0"/>
        <w:ind w:left="400"/>
      </w:pPr>
      <w:hyperlink w:history="1" w:anchor="t57">
        <w:r>
          <w:rPr>
            <w:rFonts w:ascii="Arial" w:cs="Arial" w:eastAsia="Arial" w:hAnsi="Arial"/>
            <w:b w:val="false"/>
            <w:bCs w:val="false"/>
            <w:color w:val="222222"/>
            <w:sz w:val="19"/>
            <w:szCs w:val="19"/>
          </w:rPr>
          <w:t xml:space="preserve">8.2 Arabe et écriture de droite à gauche</w:t>
        </w:r>
        <w:r>
          <w:rPr>
            <w:rFonts w:ascii="Arial" w:cs="Arial" w:eastAsia="Arial" w:hAnsi="Arial"/>
            <w:b w:val="false"/>
            <w:bCs w:val="false"/>
            <w:color w:val="222222"/>
            <w:sz w:val="19"/>
            <w:szCs w:val="19"/>
          </w:rPr>
          <w:t xml:space="preserve">	78</w:t>
        </w:r>
      </w:hyperlink>
    </w:p>
    <w:p>
      <w:pPr>
        <w:tabs>
          <w:tab w:val="right" w:pos="9638" w:leader="dot"/>
        </w:tabs>
        <w:spacing w:after="20" w:before="0"/>
        <w:ind w:left="400"/>
      </w:pPr>
      <w:hyperlink w:history="1" w:anchor="t58">
        <w:r>
          <w:rPr>
            <w:rFonts w:ascii="Arial" w:cs="Arial" w:eastAsia="Arial" w:hAnsi="Arial"/>
            <w:b w:val="false"/>
            <w:bCs w:val="false"/>
            <w:color w:val="222222"/>
            <w:sz w:val="19"/>
            <w:szCs w:val="19"/>
          </w:rPr>
          <w:t xml:space="preserve">8.3 Utilisation sur mobile et tablette</w:t>
        </w:r>
        <w:r>
          <w:rPr>
            <w:rFonts w:ascii="Arial" w:cs="Arial" w:eastAsia="Arial" w:hAnsi="Arial"/>
            <w:b w:val="false"/>
            <w:bCs w:val="false"/>
            <w:color w:val="222222"/>
            <w:sz w:val="19"/>
            <w:szCs w:val="19"/>
          </w:rPr>
          <w:t xml:space="preserve">	80</w:t>
        </w:r>
      </w:hyperlink>
    </w:p>
    <w:p>
      <w:pPr>
        <w:tabs>
          <w:tab w:val="right" w:pos="9638" w:leader="dot"/>
        </w:tabs>
        <w:spacing w:after="40" w:before="120"/>
        <w:ind w:left="0"/>
      </w:pPr>
      <w:hyperlink w:history="1" w:anchor="t59">
        <w:r>
          <w:rPr>
            <w:rFonts w:ascii="Arial" w:cs="Arial" w:eastAsia="Arial" w:hAnsi="Arial"/>
            <w:b/>
            <w:bCs/>
            <w:color w:val="115E4A"/>
            <w:sz w:val="21"/>
            <w:szCs w:val="21"/>
          </w:rPr>
          <w:t xml:space="preserve">Annexe A — Matrice des droits par rôle</w:t>
        </w:r>
        <w:r>
          <w:rPr>
            <w:rFonts w:ascii="Arial" w:cs="Arial" w:eastAsia="Arial" w:hAnsi="Arial"/>
            <w:b/>
            <w:bCs/>
            <w:color w:val="222222"/>
            <w:sz w:val="21"/>
            <w:szCs w:val="21"/>
          </w:rPr>
          <w:t xml:space="preserve">	81</w:t>
        </w:r>
      </w:hyperlink>
    </w:p>
    <w:p>
      <w:pPr>
        <w:tabs>
          <w:tab w:val="right" w:pos="9638" w:leader="dot"/>
        </w:tabs>
        <w:spacing w:after="40" w:before="120"/>
        <w:ind w:left="0"/>
      </w:pPr>
      <w:hyperlink w:history="1" w:anchor="t60">
        <w:r>
          <w:rPr>
            <w:rFonts w:ascii="Arial" w:cs="Arial" w:eastAsia="Arial" w:hAnsi="Arial"/>
            <w:b/>
            <w:bCs/>
            <w:color w:val="115E4A"/>
            <w:sz w:val="21"/>
            <w:szCs w:val="21"/>
          </w:rPr>
          <w:t xml:space="preserve">Annexe B — Les 25 éléments de catégorisation</w:t>
        </w:r>
        <w:r>
          <w:rPr>
            <w:rFonts w:ascii="Arial" w:cs="Arial" w:eastAsia="Arial" w:hAnsi="Arial"/>
            <w:b/>
            <w:bCs/>
            <w:color w:val="222222"/>
            <w:sz w:val="21"/>
            <w:szCs w:val="21"/>
          </w:rPr>
          <w:t xml:space="preserve">	82</w:t>
        </w:r>
      </w:hyperlink>
    </w:p>
    <w:p>
      <w:pPr>
        <w:tabs>
          <w:tab w:val="right" w:pos="9638" w:leader="dot"/>
        </w:tabs>
        <w:spacing w:after="40" w:before="120"/>
        <w:ind w:left="0"/>
      </w:pPr>
      <w:hyperlink w:history="1" w:anchor="t61">
        <w:r>
          <w:rPr>
            <w:rFonts w:ascii="Arial" w:cs="Arial" w:eastAsia="Arial" w:hAnsi="Arial"/>
            <w:b/>
            <w:bCs/>
            <w:color w:val="115E4A"/>
            <w:sz w:val="21"/>
            <w:szCs w:val="21"/>
          </w:rPr>
          <w:t xml:space="preserve">Annexe C — Barèmes et seuils</w:t>
        </w:r>
        <w:r>
          <w:rPr>
            <w:rFonts w:ascii="Arial" w:cs="Arial" w:eastAsia="Arial" w:hAnsi="Arial"/>
            <w:b/>
            <w:bCs/>
            <w:color w:val="222222"/>
            <w:sz w:val="21"/>
            <w:szCs w:val="21"/>
          </w:rPr>
          <w:t xml:space="preserve">	83</w:t>
        </w:r>
      </w:hyperlink>
    </w:p>
    <w:p>
      <w:pPr>
        <w:tabs>
          <w:tab w:val="right" w:pos="9638" w:leader="dot"/>
        </w:tabs>
        <w:spacing w:after="40" w:before="120"/>
        <w:ind w:left="0"/>
      </w:pPr>
      <w:hyperlink w:history="1" w:anchor="t62">
        <w:r>
          <w:rPr>
            <w:rFonts w:ascii="Arial" w:cs="Arial" w:eastAsia="Arial" w:hAnsi="Arial"/>
            <w:b/>
            <w:bCs/>
            <w:color w:val="115E4A"/>
            <w:sz w:val="21"/>
            <w:szCs w:val="21"/>
          </w:rPr>
          <w:t xml:space="preserve">Annexe D — Glossaire</w:t>
        </w:r>
        <w:r>
          <w:rPr>
            <w:rFonts w:ascii="Arial" w:cs="Arial" w:eastAsia="Arial" w:hAnsi="Arial"/>
            <w:b/>
            <w:bCs/>
            <w:color w:val="222222"/>
            <w:sz w:val="21"/>
            <w:szCs w:val="21"/>
          </w:rPr>
          <w:t xml:space="preserve">	84</w:t>
        </w:r>
      </w:hyperlink>
    </w:p>
    <w:p>
      <w:pPr>
        <w:tabs>
          <w:tab w:val="right" w:pos="9638" w:leader="dot"/>
        </w:tabs>
        <w:spacing w:after="40" w:before="120"/>
        <w:ind w:left="0"/>
      </w:pPr>
      <w:hyperlink w:history="1" w:anchor="t63">
        <w:r>
          <w:rPr>
            <w:rFonts w:ascii="Arial" w:cs="Arial" w:eastAsia="Arial" w:hAnsi="Arial"/>
            <w:b/>
            <w:bCs/>
            <w:color w:val="115E4A"/>
            <w:sz w:val="21"/>
            <w:szCs w:val="21"/>
          </w:rPr>
          <w:t xml:space="preserve">Annexe E — Questions fréquentes et dépannage</w:t>
        </w:r>
        <w:r>
          <w:rPr>
            <w:rFonts w:ascii="Arial" w:cs="Arial" w:eastAsia="Arial" w:hAnsi="Arial"/>
            <w:b/>
            <w:bCs/>
            <w:color w:val="222222"/>
            <w:sz w:val="21"/>
            <w:szCs w:val="21"/>
          </w:rPr>
          <w:t xml:space="preserve">	85</w:t>
        </w:r>
      </w:hyperlink>
    </w:p>
    <w:p>
      <w:pPr>
        <w:tabs>
          <w:tab w:val="right" w:pos="9638" w:leader="dot"/>
        </w:tabs>
        <w:spacing w:after="40" w:before="120"/>
        <w:ind w:left="0"/>
      </w:pPr>
      <w:hyperlink w:history="1" w:anchor="t64">
        <w:r>
          <w:rPr>
            <w:rFonts w:ascii="Arial" w:cs="Arial" w:eastAsia="Arial" w:hAnsi="Arial"/>
            <w:b/>
            <w:bCs/>
            <w:color w:val="115E4A"/>
            <w:sz w:val="21"/>
            <w:szCs w:val="21"/>
          </w:rPr>
          <w:t xml:space="preserve">Annexe F — Fiches mémo par rôle</w:t>
        </w:r>
        <w:r>
          <w:rPr>
            <w:rFonts w:ascii="Arial" w:cs="Arial" w:eastAsia="Arial" w:hAnsi="Arial"/>
            <w:b/>
            <w:bCs/>
            <w:color w:val="222222"/>
            <w:sz w:val="21"/>
            <w:szCs w:val="21"/>
          </w:rPr>
          <w:t xml:space="preserve">	86</w:t>
        </w:r>
      </w:hyperlink>
    </w:p>
    <w:p>
      <w:pPr>
        <w:pStyle w:val="Heading1"/>
        <w:pageBreakBefore/>
      </w:pPr>
      <w:bookmarkStart w:name="t1" w:id="1"/>
      <w:r>
        <w:rPr>
          <w:rFonts w:ascii="Arial" w:cs="Arial" w:eastAsia="Arial" w:hAnsi="Arial"/>
        </w:rPr>
        <w:t xml:space="preserve">1. Présentation de l'outil</w:t>
      </w:r>
      <w:bookmarkEnd w:id="1"/>
    </w:p>
    <w:p>
      <w:pPr>
        <w:pStyle w:val="Heading2"/>
        <w:keepNext/>
      </w:pPr>
      <w:bookmarkStart w:name="t2" w:id="1"/>
      <w:r>
        <w:rPr>
          <w:rFonts w:ascii="Arial" w:cs="Arial" w:eastAsia="Arial" w:hAnsi="Arial"/>
        </w:rPr>
        <w:t xml:space="preserve">1.1 À quoi sert le SGES ?</w:t>
      </w:r>
      <w:bookmarkEnd w:id="1"/>
    </w:p>
    <w:p>
      <w:pPr>
        <w:spacing w:after="110" w:line="288"/>
        <w:jc w:val="left"/>
      </w:pPr>
      <w:r>
        <w:rPr>
          <w:rFonts w:ascii="Arial" w:cs="Arial" w:eastAsia="Arial" w:hAnsi="Arial"/>
        </w:rPr>
        <w:t xml:space="preserve">Le </w:t>
      </w:r>
      <w:r>
        <w:rPr>
          <w:rFonts w:ascii="Arial" w:cs="Arial" w:eastAsia="Arial" w:hAnsi="Arial"/>
          <w:b/>
          <w:bCs/>
        </w:rPr>
        <w:t xml:space="preserve">SGES</w:t>
      </w:r>
      <w:r>
        <w:rPr>
          <w:rFonts w:ascii="Arial" w:cs="Arial" w:eastAsia="Arial" w:hAnsi="Arial"/>
        </w:rPr>
        <w:t xml:space="preserve"> (Système de Gestion Environnementale, Sociale et Climatique) est l'outil qui permet à la banque d'évaluer, pour chaque demande de crédit d'investissement, les </w:t>
      </w:r>
      <w:r>
        <w:rPr>
          <w:rFonts w:ascii="Arial" w:cs="Arial" w:eastAsia="Arial" w:hAnsi="Arial"/>
          <w:b/>
          <w:bCs/>
        </w:rPr>
        <w:t xml:space="preserve">risques environnementaux, sociaux et climatiques</w:t>
      </w:r>
      <w:r>
        <w:rPr>
          <w:rFonts w:ascii="Arial" w:cs="Arial" w:eastAsia="Arial" w:hAnsi="Arial"/>
        </w:rPr>
        <w:t xml:space="preserve"> du projet financé, de les faire valider, de les présenter au comité de crédit puis de </w:t>
      </w:r>
      <w:r>
        <w:rPr>
          <w:rFonts w:ascii="Arial" w:cs="Arial" w:eastAsia="Arial" w:hAnsi="Arial"/>
          <w:b/>
          <w:bCs/>
        </w:rPr>
        <w:t xml:space="preserve">suivre leur maîtrise</w:t>
      </w:r>
      <w:r>
        <w:rPr>
          <w:rFonts w:ascii="Arial" w:cs="Arial" w:eastAsia="Arial" w:hAnsi="Arial"/>
        </w:rPr>
        <w:t xml:space="preserve"> pendant la vie du crédit.</w:t>
      </w:r>
    </w:p>
    <w:p>
      <w:pPr>
        <w:spacing w:after="110" w:line="288"/>
        <w:jc w:val="left"/>
      </w:pPr>
      <w:r>
        <w:rPr>
          <w:rFonts w:ascii="Arial" w:cs="Arial" w:eastAsia="Arial" w:hAnsi="Arial"/>
        </w:rPr>
        <w:t xml:space="preserve">Il remplace l'ancien outil et met en œuvre, dans un seul parcours numérique, les exigences suivantes :</w:t>
      </w:r>
    </w:p>
    <w:p>
      <w:pPr>
        <w:pStyle w:val="ListParagraph"/>
        <w:numPr>
          <w:ilvl w:val="0"/>
          <w:numId w:val="2"/>
        </w:numPr>
        <w:spacing w:after="50" w:line="276"/>
      </w:pPr>
      <w:r>
        <w:rPr>
          <w:rFonts w:ascii="Arial" w:cs="Arial" w:eastAsia="Arial" w:hAnsi="Arial"/>
          <w:b/>
          <w:bCs/>
        </w:rPr>
        <w:t xml:space="preserve">la circulaire CFD-537/01-24</w:t>
      </w:r>
      <w:r>
        <w:rPr>
          <w:rFonts w:ascii="Arial" w:cs="Arial" w:eastAsia="Arial" w:hAnsi="Arial"/>
        </w:rPr>
        <w:t xml:space="preserve"> relative à la gestion des risques environnementaux et sociaux, et la </w:t>
      </w:r>
      <w:r>
        <w:rPr>
          <w:rFonts w:ascii="Arial" w:cs="Arial" w:eastAsia="Arial" w:hAnsi="Arial"/>
          <w:b/>
          <w:bCs/>
        </w:rPr>
        <w:t xml:space="preserve">procédure CFD12340876/0217</w:t>
      </w:r>
      <w:r>
        <w:rPr>
          <w:rFonts w:ascii="Arial" w:cs="Arial" w:eastAsia="Arial" w:hAnsi="Arial"/>
        </w:rPr>
        <w:t xml:space="preserve"> (liste d'exclusion, catégorisation, check-lists, plan d'actions, validation, suivi) ;</w:t>
      </w:r>
    </w:p>
    <w:p>
      <w:pPr>
        <w:pStyle w:val="ListParagraph"/>
        <w:numPr>
          <w:ilvl w:val="0"/>
          <w:numId w:val="2"/>
        </w:numPr>
        <w:spacing w:after="50" w:line="276"/>
      </w:pPr>
      <w:r>
        <w:rPr>
          <w:rFonts w:ascii="Arial" w:cs="Arial" w:eastAsia="Arial" w:hAnsi="Arial"/>
          <w:b/>
          <w:bCs/>
        </w:rPr>
        <w:t xml:space="preserve">la directive BAM n° 5/W/2021</w:t>
      </w:r>
      <w:r>
        <w:rPr>
          <w:rFonts w:ascii="Arial" w:cs="Arial" w:eastAsia="Arial" w:hAnsi="Arial"/>
        </w:rPr>
        <w:t xml:space="preserve"> sur les risques climatiques et environnementaux (risques physiques et de transition) ;</w:t>
      </w:r>
    </w:p>
    <w:p>
      <w:pPr>
        <w:pStyle w:val="ListParagraph"/>
        <w:numPr>
          <w:ilvl w:val="0"/>
          <w:numId w:val="2"/>
        </w:numPr>
        <w:spacing w:after="50" w:line="276"/>
      </w:pPr>
      <w:r>
        <w:rPr>
          <w:rFonts w:ascii="Arial" w:cs="Arial" w:eastAsia="Arial" w:hAnsi="Arial"/>
          <w:b/>
          <w:bCs/>
        </w:rPr>
        <w:t xml:space="preserve">les normes de performance de la SFI</w:t>
      </w:r>
      <w:r>
        <w:rPr>
          <w:rFonts w:ascii="Arial" w:cs="Arial" w:eastAsia="Arial" w:hAnsi="Arial"/>
        </w:rPr>
        <w:t xml:space="preserve"> (NP 1 à NP 8) et </w:t>
      </w:r>
      <w:r>
        <w:rPr>
          <w:rFonts w:ascii="Arial" w:cs="Arial" w:eastAsia="Arial" w:hAnsi="Arial"/>
          <w:b/>
          <w:bCs/>
        </w:rPr>
        <w:t xml:space="preserve">les Principes de l'Équateur IV</w:t>
      </w:r>
      <w:r>
        <w:rPr>
          <w:rFonts w:ascii="Arial" w:cs="Arial" w:eastAsia="Arial" w:hAnsi="Arial"/>
        </w:rPr>
        <w:t xml:space="preserve"> pour les projets de grande taille ;</w:t>
      </w:r>
    </w:p>
    <w:p>
      <w:pPr>
        <w:pStyle w:val="ListParagraph"/>
        <w:numPr>
          <w:ilvl w:val="0"/>
          <w:numId w:val="2"/>
        </w:numPr>
        <w:spacing w:after="50" w:line="276"/>
      </w:pPr>
      <w:r>
        <w:rPr>
          <w:rFonts w:ascii="Arial" w:cs="Arial" w:eastAsia="Arial" w:hAnsi="Arial"/>
          <w:b/>
          <w:bCs/>
        </w:rPr>
        <w:t xml:space="preserve">la réglementation marocaine</w:t>
      </w:r>
      <w:r>
        <w:rPr>
          <w:rFonts w:ascii="Arial" w:cs="Arial" w:eastAsia="Arial" w:hAnsi="Arial"/>
        </w:rPr>
        <w:t xml:space="preserve"> citée dans les questionnaires (loi 11-03, loi 49-17 sur les études d'impact, loi 36-15 sur l'eau, loi 28-00 sur les déchets, loi 13-03 sur l'air, Code du travail, loi 47-09 sur l'efficacité énergétique, etc.).</w:t>
      </w:r>
    </w:p>
    <w:p>
      <w:pPr>
        <w:spacing w:after="110" w:line="288"/>
        <w:jc w:val="left"/>
      </w:pPr>
      <w:r>
        <w:rPr>
          <w:rFonts w:ascii="Arial" w:cs="Arial" w:eastAsia="Arial" w:hAnsi="Arial"/>
        </w:rPr>
        <w:t xml:space="preserve">L'</w:t>
      </w:r>
      <w:r>
        <w:rPr>
          <w:rFonts w:ascii="Arial" w:cs="Arial" w:eastAsia="Arial" w:hAnsi="Arial"/>
          <w:b/>
          <w:bCs/>
        </w:rPr>
        <w:t xml:space="preserve">évaluation E&amp;S est un élément obligatoire du dossier présenté aux comités</w:t>
      </w:r>
      <w:r>
        <w:rPr>
          <w:rFonts w:ascii="Arial" w:cs="Arial" w:eastAsia="Arial" w:hAnsi="Arial"/>
        </w:rPr>
        <w:t xml:space="preserve"> : un dossier soumis au comité sans fiche d'évaluation disponible doit être ajourné. La fiche validée est également transmise automatiquement à la plateforme d'octroi de crédit (voir le chapitre 7).</w:t>
      </w:r>
    </w:p>
    <w:p>
      <w:pPr>
        <w:pStyle w:val="Heading2"/>
        <w:keepNext/>
      </w:pPr>
      <w:bookmarkStart w:name="t3" w:id="1"/>
      <w:r>
        <w:rPr>
          <w:rFonts w:ascii="Arial" w:cs="Arial" w:eastAsia="Arial" w:hAnsi="Arial"/>
        </w:rPr>
        <w:t xml:space="preserve">1.2 Quand une évaluation est-elle obligatoire ?</w:t>
      </w:r>
      <w:bookmarkEnd w:id="1"/>
    </w:p>
    <w:p>
      <w:pPr>
        <w:spacing w:after="110" w:line="288"/>
        <w:jc w:val="left"/>
      </w:pPr>
      <w:r>
        <w:rPr>
          <w:rFonts w:ascii="Arial" w:cs="Arial" w:eastAsia="Arial" w:hAnsi="Arial"/>
        </w:rPr>
        <w:t xml:space="preserve">Une évaluation E&amp;S est </w:t>
      </w:r>
      <w:r>
        <w:rPr>
          <w:rFonts w:ascii="Arial" w:cs="Arial" w:eastAsia="Arial" w:hAnsi="Arial"/>
          <w:b/>
          <w:bCs/>
        </w:rPr>
        <w:t xml:space="preserve">obligatoire</w:t>
      </w:r>
      <w:r>
        <w:rPr>
          <w:rFonts w:ascii="Arial" w:cs="Arial" w:eastAsia="Arial" w:hAnsi="Arial"/>
        </w:rPr>
        <w:t xml:space="preserve"> lorsque l'un des deux critères déclencheurs de la circulaire est rempli :</w:t>
      </w:r>
    </w:p>
    <w:p>
      <w:pPr>
        <w:pStyle w:val="ListParagraph"/>
        <w:numPr>
          <w:ilvl w:val="0"/>
          <w:numId w:val="2"/>
        </w:numPr>
        <w:spacing w:after="50" w:line="276"/>
      </w:pPr>
      <w:r>
        <w:rPr>
          <w:rFonts w:ascii="Arial" w:cs="Arial" w:eastAsia="Arial" w:hAnsi="Arial"/>
        </w:rPr>
        <w:t xml:space="preserve">le projet est classé en </w:t>
      </w:r>
      <w:r>
        <w:rPr>
          <w:rFonts w:ascii="Arial" w:cs="Arial" w:eastAsia="Arial" w:hAnsi="Arial"/>
          <w:b/>
          <w:bCs/>
        </w:rPr>
        <w:t xml:space="preserve">catégorie A</w:t>
      </w:r>
      <w:r>
        <w:rPr>
          <w:rFonts w:ascii="Arial" w:cs="Arial" w:eastAsia="Arial" w:hAnsi="Arial"/>
        </w:rPr>
        <w:t xml:space="preserve"> (impacts potentiellement importants et irréversibles) ;</w:t>
      </w:r>
    </w:p>
    <w:p>
      <w:pPr>
        <w:pStyle w:val="ListParagraph"/>
        <w:numPr>
          <w:ilvl w:val="0"/>
          <w:numId w:val="2"/>
        </w:numPr>
        <w:spacing w:after="50" w:line="276"/>
      </w:pPr>
      <w:r>
        <w:rPr>
          <w:rFonts w:ascii="Arial" w:cs="Arial" w:eastAsia="Arial" w:hAnsi="Arial"/>
        </w:rPr>
        <w:t xml:space="preserve">ou le </w:t>
      </w:r>
      <w:r>
        <w:rPr>
          <w:rFonts w:ascii="Arial" w:cs="Arial" w:eastAsia="Arial" w:hAnsi="Arial"/>
          <w:b/>
          <w:bCs/>
        </w:rPr>
        <w:t xml:space="preserve">montant de l'investissement dépasse 10 millions de dirhams</w:t>
      </w:r>
      <w:r>
        <w:rPr>
          <w:rFonts w:ascii="Arial" w:cs="Arial" w:eastAsia="Arial" w:hAnsi="Arial"/>
        </w:rPr>
        <w:t xml:space="preserve"> (seuil paramétrable, par défaut 10 000 000 en devise de référence, éventuellement différent par entité).</w:t>
      </w:r>
    </w:p>
    <w:p>
      <w:pPr>
        <w:spacing w:after="110" w:line="288"/>
        <w:jc w:val="left"/>
      </w:pPr>
      <w:r>
        <w:rPr>
          <w:rFonts w:ascii="Arial" w:cs="Arial" w:eastAsia="Arial" w:hAnsi="Arial"/>
        </w:rPr>
        <w:t xml:space="preserve">Les crédits de fonctionnement sont hors périmètre. Lorsqu'aucun critère n'est rempli, l'évaluation reste possible : elle est alors signalée comme </w:t>
      </w:r>
      <w:r>
        <w:rPr>
          <w:rFonts w:ascii="Arial" w:cs="Arial" w:eastAsia="Arial" w:hAnsi="Arial"/>
          <w:b/>
          <w:bCs/>
        </w:rPr>
        <w:t xml:space="preserve">volontaire</w:t>
      </w:r>
      <w:r>
        <w:rPr>
          <w:rFonts w:ascii="Arial" w:cs="Arial" w:eastAsia="Arial" w:hAnsi="Arial"/>
        </w:rPr>
        <w:t xml:space="preserve">. Le bandeau « Critères déclencheurs » de l'écran de création et la pastille « Évaluation E&amp;S : Obligatoire / Volontaire » de chaque dossier rappellent la règle appliquée.</w:t>
      </w:r>
    </w:p>
    <w:p>
      <w:pPr>
        <w:pStyle w:val="Heading2"/>
        <w:keepNext/>
      </w:pPr>
      <w:bookmarkStart w:name="t4" w:id="1"/>
      <w:r>
        <w:rPr>
          <w:rFonts w:ascii="Arial" w:cs="Arial" w:eastAsia="Arial" w:hAnsi="Arial"/>
        </w:rPr>
        <w:t xml:space="preserve">1.3 Le parcours en neuf étapes</w:t>
      </w:r>
      <w:bookmarkEnd w:id="1"/>
    </w:p>
    <w:p>
      <w:pPr>
        <w:spacing w:after="110" w:line="288"/>
        <w:jc w:val="left"/>
      </w:pPr>
      <w:r>
        <w:rPr>
          <w:rFonts w:ascii="Arial" w:cs="Arial" w:eastAsia="Arial" w:hAnsi="Arial"/>
        </w:rPr>
        <w:t xml:space="preserve">Chaque demande de crédit donne lieu à </w:t>
      </w:r>
      <w:r>
        <w:rPr>
          <w:rFonts w:ascii="Arial" w:cs="Arial" w:eastAsia="Arial" w:hAnsi="Arial"/>
          <w:b/>
          <w:bCs/>
        </w:rPr>
        <w:t xml:space="preserve">un dossier SGES</w:t>
      </w:r>
      <w:r>
        <w:rPr>
          <w:rFonts w:ascii="Arial" w:cs="Arial" w:eastAsia="Arial" w:hAnsi="Arial"/>
        </w:rPr>
        <w:t xml:space="preserve">, qui suit le même parcours. Les étapes s'affichent dans le menu de gauche du dossier ; une coche verte indique qu'une étape est complète.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1"/>
        <w:gridCol w:w="4284"/>
        <w:gridCol w:w="3413"/>
      </w:tblGrid>
      <w:tr>
        <w:trPr>
          <w:cantSplit/>
          <w:tblHeader/>
        </w:trPr>
        <w:tc>
          <w:tcPr>
            <w:tcW w:type="dxa" w:w="1941"/>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Étape</w:t>
            </w:r>
          </w:p>
        </w:tc>
        <w:tc>
          <w:tcPr>
            <w:tcW w:type="dxa" w:w="4284"/>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Ce que l'on fait</w:t>
            </w:r>
          </w:p>
        </w:tc>
        <w:tc>
          <w:tcPr>
            <w:tcW w:type="dxa" w:w="3413"/>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Résultat</w:t>
            </w:r>
          </w:p>
        </w:tc>
      </w:tr>
      <w:tr>
        <w:trPr>
          <w:cantSplit/>
        </w:trPr>
        <w:tc>
          <w:tcPr>
            <w:tcW w:type="dxa" w:w="194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1. Identification</w:t>
            </w:r>
          </w:p>
        </w:tc>
        <w:tc>
          <w:tcPr>
            <w:tcW w:type="dxa" w:w="4284"/>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Saisir ou importer le client, décrire le projet, le montant, le secteur et le lieu.</w:t>
            </w:r>
          </w:p>
        </w:tc>
        <w:tc>
          <w:tcPr>
            <w:tcW w:type="dxa" w:w="3413"/>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Dossier créé, référence attribuée, évaluation obligatoire ou volontaire.</w:t>
            </w:r>
          </w:p>
        </w:tc>
      </w:tr>
      <w:tr>
        <w:trPr>
          <w:cantSplit/>
        </w:trPr>
        <w:tc>
          <w:tcPr>
            <w:tcW w:type="dxa" w:w="194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2. Liste d'exclusion</w:t>
            </w:r>
          </w:p>
        </w:tc>
        <w:tc>
          <w:tcPr>
            <w:tcW w:type="dxa" w:w="4284"/>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Vérifier que l'activité ne figure pas sur la liste d'exclusion de la SFI.</w:t>
            </w:r>
          </w:p>
        </w:tc>
        <w:tc>
          <w:tcPr>
            <w:tcW w:type="dxa" w:w="3413"/>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Le projet figure ou non sur la liste ; le Responsable RSE est notifié en cas de « Oui ».</w:t>
            </w:r>
          </w:p>
        </w:tc>
      </w:tr>
      <w:tr>
        <w:trPr>
          <w:cantSplit/>
        </w:trPr>
        <w:tc>
          <w:tcPr>
            <w:tcW w:type="dxa" w:w="194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3. Catégorisation</w:t>
            </w:r>
          </w:p>
        </w:tc>
        <w:tc>
          <w:tcPr>
            <w:tcW w:type="dxa" w:w="4284"/>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Répondre aux 25 éléments du formulaire de catégorisation.</w:t>
            </w:r>
          </w:p>
        </w:tc>
        <w:tc>
          <w:tcPr>
            <w:tcW w:type="dxa" w:w="3413"/>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Catégorie A, B, C ou FI.</w:t>
            </w:r>
          </w:p>
        </w:tc>
      </w:tr>
      <w:tr>
        <w:trPr>
          <w:cantSplit/>
        </w:trPr>
        <w:tc>
          <w:tcPr>
            <w:tcW w:type="dxa" w:w="194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4. Risques E&amp;S</w:t>
            </w:r>
          </w:p>
        </w:tc>
        <w:tc>
          <w:tcPr>
            <w:tcW w:type="dxa" w:w="4284"/>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Remplir la check-list de la catégorie (environnement, hygiène et sécurité, ressources humaines, normes SFI, climat).</w:t>
            </w:r>
          </w:p>
        </w:tc>
        <w:tc>
          <w:tcPr>
            <w:tcW w:type="dxa" w:w="3413"/>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Score et niveau de risque résiduel ; risques non maîtrisés identifiés.</w:t>
            </w:r>
          </w:p>
        </w:tc>
      </w:tr>
      <w:tr>
        <w:trPr>
          <w:cantSplit/>
        </w:trPr>
        <w:tc>
          <w:tcPr>
            <w:tcW w:type="dxa" w:w="194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5. Climat</w:t>
            </w:r>
          </w:p>
        </w:tc>
        <w:tc>
          <w:tcPr>
            <w:tcW w:type="dxa" w:w="4284"/>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Qualifier les aléas physiques, les facteurs de transition, les émissions et l'alignement taxonomique.</w:t>
            </w:r>
          </w:p>
        </w:tc>
        <w:tc>
          <w:tcPr>
            <w:tcW w:type="dxa" w:w="3413"/>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Score et niveau de risque climat ; émissions financées.</w:t>
            </w:r>
          </w:p>
        </w:tc>
      </w:tr>
      <w:tr>
        <w:trPr>
          <w:cantSplit/>
        </w:trPr>
        <w:tc>
          <w:tcPr>
            <w:tcW w:type="dxa" w:w="194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6. Plan d'actions</w:t>
            </w:r>
          </w:p>
        </w:tc>
        <w:tc>
          <w:tcPr>
            <w:tcW w:type="dxa" w:w="4284"/>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Négocier avec le client les actions correctives proposées.</w:t>
            </w:r>
          </w:p>
        </w:tc>
        <w:tc>
          <w:tcPr>
            <w:tcW w:type="dxa" w:w="3413"/>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Actions retenues, responsables, échéances, budgets.</w:t>
            </w:r>
          </w:p>
        </w:tc>
      </w:tr>
      <w:tr>
        <w:trPr>
          <w:cantSplit/>
        </w:trPr>
        <w:tc>
          <w:tcPr>
            <w:tcW w:type="dxa" w:w="194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7. Fiche &amp; validation</w:t>
            </w:r>
          </w:p>
        </w:tc>
        <w:tc>
          <w:tcPr>
            <w:tcW w:type="dxa" w:w="4284"/>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Relire la fiche d'évaluation, soumettre ; le directeur valide et verrouille.</w:t>
            </w:r>
          </w:p>
        </w:tc>
        <w:tc>
          <w:tcPr>
            <w:tcW w:type="dxa" w:w="3413"/>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Dossier « Validé — au comité », fiche transmise à la plateforme d'octroi.</w:t>
            </w:r>
          </w:p>
        </w:tc>
      </w:tr>
      <w:tr>
        <w:trPr>
          <w:cantSplit/>
        </w:trPr>
        <w:tc>
          <w:tcPr>
            <w:tcW w:type="dxa" w:w="194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8. Décision du comité</w:t>
            </w:r>
          </w:p>
        </w:tc>
        <w:tc>
          <w:tcPr>
            <w:tcW w:type="dxa" w:w="4284"/>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Reporter la décision du comité de crédit.</w:t>
            </w:r>
          </w:p>
        </w:tc>
        <w:tc>
          <w:tcPr>
            <w:tcW w:type="dxa" w:w="3413"/>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Montant accordé ou motif de rejet E&amp;S ; réserves ajoutées au plan.</w:t>
            </w:r>
          </w:p>
        </w:tc>
      </w:tr>
      <w:tr>
        <w:trPr>
          <w:cantSplit/>
        </w:trPr>
        <w:tc>
          <w:tcPr>
            <w:tcW w:type="dxa" w:w="194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9. Suivi</w:t>
            </w:r>
          </w:p>
        </w:tc>
        <w:tc>
          <w:tcPr>
            <w:tcW w:type="dxa" w:w="4284"/>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Suivre l'avancement des actions et enregistrer les visites de sites.</w:t>
            </w:r>
          </w:p>
        </w:tc>
        <w:tc>
          <w:tcPr>
            <w:tcW w:type="dxa" w:w="3413"/>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Plan réalisé, dossier clôturé.</w:t>
            </w:r>
          </w:p>
        </w:tc>
      </w:tr>
    </w:tbl>
    <w:p>
      <w:pPr>
        <w:spacing w:after="80"/>
      </w:pPr>
    </w:p>
    <w:p>
      <w:pPr>
        <w:spacing w:after="110" w:line="288"/>
        <w:jc w:val="left"/>
      </w:pPr>
      <w:r>
        <w:rPr>
          <w:rFonts w:ascii="Arial" w:cs="Arial" w:eastAsia="Arial" w:hAnsi="Arial"/>
        </w:rPr>
        <w:t xml:space="preserve">Deux rubriques transversales complètent le parcours : </w:t>
      </w:r>
      <w:r>
        <w:rPr>
          <w:rFonts w:ascii="Arial" w:cs="Arial" w:eastAsia="Arial" w:hAnsi="Arial"/>
          <w:b/>
          <w:bCs/>
        </w:rPr>
        <w:t xml:space="preserve">Pièces</w:t>
      </w:r>
      <w:r>
        <w:rPr>
          <w:rFonts w:ascii="Arial" w:cs="Arial" w:eastAsia="Arial" w:hAnsi="Arial"/>
        </w:rPr>
        <w:t xml:space="preserve"> (étude d'impact, autorisations, photos…) et </w:t>
      </w:r>
      <w:r>
        <w:rPr>
          <w:rFonts w:ascii="Arial" w:cs="Arial" w:eastAsia="Arial" w:hAnsi="Arial"/>
          <w:b/>
          <w:bCs/>
        </w:rPr>
        <w:t xml:space="preserve">Historique</w:t>
      </w:r>
      <w:r>
        <w:rPr>
          <w:rFonts w:ascii="Arial" w:cs="Arial" w:eastAsia="Arial" w:hAnsi="Arial"/>
        </w:rPr>
        <w:t xml:space="preserve"> (journal de toutes les opérations du dossier).</w:t>
      </w:r>
    </w:p>
    <w:p>
      <w:pPr>
        <w:pStyle w:val="Heading2"/>
        <w:keepNext/>
      </w:pPr>
      <w:bookmarkStart w:name="t5" w:id="1"/>
      <w:r>
        <w:rPr>
          <w:rFonts w:ascii="Arial" w:cs="Arial" w:eastAsia="Arial" w:hAnsi="Arial"/>
        </w:rPr>
        <w:t xml:space="preserve">1.4 Les statuts d'un dossier</w:t>
      </w:r>
      <w:bookmarkEnd w:id="1"/>
    </w:p>
    <w:p>
      <w:pPr>
        <w:spacing w:after="110" w:line="288"/>
        <w:jc w:val="left"/>
      </w:pPr>
      <w:r>
        <w:rPr>
          <w:rFonts w:ascii="Arial" w:cs="Arial" w:eastAsia="Arial" w:hAnsi="Arial"/>
        </w:rPr>
        <w:t xml:space="preserve">Le statut d'un dossier détermine ce que l'on peut modifier. Il change uniquement par les boutons d'action situés en haut du dossier.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4"/>
        <w:gridCol w:w="5079"/>
        <w:gridCol w:w="2345"/>
      </w:tblGrid>
      <w:tr>
        <w:trPr>
          <w:cantSplit/>
          <w:tblHeader/>
        </w:trPr>
        <w:tc>
          <w:tcPr>
            <w:tcW w:type="dxa" w:w="2214"/>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Statut affiché</w:t>
            </w:r>
          </w:p>
        </w:tc>
        <w:tc>
          <w:tcPr>
            <w:tcW w:type="dxa" w:w="5079"/>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Signification</w:t>
            </w:r>
          </w:p>
        </w:tc>
        <w:tc>
          <w:tcPr>
            <w:tcW w:type="dxa" w:w="2345"/>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Qui agit ?</w:t>
            </w:r>
          </w:p>
        </w:tc>
      </w:tr>
      <w:tr>
        <w:trPr>
          <w:cantSplit/>
        </w:trPr>
        <w:tc>
          <w:tcPr>
            <w:tcW w:type="dxa" w:w="2214"/>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En cours d'évaluation</w:t>
            </w:r>
          </w:p>
        </w:tc>
        <w:tc>
          <w:tcPr>
            <w:tcW w:type="dxa" w:w="5079"/>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Le chargé d'affaires complète le dossier. C'est le seul statut où l'identification, la catégorisation, les check-lists et le climat sont modifiables.</w:t>
            </w:r>
          </w:p>
        </w:tc>
        <w:tc>
          <w:tcPr>
            <w:tcW w:type="dxa" w:w="2345"/>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Chargé d'affaires</w:t>
            </w:r>
          </w:p>
        </w:tc>
      </w:tr>
      <w:tr>
        <w:trPr>
          <w:cantSplit/>
        </w:trPr>
        <w:tc>
          <w:tcPr>
            <w:tcW w:type="dxa" w:w="2214"/>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À valider</w:t>
            </w:r>
          </w:p>
        </w:tc>
        <w:tc>
          <w:tcPr>
            <w:tcW w:type="dxa" w:w="5079"/>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Le dossier est soumis ; il attend la revue du directeur.</w:t>
            </w:r>
          </w:p>
        </w:tc>
        <w:tc>
          <w:tcPr>
            <w:tcW w:type="dxa" w:w="2345"/>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Directeur de centre d'affaires</w:t>
            </w:r>
          </w:p>
        </w:tc>
      </w:tr>
      <w:tr>
        <w:trPr>
          <w:cantSplit/>
        </w:trPr>
        <w:tc>
          <w:tcPr>
            <w:tcW w:type="dxa" w:w="2214"/>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Validé — au comité</w:t>
            </w:r>
          </w:p>
        </w:tc>
        <w:tc>
          <w:tcPr>
            <w:tcW w:type="dxa" w:w="5079"/>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Le directeur a validé et </w:t>
            </w:r>
            <w:r>
              <w:rPr>
                <w:rFonts w:ascii="Arial" w:cs="Arial" w:eastAsia="Arial" w:hAnsi="Arial"/>
                <w:b/>
                <w:bCs/>
                <w:sz w:val="19"/>
                <w:szCs w:val="19"/>
              </w:rPr>
              <w:t xml:space="preserve">verrouillé</w:t>
            </w:r>
            <w:r>
              <w:rPr>
                <w:rFonts w:ascii="Arial" w:cs="Arial" w:eastAsia="Arial" w:hAnsi="Arial"/>
                <w:sz w:val="19"/>
                <w:szCs w:val="19"/>
              </w:rPr>
              <w:t xml:space="preserve"> le dossier jusqu'à la décision du comité.</w:t>
            </w:r>
          </w:p>
        </w:tc>
        <w:tc>
          <w:tcPr>
            <w:tcW w:type="dxa" w:w="2345"/>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Comité / chargé d'affaires (saisie de la décision)</w:t>
            </w:r>
          </w:p>
        </w:tc>
      </w:tr>
      <w:tr>
        <w:trPr>
          <w:cantSplit/>
        </w:trPr>
        <w:tc>
          <w:tcPr>
            <w:tcW w:type="dxa" w:w="2214"/>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Décidé</w:t>
            </w:r>
          </w:p>
        </w:tc>
        <w:tc>
          <w:tcPr>
            <w:tcW w:type="dxa" w:w="5079"/>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La décision du comité est enregistrée (accordé, rejeté ou ajourné).</w:t>
            </w:r>
          </w:p>
        </w:tc>
        <w:tc>
          <w:tcPr>
            <w:tcW w:type="dxa" w:w="2345"/>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Chargé d'affaires (démarrage du suivi)</w:t>
            </w:r>
          </w:p>
        </w:tc>
      </w:tr>
      <w:tr>
        <w:trPr>
          <w:cantSplit/>
        </w:trPr>
        <w:tc>
          <w:tcPr>
            <w:tcW w:type="dxa" w:w="2214"/>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En suivi</w:t>
            </w:r>
          </w:p>
        </w:tc>
        <w:tc>
          <w:tcPr>
            <w:tcW w:type="dxa" w:w="5079"/>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Le plan d'actions est suivi ; les visites de sites sont enregistrées.</w:t>
            </w:r>
          </w:p>
        </w:tc>
        <w:tc>
          <w:tcPr>
            <w:tcW w:type="dxa" w:w="2345"/>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Chargé d'affaires, directeur, RSE</w:t>
            </w:r>
          </w:p>
        </w:tc>
      </w:tr>
      <w:tr>
        <w:trPr>
          <w:cantSplit/>
        </w:trPr>
        <w:tc>
          <w:tcPr>
            <w:tcW w:type="dxa" w:w="2214"/>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Clôturé</w:t>
            </w:r>
          </w:p>
        </w:tc>
        <w:tc>
          <w:tcPr>
            <w:tcW w:type="dxa" w:w="5079"/>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Le suivi est terminé ; le dossier reste consultable et peut être rouvert.</w:t>
            </w:r>
          </w:p>
        </w:tc>
        <w:tc>
          <w:tcPr>
            <w:tcW w:type="dxa" w:w="2345"/>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Directeur</w:t>
            </w:r>
          </w:p>
        </w:tc>
      </w:tr>
      <w:tr>
        <w:trPr>
          <w:cantSplit/>
        </w:trPr>
        <w:tc>
          <w:tcPr>
            <w:tcW w:type="dxa" w:w="2214"/>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Annulé</w:t>
            </w:r>
          </w:p>
        </w:tc>
        <w:tc>
          <w:tcPr>
            <w:tcW w:type="dxa" w:w="5079"/>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Dossier abandonné avant décision, avec commentaire obligatoire.</w:t>
            </w:r>
          </w:p>
        </w:tc>
        <w:tc>
          <w:tcPr>
            <w:tcW w:type="dxa" w:w="2345"/>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Chargé d'affaires</w:t>
            </w:r>
          </w:p>
        </w:tc>
      </w:tr>
    </w:tbl>
    <w:p>
      <w:pPr>
        <w:spacing w:after="80"/>
      </w:pPr>
    </w:p>
    <w:tbl>
      <w:tblPr>
        <w:tblW w:type="dxa" w:w="9638"/>
        <w:tblBorders>
          <w:top w:val="none" w:color="FFFFFF" w:sz="0"/>
          <w:left w:val="single" w:color="2563A8"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563A8" w:sz="24"/>
              <w:bottom w:val="none" w:color="FFFFFF" w:sz="0"/>
              <w:right w:val="none" w:color="FFFFFF" w:sz="0"/>
            </w:tcBorders>
            <w:shd w:fill="EAF2FB" w:color="auto" w:val="clear"/>
            <w:tcMar>
              <w:top w:type="dxa" w:w="100"/>
              <w:left w:type="dxa" w:w="180"/>
              <w:bottom w:type="dxa" w:w="80"/>
              <w:right w:type="dxa" w:w="160"/>
            </w:tcMar>
          </w:tcPr>
          <w:p>
            <w:pPr>
              <w:keepNext/>
              <w:spacing w:after="40"/>
            </w:pPr>
            <w:r>
              <w:rPr>
                <w:rFonts w:ascii="Arial" w:cs="Arial" w:eastAsia="Arial" w:hAnsi="Arial"/>
                <w:b/>
                <w:bCs/>
                <w:color w:val="2563A8"/>
                <w:sz w:val="20"/>
                <w:szCs w:val="20"/>
              </w:rPr>
              <w:t xml:space="preserve">Retour possible</w:t>
            </w:r>
          </w:p>
          <w:p>
            <w:pPr>
              <w:spacing w:after="40" w:line="270"/>
            </w:pPr>
            <w:r>
              <w:rPr>
                <w:rFonts w:ascii="Arial" w:cs="Arial" w:eastAsia="Arial" w:hAnsi="Arial"/>
                <w:sz w:val="20"/>
                <w:szCs w:val="20"/>
              </w:rPr>
              <w:t xml:space="preserve">Le directeur peut </w:t>
            </w:r>
            <w:r>
              <w:rPr>
                <w:rFonts w:ascii="Arial" w:cs="Arial" w:eastAsia="Arial" w:hAnsi="Arial"/>
                <w:b/>
                <w:bCs/>
                <w:sz w:val="20"/>
                <w:szCs w:val="20"/>
              </w:rPr>
              <w:t xml:space="preserve">retourner</w:t>
            </w:r>
            <w:r>
              <w:rPr>
                <w:rFonts w:ascii="Arial" w:cs="Arial" w:eastAsia="Arial" w:hAnsi="Arial"/>
                <w:sz w:val="20"/>
                <w:szCs w:val="20"/>
              </w:rPr>
              <w:t xml:space="preserve"> un dossier au chargé d'affaires (statut « À valider » ou « Validé — au comité ») : le dossier repasse « En cours d'évaluation » et le chargé est notifié du commentaire.</w:t>
            </w:r>
          </w:p>
        </w:tc>
      </w:tr>
    </w:tbl>
    <w:p>
      <w:pPr>
        <w:pStyle w:val="Heading2"/>
        <w:keepNext/>
      </w:pPr>
      <w:bookmarkStart w:name="t6" w:id="1"/>
      <w:r>
        <w:rPr>
          <w:rFonts w:ascii="Arial" w:cs="Arial" w:eastAsia="Arial" w:hAnsi="Arial"/>
        </w:rPr>
        <w:t xml:space="preserve">1.5 Qui fait quoi ? Les rôles</w:t>
      </w:r>
      <w:bookmarkEnd w:id="1"/>
    </w:p>
    <w:p>
      <w:pPr>
        <w:spacing w:after="110" w:line="288"/>
        <w:jc w:val="left"/>
      </w:pPr>
      <w:r>
        <w:rPr>
          <w:rFonts w:ascii="Arial" w:cs="Arial" w:eastAsia="Arial" w:hAnsi="Arial"/>
        </w:rPr>
        <w:t xml:space="preserve">Chaque utilisateur possède un </w:t>
      </w:r>
      <w:r>
        <w:rPr>
          <w:rFonts w:ascii="Arial" w:cs="Arial" w:eastAsia="Arial" w:hAnsi="Arial"/>
          <w:b/>
          <w:bCs/>
        </w:rPr>
        <w:t xml:space="preserve">rôle</w:t>
      </w:r>
      <w:r>
        <w:rPr>
          <w:rFonts w:ascii="Arial" w:cs="Arial" w:eastAsia="Arial" w:hAnsi="Arial"/>
        </w:rPr>
        <w:t xml:space="preserve">, rattaché à une </w:t>
      </w:r>
      <w:r>
        <w:rPr>
          <w:rFonts w:ascii="Arial" w:cs="Arial" w:eastAsia="Arial" w:hAnsi="Arial"/>
          <w:b/>
          <w:bCs/>
        </w:rPr>
        <w:t xml:space="preserve">entité</w:t>
      </w:r>
      <w:r>
        <w:rPr>
          <w:rFonts w:ascii="Arial" w:cs="Arial" w:eastAsia="Arial" w:hAnsi="Arial"/>
        </w:rPr>
        <w:t xml:space="preserve"> (agence, centre d'affaires, banque régionale, filiale). Les droits d'un rôle sont paramétrables ; le tableau ci-dessous décrit les rôles livrés par défaut.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6"/>
        <w:gridCol w:w="6642"/>
      </w:tblGrid>
      <w:tr>
        <w:trPr>
          <w:cantSplit/>
          <w:tblHeader/>
        </w:trPr>
        <w:tc>
          <w:tcPr>
            <w:tcW w:type="dxa" w:w="2996"/>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Rôle</w:t>
            </w:r>
          </w:p>
        </w:tc>
        <w:tc>
          <w:tcPr>
            <w:tcW w:type="dxa" w:w="6642"/>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Missions dans l'outil</w:t>
            </w:r>
          </w:p>
        </w:tc>
      </w:tr>
      <w:tr>
        <w:trPr>
          <w:cantSplit/>
        </w:trPr>
        <w:tc>
          <w:tcPr>
            <w:tcW w:type="dxa" w:w="299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Chargé d'affaires / clientèle / Analyste</w:t>
            </w:r>
          </w:p>
        </w:tc>
        <w:tc>
          <w:tcPr>
            <w:tcW w:type="dxa" w:w="6642"/>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Crée et instruit les dossiers (étapes 1 à 6), soumet à validation, saisit la décision du comité, négocie le plan d'actions, enregistre les visites de sites.</w:t>
            </w:r>
          </w:p>
        </w:tc>
      </w:tr>
      <w:tr>
        <w:trPr>
          <w:cantSplit/>
        </w:trPr>
        <w:tc>
          <w:tcPr>
            <w:tcW w:type="dxa" w:w="299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Directeur de centre d'affaires / succursale</w:t>
            </w:r>
          </w:p>
        </w:tc>
        <w:tc>
          <w:tcPr>
            <w:tcW w:type="dxa" w:w="6642"/>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Valide et verrouille les dossiers, ou les retourne ; clôture les dossiers ; consulte le reporting et le volet climat de son périmètre.</w:t>
            </w:r>
          </w:p>
        </w:tc>
      </w:tr>
      <w:tr>
        <w:trPr>
          <w:cantSplit/>
        </w:trPr>
        <w:tc>
          <w:tcPr>
            <w:tcW w:type="dxa" w:w="299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Responsable Social et Environnemental (RSE)</w:t>
            </w:r>
          </w:p>
        </w:tc>
        <w:tc>
          <w:tcPr>
            <w:tcW w:type="dxa" w:w="6642"/>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Reçoit les notifications réglementaires, peut reclasser un dossier, pilote le reporting et le volet climat, fait évoluer les référentiels (questionnaires, liste d'exclusion, secteurs, régions).</w:t>
            </w:r>
          </w:p>
        </w:tc>
      </w:tr>
      <w:tr>
        <w:trPr>
          <w:cantSplit/>
        </w:trPr>
        <w:tc>
          <w:tcPr>
            <w:tcW w:type="dxa" w:w="299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Comité de crédit</w:t>
            </w:r>
          </w:p>
        </w:tc>
        <w:tc>
          <w:tcPr>
            <w:tcW w:type="dxa" w:w="6642"/>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Consulte les dossiers et enregistre la décision du comité.</w:t>
            </w:r>
          </w:p>
        </w:tc>
      </w:tr>
      <w:tr>
        <w:trPr>
          <w:cantSplit/>
        </w:trPr>
        <w:tc>
          <w:tcPr>
            <w:tcW w:type="dxa" w:w="299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Fonction Risques Groupe</w:t>
            </w:r>
          </w:p>
        </w:tc>
        <w:tc>
          <w:tcPr>
            <w:tcW w:type="dxa" w:w="6642"/>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Consultation des dossiers, reporting, volet climat et journal d'audit.</w:t>
            </w:r>
          </w:p>
        </w:tc>
      </w:tr>
      <w:tr>
        <w:trPr>
          <w:cantSplit/>
        </w:trPr>
        <w:tc>
          <w:tcPr>
            <w:tcW w:type="dxa" w:w="299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Contrôle / Audit</w:t>
            </w:r>
          </w:p>
        </w:tc>
        <w:tc>
          <w:tcPr>
            <w:tcW w:type="dxa" w:w="6642"/>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Consultation des dossiers, reporting, volet climat et journal d'audit (lecture seule).</w:t>
            </w:r>
          </w:p>
        </w:tc>
      </w:tr>
      <w:tr>
        <w:trPr>
          <w:cantSplit/>
        </w:trPr>
        <w:tc>
          <w:tcPr>
            <w:tcW w:type="dxa" w:w="299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Consultation</w:t>
            </w:r>
          </w:p>
        </w:tc>
        <w:tc>
          <w:tcPr>
            <w:tcW w:type="dxa" w:w="6642"/>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Lecture des dossiers uniquement.</w:t>
            </w:r>
          </w:p>
        </w:tc>
      </w:tr>
      <w:tr>
        <w:trPr>
          <w:cantSplit/>
        </w:trPr>
        <w:tc>
          <w:tcPr>
            <w:tcW w:type="dxa" w:w="299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Administrateur système</w:t>
            </w:r>
          </w:p>
        </w:tc>
        <w:tc>
          <w:tcPr>
            <w:tcW w:type="dxa" w:w="6642"/>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Tous les droits, dont le paramétrage de l'outil, la gestion des utilisateurs et des entités, l'intégration et la base de données.</w:t>
            </w:r>
          </w:p>
        </w:tc>
      </w:tr>
    </w:tbl>
    <w:p>
      <w:pPr>
        <w:pStyle w:val="Heading2"/>
        <w:keepNext/>
      </w:pPr>
      <w:bookmarkStart w:name="t7" w:id="1"/>
      <w:r>
        <w:rPr>
          <w:rFonts w:ascii="Arial" w:cs="Arial" w:eastAsia="Arial" w:hAnsi="Arial"/>
        </w:rPr>
        <w:t xml:space="preserve">1.6 Principes à connaître</w:t>
      </w:r>
      <w:bookmarkEnd w:id="1"/>
    </w:p>
    <w:p>
      <w:pPr>
        <w:pStyle w:val="ListParagraph"/>
        <w:numPr>
          <w:ilvl w:val="0"/>
          <w:numId w:val="2"/>
        </w:numPr>
        <w:spacing w:after="50" w:line="276"/>
      </w:pPr>
      <w:r>
        <w:rPr>
          <w:rFonts w:ascii="Arial" w:cs="Arial" w:eastAsia="Arial" w:hAnsi="Arial"/>
          <w:b/>
          <w:bCs/>
        </w:rPr>
        <w:t xml:space="preserve">Séparation des fonctions</w:t>
      </w:r>
      <w:r>
        <w:rPr>
          <w:rFonts w:ascii="Arial" w:cs="Arial" w:eastAsia="Arial" w:hAnsi="Arial"/>
        </w:rPr>
        <w:t xml:space="preserve"> : la personne qui valide un dossier doit être différente du chargé d'affaires qui l'a instruit.</w:t>
      </w:r>
    </w:p>
    <w:p>
      <w:pPr>
        <w:pStyle w:val="ListParagraph"/>
        <w:numPr>
          <w:ilvl w:val="0"/>
          <w:numId w:val="2"/>
        </w:numPr>
        <w:spacing w:after="50" w:line="276"/>
      </w:pPr>
      <w:r>
        <w:rPr>
          <w:rFonts w:ascii="Arial" w:cs="Arial" w:eastAsia="Arial" w:hAnsi="Arial"/>
          <w:b/>
          <w:bCs/>
        </w:rPr>
        <w:t xml:space="preserve">Périmètre</w:t>
      </w:r>
      <w:r>
        <w:rPr>
          <w:rFonts w:ascii="Arial" w:cs="Arial" w:eastAsia="Arial" w:hAnsi="Arial"/>
        </w:rPr>
        <w:t xml:space="preserve"> : vous voyez les dossiers de votre entité et de ses filiales. Un dossier d'une autre entité est introuvable pour vous, même si vous en connaissez l'adresse.</w:t>
      </w:r>
    </w:p>
    <w:p>
      <w:pPr>
        <w:pStyle w:val="ListParagraph"/>
        <w:numPr>
          <w:ilvl w:val="0"/>
          <w:numId w:val="2"/>
        </w:numPr>
        <w:spacing w:after="50" w:line="276"/>
      </w:pPr>
      <w:r>
        <w:rPr>
          <w:rFonts w:ascii="Arial" w:cs="Arial" w:eastAsia="Arial" w:hAnsi="Arial"/>
          <w:b/>
          <w:bCs/>
        </w:rPr>
        <w:t xml:space="preserve">Verrouillage</w:t>
      </w:r>
      <w:r>
        <w:rPr>
          <w:rFonts w:ascii="Arial" w:cs="Arial" w:eastAsia="Arial" w:hAnsi="Arial"/>
        </w:rPr>
        <w:t xml:space="preserve"> : après validation, le dossier ne peut plus être modifié jusqu'à la décision du comité.</w:t>
      </w:r>
    </w:p>
    <w:p>
      <w:pPr>
        <w:pStyle w:val="ListParagraph"/>
        <w:numPr>
          <w:ilvl w:val="0"/>
          <w:numId w:val="2"/>
        </w:numPr>
        <w:spacing w:after="50" w:line="276"/>
      </w:pPr>
      <w:r>
        <w:rPr>
          <w:rFonts w:ascii="Arial" w:cs="Arial" w:eastAsia="Arial" w:hAnsi="Arial"/>
          <w:b/>
          <w:bCs/>
        </w:rPr>
        <w:t xml:space="preserve">Traçabilité</w:t>
      </w:r>
      <w:r>
        <w:rPr>
          <w:rFonts w:ascii="Arial" w:cs="Arial" w:eastAsia="Arial" w:hAnsi="Arial"/>
        </w:rPr>
        <w:t xml:space="preserve"> : connexions, saisies, validations et décisions sont consignées dans le journal d'audit, avec l'auteur, la date et l'adresse réseau.</w:t>
      </w:r>
    </w:p>
    <w:p>
      <w:pPr>
        <w:pStyle w:val="ListParagraph"/>
        <w:numPr>
          <w:ilvl w:val="0"/>
          <w:numId w:val="2"/>
        </w:numPr>
        <w:spacing w:after="50" w:line="276"/>
      </w:pPr>
      <w:r>
        <w:rPr>
          <w:rFonts w:ascii="Arial" w:cs="Arial" w:eastAsia="Arial" w:hAnsi="Arial"/>
          <w:b/>
          <w:bCs/>
        </w:rPr>
        <w:t xml:space="preserve">Multi-langue, multi-devise</w:t>
      </w:r>
      <w:r>
        <w:rPr>
          <w:rFonts w:ascii="Arial" w:cs="Arial" w:eastAsia="Arial" w:hAnsi="Arial"/>
        </w:rPr>
        <w:t xml:space="preserve"> : l'interface est disponible en français, anglais et arabe (écriture de droite à gauche) ; les montants peuvent être affichés dans la devise de votre choix.</w:t>
      </w:r>
    </w:p>
    <w:tbl>
      <w:tblPr>
        <w:tblW w:type="dxa" w:w="9638"/>
        <w:tblBorders>
          <w:top w:val="none" w:color="FFFFFF" w:sz="0"/>
          <w:left w:val="single" w:color="6B728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6B7280" w:sz="24"/>
              <w:bottom w:val="none" w:color="FFFFFF" w:sz="0"/>
              <w:right w:val="none" w:color="FFFFFF" w:sz="0"/>
            </w:tcBorders>
            <w:shd w:fill="F1F2F4" w:color="auto" w:val="clear"/>
            <w:tcMar>
              <w:top w:type="dxa" w:w="100"/>
              <w:left w:type="dxa" w:w="180"/>
              <w:bottom w:type="dxa" w:w="80"/>
              <w:right w:type="dxa" w:w="160"/>
            </w:tcMar>
          </w:tcPr>
          <w:p>
            <w:pPr>
              <w:keepNext/>
              <w:spacing w:after="40"/>
            </w:pPr>
            <w:r>
              <w:rPr>
                <w:rFonts w:ascii="Arial" w:cs="Arial" w:eastAsia="Arial" w:hAnsi="Arial"/>
                <w:b/>
                <w:bCs/>
                <w:color w:val="6B7280"/>
                <w:sz w:val="20"/>
                <w:szCs w:val="20"/>
              </w:rPr>
              <w:t xml:space="preserve">Référence réglementaire</w:t>
            </w:r>
          </w:p>
          <w:p>
            <w:pPr>
              <w:spacing w:after="40" w:line="270"/>
            </w:pPr>
            <w:r>
              <w:rPr>
                <w:rFonts w:ascii="Arial" w:cs="Arial" w:eastAsia="Arial" w:hAnsi="Arial"/>
                <w:sz w:val="20"/>
                <w:szCs w:val="20"/>
              </w:rPr>
              <w:t xml:space="preserve">Les captures d'écran de ce guide utilisent des </w:t>
            </w:r>
            <w:r>
              <w:rPr>
                <w:rFonts w:ascii="Arial" w:cs="Arial" w:eastAsia="Arial" w:hAnsi="Arial"/>
                <w:b/>
                <w:bCs/>
                <w:sz w:val="20"/>
                <w:szCs w:val="20"/>
              </w:rPr>
              <w:t xml:space="preserve">données de démonstration</w:t>
            </w:r>
            <w:r>
              <w:rPr>
                <w:rFonts w:ascii="Arial" w:cs="Arial" w:eastAsia="Arial" w:hAnsi="Arial"/>
                <w:sz w:val="20"/>
                <w:szCs w:val="20"/>
              </w:rPr>
              <w:t xml:space="preserve"> (clients et banques fictifs). Les montants, références et dates affichés chez vous seront différents.</w:t>
            </w:r>
          </w:p>
        </w:tc>
      </w:tr>
    </w:tbl>
    <w:p>
      <w:pPr>
        <w:pStyle w:val="Heading1"/>
        <w:pageBreakBefore/>
      </w:pPr>
      <w:bookmarkStart w:name="t8" w:id="1"/>
      <w:r>
        <w:rPr>
          <w:rFonts w:ascii="Arial" w:cs="Arial" w:eastAsia="Arial" w:hAnsi="Arial"/>
        </w:rPr>
        <w:t xml:space="preserve">2. Prise en main</w:t>
      </w:r>
      <w:bookmarkEnd w:id="1"/>
    </w:p>
    <w:p>
      <w:pPr>
        <w:pStyle w:val="Heading2"/>
        <w:keepNext/>
      </w:pPr>
      <w:bookmarkStart w:name="t9" w:id="1"/>
      <w:r>
        <w:rPr>
          <w:rFonts w:ascii="Arial" w:cs="Arial" w:eastAsia="Arial" w:hAnsi="Arial"/>
        </w:rPr>
        <w:t xml:space="preserve">2.1 Se connecter</w:t>
      </w:r>
      <w:bookmarkEnd w:id="1"/>
    </w:p>
    <w:p>
      <w:pPr>
        <w:spacing w:after="110" w:line="288"/>
        <w:jc w:val="left"/>
      </w:pPr>
      <w:r>
        <w:rPr>
          <w:rFonts w:ascii="Arial" w:cs="Arial" w:eastAsia="Arial" w:hAnsi="Arial"/>
        </w:rPr>
        <w:t xml:space="preserve">Ouvrez l'adresse de l'outil communiquée par votre administrateur. L'écran de connexion présente l'outil à gauche et le formulaire à droite.</w:t>
      </w:r>
    </w:p>
    <w:p>
      <w:pPr>
        <w:keepNext/>
        <w:spacing w:after="60" w:before="120"/>
        <w:jc w:val="center"/>
      </w:pPr>
      <w:r>
        <w:drawing>
          <wp:inline distT="0" distB="0" distL="0" distR="0">
            <wp:extent cx="6096000" cy="3514725"/>
            <wp:effectExtent t="0" r="0" b="0" l="0"/>
            <wp:docPr id="1" name="01-connexion" descr="Écran de connexion" title="Écran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51472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1 — Écran de connexion</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Adresse électronique</w:t>
            </w:r>
            <w:r>
              <w:rPr>
                <w:rFonts w:ascii="Arial" w:cs="Arial" w:eastAsia="Arial" w:hAnsi="Arial"/>
                <w:sz w:val="19"/>
                <w:szCs w:val="19"/>
              </w:rPr>
              <w:t xml:space="preserve"> : l'adresse professionnelle créée par l'administrateur.</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Mot de passe</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Se connecter</w:t>
            </w:r>
            <w:r>
              <w:rPr>
                <w:rFonts w:ascii="Arial" w:cs="Arial" w:eastAsia="Arial" w:hAnsi="Arial"/>
                <w:sz w:val="19"/>
                <w:szCs w:val="19"/>
              </w:rPr>
              <w:t xml:space="preserve"> : valide la saisie. Le sélecteur de langue en haut à droite permet de changer la langue avant la connexion.</w:t>
            </w:r>
          </w:p>
        </w:tc>
      </w:tr>
    </w:tbl>
    <w:p>
      <w:pPr>
        <w:spacing w:after="140"/>
      </w:pP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FF5DD" w:color="auto" w:val="clear"/>
            <w:tcMar>
              <w:top w:type="dxa" w:w="100"/>
              <w:left w:type="dxa" w:w="180"/>
              <w:bottom w:type="dxa" w:w="80"/>
              <w:right w:type="dxa" w:w="160"/>
            </w:tcMar>
          </w:tcPr>
          <w:p>
            <w:pPr>
              <w:keepNext/>
              <w:spacing w:after="40"/>
            </w:pPr>
            <w:r>
              <w:rPr>
                <w:rFonts w:ascii="Arial" w:cs="Arial" w:eastAsia="Arial" w:hAnsi="Arial"/>
                <w:b/>
                <w:bCs/>
                <w:color w:val="B7791F"/>
                <w:sz w:val="20"/>
                <w:szCs w:val="20"/>
              </w:rPr>
              <w:t xml:space="preserve">Sécurité</w:t>
            </w:r>
          </w:p>
          <w:p>
            <w:pPr>
              <w:spacing w:after="40" w:line="270"/>
            </w:pPr>
            <w:r>
              <w:rPr>
                <w:rFonts w:ascii="Arial" w:cs="Arial" w:eastAsia="Arial" w:hAnsi="Arial"/>
                <w:sz w:val="20"/>
                <w:szCs w:val="20"/>
              </w:rPr>
              <w:t xml:space="preserve">Après </w:t>
            </w:r>
            <w:r>
              <w:rPr>
                <w:rFonts w:ascii="Arial" w:cs="Arial" w:eastAsia="Arial" w:hAnsi="Arial"/>
                <w:b/>
                <w:bCs/>
                <w:sz w:val="20"/>
                <w:szCs w:val="20"/>
              </w:rPr>
              <w:t xml:space="preserve">5 tentatives infructueuses</w:t>
            </w:r>
            <w:r>
              <w:rPr>
                <w:rFonts w:ascii="Arial" w:cs="Arial" w:eastAsia="Arial" w:hAnsi="Arial"/>
                <w:sz w:val="20"/>
                <w:szCs w:val="20"/>
              </w:rPr>
              <w:t xml:space="preserve">, le compte est verrouillé pendant </w:t>
            </w:r>
            <w:r>
              <w:rPr>
                <w:rFonts w:ascii="Arial" w:cs="Arial" w:eastAsia="Arial" w:hAnsi="Arial"/>
                <w:b/>
                <w:bCs/>
                <w:sz w:val="20"/>
                <w:szCs w:val="20"/>
              </w:rPr>
              <w:t xml:space="preserve">15 minutes</w:t>
            </w:r>
            <w:r>
              <w:rPr>
                <w:rFonts w:ascii="Arial" w:cs="Arial" w:eastAsia="Arial" w:hAnsi="Arial"/>
                <w:sz w:val="20"/>
                <w:szCs w:val="20"/>
              </w:rPr>
              <w:t xml:space="preserve"> (valeurs paramétrables). Si vous avez oublié votre mot de passe, demandez à l'administrateur de le réinitialiser : un nouveau mot de passe provisoire vous sera communiqué.</w:t>
            </w:r>
          </w:p>
          <w:p>
            <w:pPr>
              <w:spacing w:after="40" w:line="270"/>
            </w:pPr>
            <w:r>
              <w:rPr>
                <w:rFonts w:ascii="Arial" w:cs="Arial" w:eastAsia="Arial" w:hAnsi="Arial"/>
                <w:sz w:val="20"/>
                <w:szCs w:val="20"/>
              </w:rPr>
              <w:t xml:space="preserve">Votre session expire après </w:t>
            </w:r>
            <w:r>
              <w:rPr>
                <w:rFonts w:ascii="Arial" w:cs="Arial" w:eastAsia="Arial" w:hAnsi="Arial"/>
                <w:b/>
                <w:bCs/>
                <w:sz w:val="20"/>
                <w:szCs w:val="20"/>
              </w:rPr>
              <w:t xml:space="preserve">10 heures</w:t>
            </w:r>
            <w:r>
              <w:rPr>
                <w:rFonts w:ascii="Arial" w:cs="Arial" w:eastAsia="Arial" w:hAnsi="Arial"/>
                <w:sz w:val="20"/>
                <w:szCs w:val="20"/>
              </w:rPr>
              <w:t xml:space="preserve"> d'inactivité ou de présence continue ; il suffit alors de se reconnecter.</w:t>
            </w:r>
          </w:p>
        </w:tc>
      </w:tr>
    </w:tbl>
    <w:p>
      <w:pPr>
        <w:pStyle w:val="Heading2"/>
        <w:keepNext/>
      </w:pPr>
      <w:bookmarkStart w:name="t10" w:id="1"/>
      <w:r>
        <w:rPr>
          <w:rFonts w:ascii="Arial" w:cs="Arial" w:eastAsia="Arial" w:hAnsi="Arial"/>
        </w:rPr>
        <w:t xml:space="preserve">2.2 Premier accès et mot de passe provisoire</w:t>
      </w:r>
      <w:bookmarkEnd w:id="1"/>
    </w:p>
    <w:p>
      <w:pPr>
        <w:spacing w:after="110" w:line="288"/>
        <w:jc w:val="left"/>
      </w:pPr>
      <w:r>
        <w:rPr>
          <w:rFonts w:ascii="Arial" w:cs="Arial" w:eastAsia="Arial" w:hAnsi="Arial"/>
        </w:rPr>
        <w:t xml:space="preserve">À la première connexion — et après chaque réinitialisation — le mot de passe fourni par l'administrateur est </w:t>
      </w:r>
      <w:r>
        <w:rPr>
          <w:rFonts w:ascii="Arial" w:cs="Arial" w:eastAsia="Arial" w:hAnsi="Arial"/>
          <w:b/>
          <w:bCs/>
        </w:rPr>
        <w:t xml:space="preserve">provisoire</w:t>
      </w:r>
      <w:r>
        <w:rPr>
          <w:rFonts w:ascii="Arial" w:cs="Arial" w:eastAsia="Arial" w:hAnsi="Arial"/>
        </w:rPr>
        <w:t xml:space="preserve">. L'outil vous demande immédiatement d'en choisir un nouveau ; aucun autre écran n'est accessible avant ce changement.</w:t>
      </w:r>
    </w:p>
    <w:p>
      <w:pPr>
        <w:keepNext/>
        <w:spacing w:after="60" w:before="120"/>
        <w:jc w:val="center"/>
      </w:pPr>
      <w:r>
        <w:drawing>
          <wp:inline distT="0" distB="0" distL="0" distR="0">
            <wp:extent cx="6096000" cy="3514725"/>
            <wp:effectExtent t="0" r="0" b="0" l="0"/>
            <wp:docPr id="1" name="02-premier-mot-de-passe" descr="Changement du mot de passe provisoire" title="Changement du mot de passe proviso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51472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2 — Changement du mot de passe provisoire</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Bandeau rappelant que le mot de passe est provisoire.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Mot de passe actuel</w:t>
            </w:r>
            <w:r>
              <w:rPr>
                <w:rFonts w:ascii="Arial" w:cs="Arial" w:eastAsia="Arial" w:hAnsi="Arial"/>
                <w:sz w:val="19"/>
                <w:szCs w:val="19"/>
              </w:rPr>
              <w:t xml:space="preserve"> : le mot de passe provisoire reçu.</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Nouveau mot de passe</w:t>
            </w:r>
            <w:r>
              <w:rPr>
                <w:rFonts w:ascii="Arial" w:cs="Arial" w:eastAsia="Arial" w:hAnsi="Arial"/>
                <w:sz w:val="19"/>
                <w:szCs w:val="19"/>
              </w:rPr>
              <w:t xml:space="preserve"> : au moins </w:t>
            </w:r>
            <w:r>
              <w:rPr>
                <w:rFonts w:ascii="Arial" w:cs="Arial" w:eastAsia="Arial" w:hAnsi="Arial"/>
                <w:b/>
                <w:bCs/>
                <w:sz w:val="19"/>
                <w:szCs w:val="19"/>
              </w:rPr>
              <w:t xml:space="preserve">12 caractères</w:t>
            </w:r>
            <w:r>
              <w:rPr>
                <w:rFonts w:ascii="Arial" w:cs="Arial" w:eastAsia="Arial" w:hAnsi="Arial"/>
                <w:sz w:val="19"/>
                <w:szCs w:val="19"/>
              </w:rPr>
              <w:t xml:space="preserve">, avec une majuscule, une minuscule, un chiffre et un caractère spécial. Il ne doit pas contenir votre identifiant ni être identique à l'ancien.</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Confirmation</w:t>
            </w:r>
            <w:r>
              <w:rPr>
                <w:rFonts w:ascii="Arial" w:cs="Arial" w:eastAsia="Arial" w:hAnsi="Arial"/>
                <w:sz w:val="19"/>
                <w:szCs w:val="19"/>
              </w:rPr>
              <w:t xml:space="preserve"> : saisir une seconde fois le nouveau mot de passe.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5</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Enregistrer</w:t>
            </w:r>
            <w:r>
              <w:rPr>
                <w:rFonts w:ascii="Arial" w:cs="Arial" w:eastAsia="Arial" w:hAnsi="Arial"/>
                <w:sz w:val="19"/>
                <w:szCs w:val="19"/>
              </w:rPr>
              <w:t xml:space="preserve"> : vous accédez ensuite à l'outil.</w:t>
            </w:r>
          </w:p>
        </w:tc>
      </w:tr>
    </w:tbl>
    <w:p>
      <w:pPr>
        <w:spacing w:after="140"/>
      </w:pPr>
    </w:p>
    <w:p>
      <w:pPr>
        <w:spacing w:after="110" w:line="288"/>
        <w:jc w:val="left"/>
      </w:pPr>
      <w:r>
        <w:rPr>
          <w:rFonts w:ascii="Arial" w:cs="Arial" w:eastAsia="Arial" w:hAnsi="Arial"/>
        </w:rPr>
        <w:t xml:space="preserve">Vous pouvez changer votre mot de passe à tout moment depuis </w:t>
      </w:r>
      <w:r>
        <w:rPr>
          <w:rFonts w:ascii="Arial" w:cs="Arial" w:eastAsia="Arial" w:hAnsi="Arial"/>
          <w:b/>
          <w:bCs/>
        </w:rPr>
        <w:t xml:space="preserve">Mon profil</w:t>
      </w:r>
      <w:r>
        <w:rPr>
          <w:rFonts w:ascii="Arial" w:cs="Arial" w:eastAsia="Arial" w:hAnsi="Arial"/>
        </w:rPr>
        <w:t xml:space="preserve"> (voir plus loin).</w:t>
      </w:r>
    </w:p>
    <w:p>
      <w:pPr>
        <w:pStyle w:val="Heading2"/>
        <w:keepNext/>
      </w:pPr>
      <w:bookmarkStart w:name="t11" w:id="1"/>
      <w:r>
        <w:rPr>
          <w:rFonts w:ascii="Arial" w:cs="Arial" w:eastAsia="Arial" w:hAnsi="Arial"/>
        </w:rPr>
        <w:t xml:space="preserve">2.3 Découvrir l'écran</w:t>
      </w:r>
      <w:bookmarkEnd w:id="1"/>
    </w:p>
    <w:p>
      <w:pPr>
        <w:spacing w:after="110" w:line="288"/>
        <w:jc w:val="left"/>
      </w:pPr>
      <w:r>
        <w:rPr>
          <w:rFonts w:ascii="Arial" w:cs="Arial" w:eastAsia="Arial" w:hAnsi="Arial"/>
        </w:rPr>
        <w:t xml:space="preserve">Toutes les pages partagent la même organisation : un </w:t>
      </w:r>
      <w:r>
        <w:rPr>
          <w:rFonts w:ascii="Arial" w:cs="Arial" w:eastAsia="Arial" w:hAnsi="Arial"/>
          <w:b/>
          <w:bCs/>
        </w:rPr>
        <w:t xml:space="preserve">menu latéral</w:t>
      </w:r>
      <w:r>
        <w:rPr>
          <w:rFonts w:ascii="Arial" w:cs="Arial" w:eastAsia="Arial" w:hAnsi="Arial"/>
        </w:rPr>
        <w:t xml:space="preserve"> à gauche, une </w:t>
      </w:r>
      <w:r>
        <w:rPr>
          <w:rFonts w:ascii="Arial" w:cs="Arial" w:eastAsia="Arial" w:hAnsi="Arial"/>
          <w:b/>
          <w:bCs/>
        </w:rPr>
        <w:t xml:space="preserve">barre supérieure</w:t>
      </w:r>
      <w:r>
        <w:rPr>
          <w:rFonts w:ascii="Arial" w:cs="Arial" w:eastAsia="Arial" w:hAnsi="Arial"/>
        </w:rPr>
        <w:t xml:space="preserve"> et la </w:t>
      </w:r>
      <w:r>
        <w:rPr>
          <w:rFonts w:ascii="Arial" w:cs="Arial" w:eastAsia="Arial" w:hAnsi="Arial"/>
          <w:b/>
          <w:bCs/>
        </w:rPr>
        <w:t xml:space="preserve">zone de travail</w:t>
      </w:r>
      <w:r>
        <w:rPr>
          <w:rFonts w:ascii="Arial" w:cs="Arial" w:eastAsia="Arial" w:hAnsi="Arial"/>
        </w:rPr>
        <w:t xml:space="preserve">. Le menu n'affiche que les rubriques auxquelles votre rôle donne droit.</w:t>
      </w:r>
    </w:p>
    <w:p>
      <w:pPr>
        <w:keepNext/>
        <w:spacing w:after="60" w:before="120"/>
        <w:jc w:val="center"/>
      </w:pPr>
      <w:r>
        <w:drawing>
          <wp:inline distT="0" distB="0" distL="0" distR="0">
            <wp:extent cx="6096000" cy="4029075"/>
            <wp:effectExtent t="0" r="0" b="0" l="0"/>
            <wp:docPr id="1" name="03-ecran-general" descr="Tableau de bord du chargé d'affaires et éléments communs à toutes les pages" title="Tableau de bord du chargé d'affaires et éléments communs à toutes les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02907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3 — Tableau de bord du chargé d'affaires et éléments communs à toutes les pages</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Menu latéral</w:t>
            </w:r>
            <w:r>
              <w:rPr>
                <w:rFonts w:ascii="Arial" w:cs="Arial" w:eastAsia="Arial" w:hAnsi="Arial"/>
                <w:sz w:val="19"/>
                <w:szCs w:val="19"/>
              </w:rPr>
              <w:t xml:space="preserve"> : Suivi (tableau de bord, notifications), Dossiers (dossiers SGES, clients, plans d'actions, visites de sites), Pilotage (reporting, climat), Référence (cadre réglementaire, journal d'audit) et Paramétrage pour les administrateurs. Un compteur rouge ou gris signale ce qui attend une action.</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Nouvelle évaluation</w:t>
            </w:r>
            <w:r>
              <w:rPr>
                <w:rFonts w:ascii="Arial" w:cs="Arial" w:eastAsia="Arial" w:hAnsi="Arial"/>
                <w:sz w:val="19"/>
                <w:szCs w:val="19"/>
              </w:rPr>
              <w:t xml:space="preserve"> : crée un dossier SGES (chapitre 3).</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Devise d'affichage</w:t>
            </w:r>
            <w:r>
              <w:rPr>
                <w:rFonts w:ascii="Arial" w:cs="Arial" w:eastAsia="Arial" w:hAnsi="Arial"/>
                <w:sz w:val="19"/>
                <w:szCs w:val="19"/>
              </w:rPr>
              <w:t xml:space="preserve"> : convertit les montants consolidés dans la devise choisie.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Langue</w:t>
            </w:r>
            <w:r>
              <w:rPr>
                <w:rFonts w:ascii="Arial" w:cs="Arial" w:eastAsia="Arial" w:hAnsi="Arial"/>
                <w:sz w:val="19"/>
                <w:szCs w:val="19"/>
              </w:rPr>
              <w:t xml:space="preserve"> : français, English ou العربية.</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5</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Notifications</w:t>
            </w:r>
            <w:r>
              <w:rPr>
                <w:rFonts w:ascii="Arial" w:cs="Arial" w:eastAsia="Arial" w:hAnsi="Arial"/>
                <w:sz w:val="19"/>
                <w:szCs w:val="19"/>
              </w:rPr>
              <w:t xml:space="preserve"> : ouvre la liste de vos notifications ; la pastille indique le nombre de messages non lus.</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6</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Profil</w:t>
            </w:r>
            <w:r>
              <w:rPr>
                <w:rFonts w:ascii="Arial" w:cs="Arial" w:eastAsia="Arial" w:hAnsi="Arial"/>
                <w:sz w:val="19"/>
                <w:szCs w:val="19"/>
              </w:rPr>
              <w:t xml:space="preserve"> : votre nom, votre rôle, accès à « Mon profil » et à la déconnexion.</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7</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À traiter</w:t>
            </w:r>
            <w:r>
              <w:rPr>
                <w:rFonts w:ascii="Arial" w:cs="Arial" w:eastAsia="Arial" w:hAnsi="Arial"/>
                <w:sz w:val="19"/>
                <w:szCs w:val="19"/>
              </w:rPr>
              <w:t xml:space="preserve"> : ce qui demande votre action (évaluations en cours, décisions attendues, actions en retard, visites à planifier). Un clic sur une tuile ouvre la liste correspondante.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8</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Portefeuille évalué</w:t>
            </w:r>
            <w:r>
              <w:rPr>
                <w:rFonts w:ascii="Arial" w:cs="Arial" w:eastAsia="Arial" w:hAnsi="Arial"/>
                <w:sz w:val="19"/>
                <w:szCs w:val="19"/>
              </w:rPr>
              <w:t xml:space="preserve"> : lecture d'ensemble des dossiers de votre périmètre.</w:t>
            </w:r>
          </w:p>
        </w:tc>
      </w:tr>
    </w:tbl>
    <w:p>
      <w:pPr>
        <w:spacing w:after="140"/>
      </w:pPr>
    </w:p>
    <w:p>
      <w:pPr>
        <w:pStyle w:val="Heading2"/>
        <w:keepNext/>
      </w:pPr>
      <w:bookmarkStart w:name="t12" w:id="1"/>
      <w:r>
        <w:rPr>
          <w:rFonts w:ascii="Arial" w:cs="Arial" w:eastAsia="Arial" w:hAnsi="Arial"/>
        </w:rPr>
        <w:t xml:space="preserve">2.4 Langue, devise et préférences</w:t>
      </w:r>
      <w:bookmarkEnd w:id="1"/>
    </w:p>
    <w:p>
      <w:pPr>
        <w:spacing w:after="110" w:line="288"/>
        <w:jc w:val="left"/>
      </w:pPr>
      <w:r>
        <w:rPr>
          <w:rFonts w:ascii="Arial" w:cs="Arial" w:eastAsia="Arial" w:hAnsi="Arial"/>
        </w:rPr>
        <w:t xml:space="preserve">Depuis </w:t>
      </w:r>
      <w:r>
        <w:rPr>
          <w:rFonts w:ascii="Arial" w:cs="Arial" w:eastAsia="Arial" w:hAnsi="Arial"/>
          <w:b/>
          <w:bCs/>
        </w:rPr>
        <w:t xml:space="preserve">Mon profil</w:t>
      </w:r>
      <w:r>
        <w:rPr>
          <w:rFonts w:ascii="Arial" w:cs="Arial" w:eastAsia="Arial" w:hAnsi="Arial"/>
        </w:rPr>
        <w:t xml:space="preserve"> (menu du compte, en haut à droite), vous choisissez la langue de l'interface et la devise d'affichage des montants consolidés.</w:t>
      </w:r>
    </w:p>
    <w:p>
      <w:pPr>
        <w:keepNext/>
        <w:spacing w:after="60" w:before="120"/>
        <w:jc w:val="center"/>
      </w:pPr>
      <w:r>
        <w:drawing>
          <wp:inline distT="0" distB="0" distL="0" distR="0">
            <wp:extent cx="6096000" cy="3543300"/>
            <wp:effectExtent t="0" r="0" b="0" l="0"/>
            <wp:docPr id="1" name="04-profil" descr="Mon profil" title="Mon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5433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4 — Mon profil</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Langue de l'interface</w:t>
            </w:r>
            <w:r>
              <w:rPr>
                <w:rFonts w:ascii="Arial" w:cs="Arial" w:eastAsia="Arial" w:hAnsi="Arial"/>
                <w:sz w:val="19"/>
                <w:szCs w:val="19"/>
              </w:rPr>
              <w:t xml:space="preserve"> : français, anglais ou arabe. En arabe, toute la mise en page passe de droite à gauche.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Devise d'affichage</w:t>
            </w:r>
            <w:r>
              <w:rPr>
                <w:rFonts w:ascii="Arial" w:cs="Arial" w:eastAsia="Arial" w:hAnsi="Arial"/>
                <w:sz w:val="19"/>
                <w:szCs w:val="19"/>
              </w:rPr>
              <w:t xml:space="preserve"> : les montants des tableaux de bord et du reporting sont convertis dans cette devise.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Changer le mot de passe</w:t>
            </w:r>
            <w:r>
              <w:rPr>
                <w:rFonts w:ascii="Arial" w:cs="Arial" w:eastAsia="Arial" w:hAnsi="Arial"/>
                <w:sz w:val="19"/>
                <w:szCs w:val="19"/>
              </w:rPr>
              <w:t xml:space="preserve">. Le rôle, le périmètre (entité) et la liste des permissions de votre compte sont rappelés au-dessus.</w:t>
            </w:r>
          </w:p>
        </w:tc>
      </w:tr>
    </w:tbl>
    <w:p>
      <w:pPr>
        <w:spacing w:after="140"/>
      </w:pPr>
    </w:p>
    <w:tbl>
      <w:tblPr>
        <w:tblW w:type="dxa" w:w="9638"/>
        <w:tblBorders>
          <w:top w:val="none" w:color="FFFFFF" w:sz="0"/>
          <w:left w:val="single" w:color="2563A8"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563A8" w:sz="24"/>
              <w:bottom w:val="none" w:color="FFFFFF" w:sz="0"/>
              <w:right w:val="none" w:color="FFFFFF" w:sz="0"/>
            </w:tcBorders>
            <w:shd w:fill="EAF2FB" w:color="auto" w:val="clear"/>
            <w:tcMar>
              <w:top w:type="dxa" w:w="100"/>
              <w:left w:type="dxa" w:w="180"/>
              <w:bottom w:type="dxa" w:w="80"/>
              <w:right w:type="dxa" w:w="160"/>
            </w:tcMar>
          </w:tcPr>
          <w:p>
            <w:pPr>
              <w:keepNext/>
              <w:spacing w:after="40"/>
            </w:pPr>
            <w:r>
              <w:rPr>
                <w:rFonts w:ascii="Arial" w:cs="Arial" w:eastAsia="Arial" w:hAnsi="Arial"/>
                <w:b/>
                <w:bCs/>
                <w:color w:val="2563A8"/>
                <w:sz w:val="20"/>
                <w:szCs w:val="20"/>
              </w:rPr>
              <w:t xml:space="preserve">Comment les montants sont-ils affichés ?</w:t>
            </w:r>
          </w:p>
          <w:p>
            <w:pPr>
              <w:spacing w:after="40" w:line="270"/>
            </w:pPr>
            <w:r>
              <w:rPr>
                <w:rFonts w:ascii="Arial" w:cs="Arial" w:eastAsia="Arial" w:hAnsi="Arial"/>
                <w:sz w:val="20"/>
                <w:szCs w:val="20"/>
              </w:rPr>
              <w:t xml:space="preserve">Le montant d'un dossier reste exprimé dans </w:t>
            </w:r>
            <w:r>
              <w:rPr>
                <w:rFonts w:ascii="Arial" w:cs="Arial" w:eastAsia="Arial" w:hAnsi="Arial"/>
                <w:b/>
                <w:bCs/>
                <w:sz w:val="20"/>
                <w:szCs w:val="20"/>
              </w:rPr>
              <w:t xml:space="preserve">la devise du crédit</w:t>
            </w:r>
            <w:r>
              <w:rPr>
                <w:rFonts w:ascii="Arial" w:cs="Arial" w:eastAsia="Arial" w:hAnsi="Arial"/>
                <w:sz w:val="20"/>
                <w:szCs w:val="20"/>
              </w:rPr>
              <w:t xml:space="preserve"> (MAD, EUR, USD, XOF…). L'outil enregistre en plus sa </w:t>
            </w:r>
            <w:r>
              <w:rPr>
                <w:rFonts w:ascii="Arial" w:cs="Arial" w:eastAsia="Arial" w:hAnsi="Arial"/>
                <w:b/>
                <w:bCs/>
                <w:sz w:val="20"/>
                <w:szCs w:val="20"/>
              </w:rPr>
              <w:t xml:space="preserve">contre-valeur en devise de référence</w:t>
            </w:r>
            <w:r>
              <w:rPr>
                <w:rFonts w:ascii="Arial" w:cs="Arial" w:eastAsia="Arial" w:hAnsi="Arial"/>
                <w:sz w:val="20"/>
                <w:szCs w:val="20"/>
              </w:rPr>
              <w:t xml:space="preserve"> (le dirham par défaut), calculée au </w:t>
            </w:r>
            <w:r>
              <w:rPr>
                <w:rFonts w:ascii="Arial" w:cs="Arial" w:eastAsia="Arial" w:hAnsi="Arial"/>
                <w:b/>
                <w:bCs/>
                <w:sz w:val="20"/>
                <w:szCs w:val="20"/>
              </w:rPr>
              <w:t xml:space="preserve">cours du jour de création du dossier</w:t>
            </w:r>
            <w:r>
              <w:rPr>
                <w:rFonts w:ascii="Arial" w:cs="Arial" w:eastAsia="Arial" w:hAnsi="Arial"/>
                <w:sz w:val="20"/>
                <w:szCs w:val="20"/>
              </w:rPr>
              <w:t xml:space="preserve"> : elle ne varie plus ensuite, ce qui garantit des totaux stables dans le reporting.</w:t>
            </w:r>
          </w:p>
          <w:p>
            <w:pPr>
              <w:spacing w:after="40" w:line="270"/>
            </w:pPr>
            <w:r>
              <w:rPr>
                <w:rFonts w:ascii="Arial" w:cs="Arial" w:eastAsia="Arial" w:hAnsi="Arial"/>
                <w:sz w:val="20"/>
                <w:szCs w:val="20"/>
              </w:rPr>
              <w:t xml:space="preserve">Les cours de change sont tenus par l'administrateur dans </w:t>
            </w:r>
            <w:r>
              <w:rPr>
                <w:rFonts w:ascii="Arial" w:cs="Arial" w:eastAsia="Arial" w:hAnsi="Arial"/>
                <w:b/>
                <w:bCs/>
                <w:sz w:val="20"/>
                <w:szCs w:val="20"/>
              </w:rPr>
              <w:t xml:space="preserve">Paramétrage › Devises et cours</w:t>
            </w:r>
            <w:r>
              <w:rPr>
                <w:rFonts w:ascii="Arial" w:cs="Arial" w:eastAsia="Arial" w:hAnsi="Arial"/>
                <w:sz w:val="20"/>
                <w:szCs w:val="20"/>
              </w:rPr>
              <w:t xml:space="preserve">. Si aucun cours n'existe pour la devise d'un crédit, la création du dossier est refusée avec un message explicite.</w:t>
            </w:r>
          </w:p>
        </w:tc>
      </w:tr>
    </w:tbl>
    <w:p>
      <w:pPr>
        <w:pStyle w:val="Heading2"/>
        <w:keepNext/>
      </w:pPr>
      <w:bookmarkStart w:name="t13" w:id="1"/>
      <w:r>
        <w:rPr>
          <w:rFonts w:ascii="Arial" w:cs="Arial" w:eastAsia="Arial" w:hAnsi="Arial"/>
        </w:rPr>
        <w:t xml:space="preserve">2.5 Notifications</w:t>
      </w:r>
      <w:bookmarkEnd w:id="1"/>
    </w:p>
    <w:p>
      <w:pPr>
        <w:spacing w:after="110" w:line="288"/>
        <w:jc w:val="left"/>
      </w:pPr>
      <w:r>
        <w:rPr>
          <w:rFonts w:ascii="Arial" w:cs="Arial" w:eastAsia="Arial" w:hAnsi="Arial"/>
        </w:rPr>
        <w:t xml:space="preserve">L'outil vous avertit par une notification interne lorsqu'un événement vous concerne. Les notifications se consultent depuis l'icône en forme de cloche ou la rubrique </w:t>
      </w:r>
      <w:r>
        <w:rPr>
          <w:rFonts w:ascii="Arial" w:cs="Arial" w:eastAsia="Arial" w:hAnsi="Arial"/>
          <w:b/>
          <w:bCs/>
        </w:rPr>
        <w:t xml:space="preserve">Notifications</w:t>
      </w:r>
      <w:r>
        <w:rPr>
          <w:rFonts w:ascii="Arial" w:cs="Arial" w:eastAsia="Arial" w:hAnsi="Arial"/>
        </w:rPr>
        <w:t xml:space="preserve"> du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28"/>
        <w:gridCol w:w="5210"/>
      </w:tblGrid>
      <w:tr>
        <w:trPr>
          <w:cantSplit/>
          <w:tblHeader/>
        </w:trPr>
        <w:tc>
          <w:tcPr>
            <w:tcW w:type="dxa" w:w="4428"/>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Événement</w:t>
            </w:r>
          </w:p>
        </w:tc>
        <w:tc>
          <w:tcPr>
            <w:tcW w:type="dxa" w:w="5210"/>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Qui est notifié ?</w:t>
            </w:r>
          </w:p>
        </w:tc>
      </w:tr>
      <w:tr>
        <w:trPr>
          <w:cantSplit/>
        </w:trPr>
        <w:tc>
          <w:tcPr>
            <w:tcW w:type="dxa" w:w="4428"/>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Dossier soumis à validation</w:t>
            </w:r>
          </w:p>
        </w:tc>
        <w:tc>
          <w:tcPr>
            <w:tcW w:type="dxa" w:w="5210"/>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Les directeurs habilités à valider (sauf l'auteur de la soumission).</w:t>
            </w:r>
          </w:p>
        </w:tc>
      </w:tr>
      <w:tr>
        <w:trPr>
          <w:cantSplit/>
        </w:trPr>
        <w:tc>
          <w:tcPr>
            <w:tcW w:type="dxa" w:w="4428"/>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Dossier validé ou retourné</w:t>
            </w:r>
          </w:p>
        </w:tc>
        <w:tc>
          <w:tcPr>
            <w:tcW w:type="dxa" w:w="5210"/>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Le chargé d'affaires du dossier, avec le commentaire du directeur.</w:t>
            </w:r>
          </w:p>
        </w:tc>
      </w:tr>
      <w:tr>
        <w:trPr>
          <w:cantSplit/>
        </w:trPr>
        <w:tc>
          <w:tcPr>
            <w:tcW w:type="dxa" w:w="4428"/>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Décision du comité enregistrée</w:t>
            </w:r>
          </w:p>
        </w:tc>
        <w:tc>
          <w:tcPr>
            <w:tcW w:type="dxa" w:w="5210"/>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Le chargé d'affaires du dossier.</w:t>
            </w:r>
          </w:p>
        </w:tc>
      </w:tr>
      <w:tr>
        <w:trPr>
          <w:cantSplit/>
        </w:trPr>
        <w:tc>
          <w:tcPr>
            <w:tcW w:type="dxa" w:w="4428"/>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Projet sur la liste d'exclusion</w:t>
            </w:r>
          </w:p>
        </w:tc>
        <w:tc>
          <w:tcPr>
            <w:tcW w:type="dxa" w:w="5210"/>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Le Responsable RSE.</w:t>
            </w:r>
          </w:p>
        </w:tc>
      </w:tr>
      <w:tr>
        <w:trPr>
          <w:cantSplit/>
        </w:trPr>
        <w:tc>
          <w:tcPr>
            <w:tcW w:type="dxa" w:w="4428"/>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Projet classé en catégorie A (ou changement de catégorie A → autre)</w:t>
            </w:r>
          </w:p>
        </w:tc>
        <w:tc>
          <w:tcPr>
            <w:tcW w:type="dxa" w:w="5210"/>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Le Responsable RSE : étude d'impact exigée, information de la SFI le cas échéant.</w:t>
            </w:r>
          </w:p>
        </w:tc>
      </w:tr>
      <w:tr>
        <w:trPr>
          <w:cantSplit/>
        </w:trPr>
        <w:tc>
          <w:tcPr>
            <w:tcW w:type="dxa" w:w="4428"/>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Rejet du dossier pour un motif E&amp;S</w:t>
            </w:r>
          </w:p>
        </w:tc>
        <w:tc>
          <w:tcPr>
            <w:tcW w:type="dxa" w:w="5210"/>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Le Responsable RSE.</w:t>
            </w:r>
          </w:p>
        </w:tc>
      </w:tr>
    </w:tbl>
    <w:p>
      <w:pPr>
        <w:spacing w:after="80"/>
      </w:pPr>
    </w:p>
    <w:p>
      <w:pPr>
        <w:spacing w:after="110" w:line="288"/>
        <w:jc w:val="left"/>
      </w:pPr>
      <w:r>
        <w:rPr>
          <w:rFonts w:ascii="Arial" w:cs="Arial" w:eastAsia="Arial" w:hAnsi="Arial"/>
        </w:rPr>
        <w:t xml:space="preserve">Ouvrir une notification vous conduit directement au dossier concerné. Vous pouvez marquer les notifications comme lues une à une ou toutes ensemble.</w:t>
      </w:r>
    </w:p>
    <w:p>
      <w:pPr>
        <w:pStyle w:val="Heading2"/>
        <w:keepNext/>
      </w:pPr>
      <w:bookmarkStart w:name="t14" w:id="1"/>
      <w:r>
        <w:rPr>
          <w:rFonts w:ascii="Arial" w:cs="Arial" w:eastAsia="Arial" w:hAnsi="Arial"/>
        </w:rPr>
        <w:t xml:space="preserve">2.6 Utiliser l'outil sur tablette ou téléphone</w:t>
      </w:r>
      <w:bookmarkEnd w:id="1"/>
    </w:p>
    <w:p>
      <w:pPr>
        <w:spacing w:after="110" w:line="288"/>
        <w:jc w:val="left"/>
      </w:pPr>
      <w:r>
        <w:rPr>
          <w:rFonts w:ascii="Arial" w:cs="Arial" w:eastAsia="Arial" w:hAnsi="Arial"/>
        </w:rPr>
        <w:t xml:space="preserve">L'interface s'adapte à la taille de l'écran : sur téléphone, le menu devient un tiroir (icône ☰ en haut à gauche), les listes de dossiers s'affichent sous forme de cartes et les volets du dossier s'empilent. Les mêmes fonctions sont disponibles ; la saisie détaillée d'un dossier reste plus confortable sur ordinateur.</w:t>
      </w:r>
    </w:p>
    <w:tbl>
      <w:tblPr>
        <w:tblW w:type="dxa" w:w="96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9"/>
        <w:gridCol w:w="2409"/>
        <w:gridCol w:w="2409"/>
        <w:gridCol w:w="2409"/>
      </w:tblGrid>
      <w:tr>
        <w:trPr>
          <w:cantSplit/>
        </w:trPr>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1409700" cy="3048000"/>
                  <wp:effectExtent t="0" r="0" b="0" l="0"/>
                  <wp:docPr id="1" name="73-mobile-tableau-de-bord" descr="Tableau de bord" title="Tableau de b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09700" cy="3048000"/>
                          </a:xfrm>
                          <a:prstGeom prst="rect">
                            <a:avLst/>
                          </a:prstGeom>
                        </pic:spPr>
                      </pic:pic>
                    </a:graphicData>
                  </a:graphic>
                </wp:inline>
              </w:drawing>
            </w:r>
          </w:p>
          <w:p>
            <w:pPr>
              <w:keepNext/>
              <w:spacing w:after="40"/>
              <w:jc w:val="center"/>
            </w:pPr>
            <w:r>
              <w:rPr>
                <w:rFonts w:ascii="Arial" w:cs="Arial" w:eastAsia="Arial" w:hAnsi="Arial"/>
                <w:color w:val="5B6560"/>
                <w:sz w:val="17"/>
                <w:szCs w:val="17"/>
              </w:rPr>
              <w:t xml:space="preserve">Tableau de bord</w:t>
            </w:r>
          </w:p>
        </w:tc>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1409700" cy="3048000"/>
                  <wp:effectExtent t="0" r="0" b="0" l="0"/>
                  <wp:docPr id="1" name="74-mobile-liste" descr="Liste des dossiers" title="Liste des doss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09700" cy="3048000"/>
                          </a:xfrm>
                          <a:prstGeom prst="rect">
                            <a:avLst/>
                          </a:prstGeom>
                        </pic:spPr>
                      </pic:pic>
                    </a:graphicData>
                  </a:graphic>
                </wp:inline>
              </w:drawing>
            </w:r>
          </w:p>
          <w:p>
            <w:pPr>
              <w:keepNext/>
              <w:spacing w:after="40"/>
              <w:jc w:val="center"/>
            </w:pPr>
            <w:r>
              <w:rPr>
                <w:rFonts w:ascii="Arial" w:cs="Arial" w:eastAsia="Arial" w:hAnsi="Arial"/>
                <w:color w:val="5B6560"/>
                <w:sz w:val="17"/>
                <w:szCs w:val="17"/>
              </w:rPr>
              <w:t xml:space="preserve">Liste des dossiers</w:t>
            </w:r>
          </w:p>
        </w:tc>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1409700" cy="3048000"/>
                  <wp:effectExtent t="0" r="0" b="0" l="0"/>
                  <wp:docPr id="1" name="75-mobile-dossier" descr="Plan d'actions d'un dossier" title="Plan d'actions d'un dos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09700" cy="3048000"/>
                          </a:xfrm>
                          <a:prstGeom prst="rect">
                            <a:avLst/>
                          </a:prstGeom>
                        </pic:spPr>
                      </pic:pic>
                    </a:graphicData>
                  </a:graphic>
                </wp:inline>
              </w:drawing>
            </w:r>
          </w:p>
          <w:p>
            <w:pPr>
              <w:keepNext/>
              <w:spacing w:after="40"/>
              <w:jc w:val="center"/>
            </w:pPr>
            <w:r>
              <w:rPr>
                <w:rFonts w:ascii="Arial" w:cs="Arial" w:eastAsia="Arial" w:hAnsi="Arial"/>
                <w:color w:val="5B6560"/>
                <w:sz w:val="17"/>
                <w:szCs w:val="17"/>
              </w:rPr>
              <w:t xml:space="preserve">Plan d'actions d'un dossier</w:t>
            </w:r>
          </w:p>
        </w:tc>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1409700" cy="3048000"/>
                  <wp:effectExtent t="0" r="0" b="0" l="0"/>
                  <wp:docPr id="1" name="76-mobile-menu" descr="Menu" title="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09700" cy="3048000"/>
                          </a:xfrm>
                          <a:prstGeom prst="rect">
                            <a:avLst/>
                          </a:prstGeom>
                        </pic:spPr>
                      </pic:pic>
                    </a:graphicData>
                  </a:graphic>
                </wp:inline>
              </w:drawing>
            </w:r>
          </w:p>
          <w:p>
            <w:pPr>
              <w:keepNext/>
              <w:spacing w:after="40"/>
              <w:jc w:val="center"/>
            </w:pPr>
            <w:r>
              <w:rPr>
                <w:rFonts w:ascii="Arial" w:cs="Arial" w:eastAsia="Arial" w:hAnsi="Arial"/>
                <w:color w:val="5B6560"/>
                <w:sz w:val="17"/>
                <w:szCs w:val="17"/>
              </w:rPr>
              <w:t xml:space="preserve">Menu</w:t>
            </w:r>
          </w:p>
        </w:tc>
      </w:tr>
    </w:tbl>
    <w:p>
      <w:pPr>
        <w:spacing w:after="160"/>
        <w:jc w:val="center"/>
      </w:pPr>
      <w:r>
        <w:rPr>
          <w:rFonts w:ascii="Arial" w:cs="Arial" w:eastAsia="Arial" w:hAnsi="Arial"/>
          <w:i/>
          <w:iCs/>
          <w:color w:val="5B6560"/>
          <w:sz w:val="18"/>
          <w:szCs w:val="18"/>
        </w:rPr>
        <w:t xml:space="preserve">Figure 5 — L'outil sur téléphone</w:t>
      </w:r>
    </w:p>
    <w:p>
      <w:pPr>
        <w:pStyle w:val="Heading1"/>
        <w:pageBreakBefore/>
      </w:pPr>
      <w:bookmarkStart w:name="t15" w:id="1"/>
      <w:r>
        <w:rPr>
          <w:rFonts w:ascii="Arial" w:cs="Arial" w:eastAsia="Arial" w:hAnsi="Arial"/>
        </w:rPr>
        <w:t xml:space="preserve">3. Réaliser une évaluation E&amp;S</w:t>
      </w:r>
      <w:bookmarkEnd w:id="1"/>
    </w:p>
    <w:p>
      <w:pPr>
        <w:spacing w:after="110" w:line="288"/>
        <w:jc w:val="left"/>
      </w:pPr>
      <w:r>
        <w:rPr>
          <w:rFonts w:ascii="Arial" w:cs="Arial" w:eastAsia="Arial" w:hAnsi="Arial"/>
        </w:rPr>
        <w:t xml:space="preserve">Ce chapitre s'adresse au </w:t>
      </w:r>
      <w:r>
        <w:rPr>
          <w:rFonts w:ascii="Arial" w:cs="Arial" w:eastAsia="Arial" w:hAnsi="Arial"/>
          <w:b/>
          <w:bCs/>
        </w:rPr>
        <w:t xml:space="preserve">chargé d'affaires</w:t>
      </w:r>
      <w:r>
        <w:rPr>
          <w:rFonts w:ascii="Arial" w:cs="Arial" w:eastAsia="Arial" w:hAnsi="Arial"/>
        </w:rPr>
        <w:t xml:space="preserve"> (ou analyste). Il suit un cas concret, saisi dans l'outil de bout en bout : </w:t>
      </w:r>
      <w:r>
        <w:rPr>
          <w:rFonts w:ascii="Arial" w:cs="Arial" w:eastAsia="Arial" w:hAnsi="Arial"/>
          <w:b/>
          <w:bCs/>
        </w:rPr>
        <w:t xml:space="preserve">Sucrerie du Gharb SA</w:t>
      </w:r>
      <w:r>
        <w:rPr>
          <w:rFonts w:ascii="Arial" w:cs="Arial" w:eastAsia="Arial" w:hAnsi="Arial"/>
        </w:rPr>
        <w:t xml:space="preserve">, qui demande un crédit d'investissement de </w:t>
      </w:r>
      <w:r>
        <w:rPr>
          <w:rFonts w:ascii="Arial" w:cs="Arial" w:eastAsia="Arial" w:hAnsi="Arial"/>
          <w:b/>
          <w:bCs/>
        </w:rPr>
        <w:t xml:space="preserve">85 millions de dirhams</w:t>
      </w:r>
      <w:r>
        <w:rPr>
          <w:rFonts w:ascii="Arial" w:cs="Arial" w:eastAsia="Arial" w:hAnsi="Arial"/>
        </w:rPr>
        <w:t xml:space="preserve"> pour une extension de sa raffinerie de sucre à Sidi Kacem (investissement total de 120 millions). Chaque étape est illustrée par la capture correspondante.</w:t>
      </w:r>
    </w:p>
    <w:tbl>
      <w:tblPr>
        <w:tblW w:type="dxa" w:w="9638"/>
        <w:tblBorders>
          <w:top w:val="none" w:color="FFFFFF" w:sz="0"/>
          <w:left w:val="single" w:color="115E4A"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115E4A" w:sz="24"/>
              <w:bottom w:val="none" w:color="FFFFFF" w:sz="0"/>
              <w:right w:val="none" w:color="FFFFFF" w:sz="0"/>
            </w:tcBorders>
            <w:shd w:fill="E6F1EC" w:color="auto" w:val="clear"/>
            <w:tcMar>
              <w:top w:type="dxa" w:w="100"/>
              <w:left w:type="dxa" w:w="180"/>
              <w:bottom w:type="dxa" w:w="80"/>
              <w:right w:type="dxa" w:w="160"/>
            </w:tcMar>
          </w:tcPr>
          <w:p>
            <w:pPr>
              <w:keepNext/>
              <w:spacing w:after="40"/>
            </w:pPr>
            <w:r>
              <w:rPr>
                <w:rFonts w:ascii="Arial" w:cs="Arial" w:eastAsia="Arial" w:hAnsi="Arial"/>
                <w:b/>
                <w:bCs/>
                <w:color w:val="115E4A"/>
                <w:sz w:val="20"/>
                <w:szCs w:val="20"/>
              </w:rPr>
              <w:t xml:space="preserve">Vous pouvez interrompre et reprendre à tout moment</w:t>
            </w:r>
          </w:p>
          <w:p>
            <w:pPr>
              <w:spacing w:after="40" w:line="270"/>
            </w:pPr>
            <w:r>
              <w:rPr>
                <w:rFonts w:ascii="Arial" w:cs="Arial" w:eastAsia="Arial" w:hAnsi="Arial"/>
                <w:sz w:val="20"/>
                <w:szCs w:val="20"/>
              </w:rPr>
              <w:t xml:space="preserve">Le dossier est enregistré dès sa création. Chaque volet s'enregistre avec le bouton </w:t>
            </w:r>
            <w:r>
              <w:rPr>
                <w:rFonts w:ascii="Arial" w:cs="Arial" w:eastAsia="Arial" w:hAnsi="Arial"/>
                <w:b/>
                <w:bCs/>
                <w:sz w:val="20"/>
                <w:szCs w:val="20"/>
              </w:rPr>
              <w:t xml:space="preserve">Enregistrer</w:t>
            </w:r>
            <w:r>
              <w:rPr>
                <w:rFonts w:ascii="Arial" w:cs="Arial" w:eastAsia="Arial" w:hAnsi="Arial"/>
                <w:sz w:val="20"/>
                <w:szCs w:val="20"/>
              </w:rPr>
              <w:t xml:space="preserve"> de la barre du bas ; le bandeau « Modifications non enregistrées » vous prévient si vous quittez un volet sans sauvegarder. Les coches vertes du menu de gauche indiquent les étapes terminées.</w:t>
            </w:r>
          </w:p>
        </w:tc>
      </w:tr>
    </w:tbl>
    <w:p>
      <w:pPr>
        <w:pStyle w:val="Heading2"/>
        <w:keepNext/>
      </w:pPr>
      <w:bookmarkStart w:name="t16" w:id="1"/>
      <w:r>
        <w:rPr>
          <w:rFonts w:ascii="Arial" w:cs="Arial" w:eastAsia="Arial" w:hAnsi="Arial"/>
        </w:rPr>
        <w:t xml:space="preserve">3.1 Créer l'évaluation : client et identification</w:t>
      </w:r>
      <w:bookmarkEnd w:id="1"/>
    </w:p>
    <w:p>
      <w:pPr>
        <w:spacing w:after="110" w:line="288"/>
        <w:jc w:val="left"/>
      </w:pPr>
      <w:r>
        <w:rPr>
          <w:rFonts w:ascii="Arial" w:cs="Arial" w:eastAsia="Arial" w:hAnsi="Arial"/>
        </w:rPr>
        <w:t xml:space="preserve">Cliquez sur </w:t>
      </w:r>
      <w:r>
        <w:rPr>
          <w:rFonts w:ascii="Arial" w:cs="Arial" w:eastAsia="Arial" w:hAnsi="Arial"/>
          <w:b/>
          <w:bCs/>
        </w:rPr>
        <w:t xml:space="preserve">Nouvelle évaluation</w:t>
      </w:r>
      <w:r>
        <w:rPr>
          <w:rFonts w:ascii="Arial" w:cs="Arial" w:eastAsia="Arial" w:hAnsi="Arial"/>
        </w:rPr>
        <w:t xml:space="preserve"> dans le menu (ou sur </w:t>
      </w:r>
      <w:r>
        <w:rPr>
          <w:rFonts w:ascii="Arial" w:cs="Arial" w:eastAsia="Arial" w:hAnsi="Arial"/>
          <w:b/>
          <w:bCs/>
        </w:rPr>
        <w:t xml:space="preserve">Nouvelle évaluation E&amp;S</w:t>
      </w:r>
      <w:r>
        <w:rPr>
          <w:rFonts w:ascii="Arial" w:cs="Arial" w:eastAsia="Arial" w:hAnsi="Arial"/>
        </w:rPr>
        <w:t xml:space="preserve"> depuis la liste des dossiers ou la fiche d'un client). L'écran comporte deux parties : le client, puis l'identification du projet.</w:t>
      </w:r>
    </w:p>
    <w:p>
      <w:pPr>
        <w:pStyle w:val="Heading3"/>
        <w:keepNext/>
      </w:pPr>
      <w:r>
        <w:rPr>
          <w:rFonts w:ascii="Arial" w:cs="Arial" w:eastAsia="Arial" w:hAnsi="Arial"/>
        </w:rPr>
        <w:t xml:space="preserve">Choisir le client</w:t>
      </w:r>
    </w:p>
    <w:p>
      <w:pPr>
        <w:keepNext/>
        <w:spacing w:after="60" w:before="120"/>
        <w:jc w:val="center"/>
      </w:pPr>
      <w:r>
        <w:drawing>
          <wp:inline distT="0" distB="0" distL="0" distR="0">
            <wp:extent cx="6096000" cy="4972050"/>
            <wp:effectExtent t="0" r="0" b="0" l="0"/>
            <wp:docPr id="1" name="06-nouvelle-evaluation" descr="Nouvelle évaluation : choix du client" title="Nouvelle évaluation : choix du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49720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6 — Nouvelle évaluation : choix du client</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Critères déclencheurs</w:t>
            </w:r>
            <w:r>
              <w:rPr>
                <w:rFonts w:ascii="Arial" w:cs="Arial" w:eastAsia="Arial" w:hAnsi="Arial"/>
                <w:sz w:val="19"/>
                <w:szCs w:val="19"/>
              </w:rPr>
              <w:t xml:space="preserve"> : rappel de la règle de la circulaire (catégorie A ou investissement supérieur au seuil de 10 M MAD).</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Compte courant (20 positions)</w:t>
            </w:r>
            <w:r>
              <w:rPr>
                <w:rFonts w:ascii="Arial" w:cs="Arial" w:eastAsia="Arial" w:hAnsi="Arial"/>
                <w:sz w:val="19"/>
                <w:szCs w:val="19"/>
              </w:rPr>
              <w:t xml:space="preserve"> : saisissez les 20 chiffres du compte pour retrouver la fiche du client dans le système central.</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Importer la signalétique</w:t>
            </w:r>
            <w:r>
              <w:rPr>
                <w:rFonts w:ascii="Arial" w:cs="Arial" w:eastAsia="Arial" w:hAnsi="Arial"/>
                <w:sz w:val="19"/>
                <w:szCs w:val="19"/>
              </w:rPr>
              <w:t xml:space="preserve"> : interroge le système central ; le bouton n'est actif que lorsque les 20 chiffres sont saisis.</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Choisir un client existant</w:t>
            </w:r>
            <w:r>
              <w:rPr>
                <w:rFonts w:ascii="Arial" w:cs="Arial" w:eastAsia="Arial" w:hAnsi="Arial"/>
                <w:sz w:val="19"/>
                <w:szCs w:val="19"/>
              </w:rPr>
              <w:t xml:space="preserve"> : recherche par nom ou par numéro de compte parmi les clients déjà connus de l'outil.</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5</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Ou créer un nouveau client</w:t>
            </w:r>
            <w:r>
              <w:rPr>
                <w:rFonts w:ascii="Arial" w:cs="Arial" w:eastAsia="Arial" w:hAnsi="Arial"/>
                <w:sz w:val="19"/>
                <w:szCs w:val="19"/>
              </w:rPr>
              <w:t xml:space="preserve"> : saisie manuelle de la fiche client.</w:t>
            </w:r>
          </w:p>
        </w:tc>
      </w:tr>
    </w:tbl>
    <w:p>
      <w:pPr>
        <w:spacing w:after="140"/>
      </w:pPr>
    </w:p>
    <w:p>
      <w:pPr>
        <w:spacing w:after="110" w:line="288"/>
        <w:jc w:val="left"/>
      </w:pPr>
      <w:r>
        <w:rPr>
          <w:rFonts w:ascii="Arial" w:cs="Arial" w:eastAsia="Arial" w:hAnsi="Arial"/>
        </w:rPr>
        <w:t xml:space="preserve">Trois cas se présentent :</w:t>
      </w:r>
    </w:p>
    <w:p>
      <w:pPr>
        <w:pStyle w:val="ListParagraph"/>
        <w:numPr>
          <w:ilvl w:val="0"/>
          <w:numId w:val="2"/>
        </w:numPr>
        <w:spacing w:after="50" w:line="276"/>
      </w:pPr>
      <w:r>
        <w:rPr>
          <w:rFonts w:ascii="Arial" w:cs="Arial" w:eastAsia="Arial" w:hAnsi="Arial"/>
          <w:b/>
          <w:bCs/>
        </w:rPr>
        <w:t xml:space="preserve">Le client existe déjà dans l'outil</w:t>
      </w:r>
      <w:r>
        <w:rPr>
          <w:rFonts w:ascii="Arial" w:cs="Arial" w:eastAsia="Arial" w:hAnsi="Arial"/>
        </w:rPr>
        <w:t xml:space="preserve"> : il est repris tel quel et vous n'avez rien à ressaisir. Son historique d'évaluations est conservé.</w:t>
      </w:r>
    </w:p>
    <w:p>
      <w:pPr>
        <w:pStyle w:val="ListParagraph"/>
        <w:numPr>
          <w:ilvl w:val="0"/>
          <w:numId w:val="2"/>
        </w:numPr>
        <w:spacing w:after="50" w:line="276"/>
      </w:pPr>
      <w:r>
        <w:rPr>
          <w:rFonts w:ascii="Arial" w:cs="Arial" w:eastAsia="Arial" w:hAnsi="Arial"/>
          <w:b/>
          <w:bCs/>
        </w:rPr>
        <w:t xml:space="preserve">Le client est connu du système central</w:t>
      </w:r>
      <w:r>
        <w:rPr>
          <w:rFonts w:ascii="Arial" w:cs="Arial" w:eastAsia="Arial" w:hAnsi="Arial"/>
        </w:rPr>
        <w:t xml:space="preserve"> : l'import remplit automatiquement la raison sociale, la forme juridique, le compte portefeuille, le code d'activité, la ville, l'identifiant fiscal et l'ICE. Chaque champ importé porte une pastille indiquant sa provenance (« Core banking » en production, « Simulation » en phase de recette).</w:t>
      </w:r>
    </w:p>
    <w:p>
      <w:pPr>
        <w:pStyle w:val="ListParagraph"/>
        <w:numPr>
          <w:ilvl w:val="0"/>
          <w:numId w:val="2"/>
        </w:numPr>
        <w:spacing w:after="50" w:line="276"/>
      </w:pPr>
      <w:r>
        <w:rPr>
          <w:rFonts w:ascii="Arial" w:cs="Arial" w:eastAsia="Arial" w:hAnsi="Arial"/>
          <w:b/>
          <w:bCs/>
        </w:rPr>
        <w:t xml:space="preserve">Le client est nouveau</w:t>
      </w:r>
      <w:r>
        <w:rPr>
          <w:rFonts w:ascii="Arial" w:cs="Arial" w:eastAsia="Arial" w:hAnsi="Arial"/>
        </w:rPr>
        <w:t xml:space="preserve"> : saisissez sa fiche (raison sociale obligatoire ; compte courant à 20 chiffres facultatif ; contact, adresse…).</w:t>
      </w:r>
    </w:p>
    <w:p>
      <w:pPr>
        <w:keepNext/>
        <w:spacing w:after="60" w:before="120"/>
        <w:jc w:val="center"/>
      </w:pPr>
      <w:r>
        <w:drawing>
          <wp:inline distT="0" distB="0" distL="0" distR="0">
            <wp:extent cx="6096000" cy="4972050"/>
            <wp:effectExtent t="0" r="0" b="0" l="0"/>
            <wp:docPr id="1" name="07-signaletique-importee" descr="Signalétique importée du système central" title="Signalétique importée du système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49720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7 — Signalétique importée du système central</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Signalétique reprise du système central</w:t>
            </w:r>
            <w:r>
              <w:rPr>
                <w:rFonts w:ascii="Arial" w:cs="Arial" w:eastAsia="Arial" w:hAnsi="Arial"/>
                <w:sz w:val="19"/>
                <w:szCs w:val="19"/>
              </w:rPr>
              <w:t xml:space="preserve"> : bandeau confirmant la source de l'import.</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Pastille de </w:t>
            </w:r>
            <w:r>
              <w:rPr>
                <w:rFonts w:ascii="Arial" w:cs="Arial" w:eastAsia="Arial" w:hAnsi="Arial"/>
                <w:b/>
                <w:bCs/>
                <w:sz w:val="19"/>
                <w:szCs w:val="19"/>
              </w:rPr>
              <w:t xml:space="preserve">provenance</w:t>
            </w:r>
            <w:r>
              <w:rPr>
                <w:rFonts w:ascii="Arial" w:cs="Arial" w:eastAsia="Arial" w:hAnsi="Arial"/>
                <w:sz w:val="19"/>
                <w:szCs w:val="19"/>
              </w:rPr>
              <w:t xml:space="preserve"> (« Simulation » en phase de recette, « Core banking » en production) : les champs importés restent modifiables.</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Nom ou raison sociale</w:t>
            </w:r>
            <w:r>
              <w:rPr>
                <w:rFonts w:ascii="Arial" w:cs="Arial" w:eastAsia="Arial" w:hAnsi="Arial"/>
                <w:sz w:val="19"/>
                <w:szCs w:val="19"/>
              </w:rPr>
              <w:t xml:space="preserve"> (obligatoire).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Secteur d'activité</w:t>
            </w:r>
            <w:r>
              <w:rPr>
                <w:rFonts w:ascii="Arial" w:cs="Arial" w:eastAsia="Arial" w:hAnsi="Arial"/>
                <w:sz w:val="19"/>
                <w:szCs w:val="19"/>
              </w:rPr>
              <w:t xml:space="preserve"> : repris du code CITI du client, il pré-remplit le secteur du projet.</w:t>
            </w:r>
          </w:p>
        </w:tc>
      </w:tr>
    </w:tbl>
    <w:p>
      <w:pPr>
        <w:spacing w:after="140"/>
      </w:pPr>
    </w:p>
    <w:p>
      <w:pPr>
        <w:pStyle w:val="Heading3"/>
        <w:keepNext/>
      </w:pPr>
      <w:r>
        <w:rPr>
          <w:rFonts w:ascii="Arial" w:cs="Arial" w:eastAsia="Arial" w:hAnsi="Arial"/>
        </w:rPr>
        <w:t xml:space="preserve">Décrire le projet</w:t>
      </w:r>
    </w:p>
    <w:p>
      <w:pPr>
        <w:spacing w:after="110" w:line="288"/>
        <w:jc w:val="left"/>
      </w:pPr>
      <w:r>
        <w:rPr>
          <w:rFonts w:ascii="Arial" w:cs="Arial" w:eastAsia="Arial" w:hAnsi="Arial"/>
        </w:rPr>
        <w:t xml:space="preserve">La seconde carte de l'écran, « Identification », décrit le crédit et le projet. Les champs marqués d'un astérisque rouge sont obligatoires.</w:t>
      </w:r>
    </w:p>
    <w:p>
      <w:pPr>
        <w:keepNext/>
        <w:spacing w:after="60" w:before="120"/>
        <w:jc w:val="center"/>
      </w:pPr>
      <w:r>
        <w:drawing>
          <wp:inline distT="0" distB="0" distL="0" distR="0">
            <wp:extent cx="6096000" cy="4972050"/>
            <wp:effectExtent t="0" r="0" b="0" l="0"/>
            <wp:docPr id="1" name="08-identification" descr="Identification : description du projet et du montant" title="Identification : description du projet et du mon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49720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8 — Identification : description du projet et du montant</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Type de crédit</w:t>
            </w:r>
            <w:r>
              <w:rPr>
                <w:rFonts w:ascii="Arial" w:cs="Arial" w:eastAsia="Arial" w:hAnsi="Arial"/>
                <w:sz w:val="19"/>
                <w:szCs w:val="19"/>
              </w:rPr>
              <w:t xml:space="preserve"> (obligatoire) : crédit d'investissement grande entreprise ou PME, grands projets, financement de projet, crédit-bail, MLT… Un crédit de fonctionnement est signalé « hors périmètre ».</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Secteur d'activité (CITI)</w:t>
            </w:r>
            <w:r>
              <w:rPr>
                <w:rFonts w:ascii="Arial" w:cs="Arial" w:eastAsia="Arial" w:hAnsi="Arial"/>
                <w:sz w:val="19"/>
                <w:szCs w:val="19"/>
              </w:rPr>
              <w:t xml:space="preserve"> (obligatoire) : il détermine le profil climatique du projet et une </w:t>
            </w:r>
            <w:r>
              <w:rPr>
                <w:rFonts w:ascii="Arial" w:cs="Arial" w:eastAsia="Arial" w:hAnsi="Arial"/>
                <w:b/>
                <w:bCs/>
                <w:sz w:val="19"/>
                <w:szCs w:val="19"/>
              </w:rPr>
              <w:t xml:space="preserve">indication sectorielle</w:t>
            </w:r>
            <w:r>
              <w:rPr>
                <w:rFonts w:ascii="Arial" w:cs="Arial" w:eastAsia="Arial" w:hAnsi="Arial"/>
                <w:sz w:val="19"/>
                <w:szCs w:val="19"/>
              </w:rPr>
              <w:t xml:space="preserve"> de catégorie (ici « catégorie B habituellement pour ce secteur »).</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Devise</w:t>
            </w:r>
            <w:r>
              <w:rPr>
                <w:rFonts w:ascii="Arial" w:cs="Arial" w:eastAsia="Arial" w:hAnsi="Arial"/>
                <w:sz w:val="19"/>
                <w:szCs w:val="19"/>
              </w:rPr>
              <w:t xml:space="preserve"> du crédit : la contre-valeur en dirhams est calculée automatiquement au cours du jour.</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Montant demandé</w:t>
            </w:r>
            <w:r>
              <w:rPr>
                <w:rFonts w:ascii="Arial" w:cs="Arial" w:eastAsia="Arial" w:hAnsi="Arial"/>
                <w:sz w:val="19"/>
                <w:szCs w:val="19"/>
              </w:rPr>
              <w:t xml:space="preserve"> (obligatoire) : saisi dans la devise du crédit. La conversion approximative s'affiche sous le champ.</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5</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Montant total de l'investissement</w:t>
            </w:r>
            <w:r>
              <w:rPr>
                <w:rFonts w:ascii="Arial" w:cs="Arial" w:eastAsia="Arial" w:hAnsi="Arial"/>
                <w:sz w:val="19"/>
                <w:szCs w:val="19"/>
              </w:rPr>
              <w:t xml:space="preserve"> : c'est lui, et non le crédit demandé, qui est comparé au seuil de déclenchement de 10 M MAD.</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6</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Créer le dossier et continuer</w:t>
            </w:r>
            <w:r>
              <w:rPr>
                <w:rFonts w:ascii="Arial" w:cs="Arial" w:eastAsia="Arial" w:hAnsi="Arial"/>
                <w:sz w:val="19"/>
                <w:szCs w:val="19"/>
              </w:rPr>
              <w:t xml:space="preserve"> : crée le dossier et ouvre l'étape suivante.</w:t>
            </w:r>
          </w:p>
        </w:tc>
      </w:tr>
    </w:tbl>
    <w:p>
      <w:pPr>
        <w:spacing w:after="140"/>
      </w:pPr>
    </w:p>
    <w:p>
      <w:pPr>
        <w:keepNext/>
        <w:spacing w:after="60" w:before="120"/>
        <w:jc w:val="center"/>
      </w:pPr>
      <w:r>
        <w:drawing>
          <wp:inline distT="0" distB="0" distL="0" distR="0">
            <wp:extent cx="6096000" cy="4972050"/>
            <wp:effectExtent t="0" r="0" b="0" l="0"/>
            <wp:docPr id="1" name="08b-identification-lieu" descr="Identification : localisation du projet" title="Identification : localisation du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49720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9 — Identification : localisation du projet</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Adresse du site</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Quartier, village ou ville</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Région</w:t>
            </w:r>
            <w:r>
              <w:rPr>
                <w:rFonts w:ascii="Arial" w:cs="Arial" w:eastAsia="Arial" w:hAnsi="Arial"/>
                <w:sz w:val="19"/>
                <w:szCs w:val="19"/>
              </w:rPr>
              <w:t xml:space="preserve"> (obligatoire) : elle alimente les aléas climatiques du volet climat.</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Type de zone</w:t>
            </w:r>
            <w:r>
              <w:rPr>
                <w:rFonts w:ascii="Arial" w:cs="Arial" w:eastAsia="Arial" w:hAnsi="Arial"/>
                <w:sz w:val="19"/>
                <w:szCs w:val="19"/>
              </w:rPr>
              <w:t xml:space="preserve"> : urbaine, industrielle, rurale, côtière, zone sensible ou protégée, oasis, montagne…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5</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Coordonnées GPS</w:t>
            </w:r>
            <w:r>
              <w:rPr>
                <w:rFonts w:ascii="Arial" w:cs="Arial" w:eastAsia="Arial" w:hAnsi="Arial"/>
                <w:sz w:val="19"/>
                <w:szCs w:val="19"/>
              </w:rPr>
              <w:t xml:space="preserve"> (latitude, longitude) : facultatives.</w:t>
            </w:r>
          </w:p>
        </w:tc>
      </w:tr>
    </w:tbl>
    <w:p>
      <w:pPr>
        <w:spacing w:after="140"/>
      </w:pPr>
    </w:p>
    <w:p>
      <w:pPr>
        <w:spacing w:after="110" w:line="288"/>
        <w:jc w:val="left"/>
      </w:pPr>
      <w:r>
        <w:rPr>
          <w:rFonts w:ascii="Arial" w:cs="Arial" w:eastAsia="Arial" w:hAnsi="Arial"/>
        </w:rPr>
        <w:t xml:space="preserve">Dès que vous cliquez sur </w:t>
      </w:r>
      <w:r>
        <w:rPr>
          <w:rFonts w:ascii="Arial" w:cs="Arial" w:eastAsia="Arial" w:hAnsi="Arial"/>
          <w:b/>
          <w:bCs/>
        </w:rPr>
        <w:t xml:space="preserve">Créer le dossier et continuer</w:t>
      </w:r>
      <w:r>
        <w:rPr>
          <w:rFonts w:ascii="Arial" w:cs="Arial" w:eastAsia="Arial" w:hAnsi="Arial"/>
        </w:rPr>
        <w:t xml:space="preserve">, l'outil attribue une </w:t>
      </w:r>
      <w:r>
        <w:rPr>
          <w:rFonts w:ascii="Arial" w:cs="Arial" w:eastAsia="Arial" w:hAnsi="Arial"/>
          <w:b/>
          <w:bCs/>
        </w:rPr>
        <w:t xml:space="preserve">référence</w:t>
      </w:r>
      <w:r>
        <w:rPr>
          <w:rFonts w:ascii="Arial" w:cs="Arial" w:eastAsia="Arial" w:hAnsi="Arial"/>
        </w:rPr>
        <w:t xml:space="preserve"> unique (préfixe de la banque, code de l'entité, année, numéro d'ordre : par exemple « SGES-BCP-CA-CASA-2026-00007 ») et vous place sur l'étape suivante. L'identification reste modifiable tant que le dossier est « En cours d'évaluation ».</w:t>
      </w:r>
    </w:p>
    <w:p>
      <w:pPr>
        <w:pStyle w:val="Heading3"/>
        <w:keepNext/>
      </w:pPr>
      <w:r>
        <w:rPr>
          <w:rFonts w:ascii="Arial" w:cs="Arial" w:eastAsia="Arial" w:hAnsi="Arial"/>
        </w:rPr>
        <w:t xml:space="preserve">L'espace de travail du dossier</w:t>
      </w:r>
    </w:p>
    <w:p>
      <w:pPr>
        <w:keepNext/>
        <w:spacing w:after="60" w:before="120"/>
        <w:jc w:val="center"/>
      </w:pPr>
      <w:r>
        <w:drawing>
          <wp:inline distT="0" distB="0" distL="0" distR="0">
            <wp:extent cx="6096000" cy="4733925"/>
            <wp:effectExtent t="0" r="0" b="0" l="0"/>
            <wp:docPr id="1" name="09-espace-dossier" descr="L'espace de travail d'un dossier" title="L'espace de travail d'un dos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473392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10 — L'espace de travail d'un dossier</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Référence du dossier</w:t>
            </w:r>
            <w:r>
              <w:rPr>
                <w:rFonts w:ascii="Arial" w:cs="Arial" w:eastAsia="Arial" w:hAnsi="Arial"/>
                <w:sz w:val="19"/>
                <w:szCs w:val="19"/>
              </w:rPr>
              <w:t xml:space="preserve">, suivie du client, de l'entité et du montant.</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Statut</w:t>
            </w:r>
            <w:r>
              <w:rPr>
                <w:rFonts w:ascii="Arial" w:cs="Arial" w:eastAsia="Arial" w:hAnsi="Arial"/>
                <w:sz w:val="19"/>
                <w:szCs w:val="19"/>
              </w:rPr>
              <w:t xml:space="preserve"> du dossier (« En cours d'évaluation »).</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Pastille </w:t>
            </w:r>
            <w:r>
              <w:rPr>
                <w:rFonts w:ascii="Arial" w:cs="Arial" w:eastAsia="Arial" w:hAnsi="Arial"/>
                <w:b/>
                <w:bCs/>
                <w:sz w:val="19"/>
                <w:szCs w:val="19"/>
              </w:rPr>
              <w:t xml:space="preserve">Évaluation E&amp;S : Obligatoire</w:t>
            </w:r>
            <w:r>
              <w:rPr>
                <w:rFonts w:ascii="Arial" w:cs="Arial" w:eastAsia="Arial" w:hAnsi="Arial"/>
                <w:sz w:val="19"/>
                <w:szCs w:val="19"/>
              </w:rPr>
              <w:t xml:space="preserve"> (ou Volontaire) selon les critères déclencheurs ; les pastilles de catégorie, de risque résiduel et de climat s'ajoutent au fil de l'évaluation.</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Ouvrir la fiche d'évaluation</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5</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Soumettre à validation</w:t>
            </w:r>
            <w:r>
              <w:rPr>
                <w:rFonts w:ascii="Arial" w:cs="Arial" w:eastAsia="Arial" w:hAnsi="Arial"/>
                <w:sz w:val="19"/>
                <w:szCs w:val="19"/>
              </w:rPr>
              <w:t xml:space="preserve"> : disponible lorsque toutes les conditions sont réunies (voir 3.8).</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6</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Annuler le dossier</w:t>
            </w:r>
            <w:r>
              <w:rPr>
                <w:rFonts w:ascii="Arial" w:cs="Arial" w:eastAsia="Arial" w:hAnsi="Arial"/>
                <w:sz w:val="19"/>
                <w:szCs w:val="19"/>
              </w:rPr>
              <w:t xml:space="preserve"> (commentaire obligatoire).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7</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Menu des étapes</w:t>
            </w:r>
            <w:r>
              <w:rPr>
                <w:rFonts w:ascii="Arial" w:cs="Arial" w:eastAsia="Arial" w:hAnsi="Arial"/>
                <w:sz w:val="19"/>
                <w:szCs w:val="19"/>
              </w:rPr>
              <w:t xml:space="preserve"> : identification, liste d'exclusion, catégorisation, risques E&amp;S, climat, plan d'actions, fiche et validation, décision du comité, suivi, puis pièces et historique.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8</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Volet de travail</w:t>
            </w:r>
            <w:r>
              <w:rPr>
                <w:rFonts w:ascii="Arial" w:cs="Arial" w:eastAsia="Arial" w:hAnsi="Arial"/>
                <w:sz w:val="19"/>
                <w:szCs w:val="19"/>
              </w:rPr>
              <w:t xml:space="preserve"> : contenu de l'étape sélectionnée.</w:t>
            </w:r>
          </w:p>
        </w:tc>
      </w:tr>
    </w:tbl>
    <w:p>
      <w:pPr>
        <w:spacing w:after="140"/>
      </w:pPr>
    </w:p>
    <w:p>
      <w:pPr>
        <w:pStyle w:val="Heading2"/>
        <w:keepNext/>
      </w:pPr>
      <w:bookmarkStart w:name="t17" w:id="1"/>
      <w:r>
        <w:rPr>
          <w:rFonts w:ascii="Arial" w:cs="Arial" w:eastAsia="Arial" w:hAnsi="Arial"/>
        </w:rPr>
        <w:t xml:space="preserve">3.2 Étape 2 — Vérifier la liste d'exclusion</w:t>
      </w:r>
      <w:bookmarkEnd w:id="1"/>
    </w:p>
    <w:p>
      <w:pPr>
        <w:spacing w:after="110" w:line="288"/>
        <w:jc w:val="left"/>
      </w:pPr>
      <w:r>
        <w:rPr>
          <w:rFonts w:ascii="Arial" w:cs="Arial" w:eastAsia="Arial" w:hAnsi="Arial"/>
        </w:rPr>
        <w:t xml:space="preserve">La procédure impose de vérifier que l'activité ou le projet à financer ne figure pas sur la </w:t>
      </w:r>
      <w:r>
        <w:rPr>
          <w:rFonts w:ascii="Arial" w:cs="Arial" w:eastAsia="Arial" w:hAnsi="Arial"/>
          <w:b/>
          <w:bCs/>
        </w:rPr>
        <w:t xml:space="preserve">liste d'exclusion de la SFI</w:t>
      </w:r>
      <w:r>
        <w:rPr>
          <w:rFonts w:ascii="Arial" w:cs="Arial" w:eastAsia="Arial" w:hAnsi="Arial"/>
        </w:rPr>
        <w:t xml:space="preserve">. L'outil présente les critères un par un (14 critères actifs par défaut : produits ou activités illégaux, armes, alcool, tabac, jeux de hasard, matériaux radioactifs, amiante, pêche au filet dérivant, travail forcé ou des enfants, exploitation forestière, produits chimiques dangereux, terres des populations autochtones, navires-citernes non conformes…).</w:t>
      </w:r>
    </w:p>
    <w:p>
      <w:pPr>
        <w:keepNext/>
        <w:spacing w:after="60" w:before="120"/>
        <w:jc w:val="center"/>
      </w:pPr>
      <w:r>
        <w:drawing>
          <wp:inline distT="0" distB="0" distL="0" distR="0">
            <wp:extent cx="6096000" cy="5562600"/>
            <wp:effectExtent t="0" r="0" b="0" l="0"/>
            <wp:docPr id="1" name="10-exclusion" descr="Liste d'exclusion" title="Liste d'excl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55626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11 — Liste d'exclusion</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Répondre « Non » à tous les critères</w:t>
            </w:r>
            <w:r>
              <w:rPr>
                <w:rFonts w:ascii="Arial" w:cs="Arial" w:eastAsia="Arial" w:hAnsi="Arial"/>
                <w:sz w:val="19"/>
                <w:szCs w:val="19"/>
              </w:rPr>
              <w:t xml:space="preserve"> : raccourci lorsque rien ne s'applique.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Oui / Non</w:t>
            </w:r>
            <w:r>
              <w:rPr>
                <w:rFonts w:ascii="Arial" w:cs="Arial" w:eastAsia="Arial" w:hAnsi="Arial"/>
                <w:sz w:val="19"/>
                <w:szCs w:val="19"/>
              </w:rPr>
              <w:t xml:space="preserve"> pour chaque critère. Il faut répondre à </w:t>
            </w:r>
            <w:r>
              <w:rPr>
                <w:rFonts w:ascii="Arial" w:cs="Arial" w:eastAsia="Arial" w:hAnsi="Arial"/>
                <w:b/>
                <w:bCs/>
                <w:sz w:val="19"/>
                <w:szCs w:val="19"/>
              </w:rPr>
              <w:t xml:space="preserve">tous</w:t>
            </w:r>
            <w:r>
              <w:rPr>
                <w:rFonts w:ascii="Arial" w:cs="Arial" w:eastAsia="Arial" w:hAnsi="Arial"/>
                <w:sz w:val="19"/>
                <w:szCs w:val="19"/>
              </w:rPr>
              <w:t xml:space="preserve"> les critères.</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Pastille </w:t>
            </w:r>
            <w:r>
              <w:rPr>
                <w:rFonts w:ascii="Arial" w:cs="Arial" w:eastAsia="Arial" w:hAnsi="Arial"/>
                <w:b/>
                <w:bCs/>
                <w:sz w:val="19"/>
                <w:szCs w:val="19"/>
              </w:rPr>
              <w:t xml:space="preserve">Bloquant</w:t>
            </w:r>
            <w:r>
              <w:rPr>
                <w:rFonts w:ascii="Arial" w:cs="Arial" w:eastAsia="Arial" w:hAnsi="Arial"/>
                <w:sz w:val="19"/>
                <w:szCs w:val="19"/>
              </w:rPr>
              <w:t xml:space="preserve"> : un « Oui » à ce critère interdit de présenter le dossier au comité.</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Source</w:t>
            </w:r>
            <w:r>
              <w:rPr>
                <w:rFonts w:ascii="Arial" w:cs="Arial" w:eastAsia="Arial" w:hAnsi="Arial"/>
                <w:sz w:val="19"/>
                <w:szCs w:val="19"/>
              </w:rPr>
              <w:t xml:space="preserve"> du critère (SFI, ou politique propre au groupe).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5</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Enregistrer</w:t>
            </w:r>
            <w:r>
              <w:rPr>
                <w:rFonts w:ascii="Arial" w:cs="Arial" w:eastAsia="Arial" w:hAnsi="Arial"/>
                <w:sz w:val="19"/>
                <w:szCs w:val="19"/>
              </w:rPr>
              <w:t xml:space="preserve"> (barre du bas) : le bandeau « Modifications non enregistrées » disparaît.</w:t>
            </w:r>
          </w:p>
        </w:tc>
      </w:tr>
    </w:tbl>
    <w:p>
      <w:pPr>
        <w:spacing w:after="140"/>
      </w:pPr>
    </w:p>
    <w:p>
      <w:pPr>
        <w:spacing w:after="110" w:line="288"/>
        <w:jc w:val="left"/>
      </w:pPr>
      <w:r>
        <w:rPr>
          <w:rFonts w:ascii="Arial" w:cs="Arial" w:eastAsia="Arial" w:hAnsi="Arial"/>
        </w:rPr>
        <w:t xml:space="preserve">Un seul « Oui » suffit pour inscrire le projet sur la liste d'exclusion. Dans ce cas :</w:t>
      </w:r>
    </w:p>
    <w:p>
      <w:pPr>
        <w:pStyle w:val="ListParagraph"/>
        <w:numPr>
          <w:ilvl w:val="0"/>
          <w:numId w:val="2"/>
        </w:numPr>
        <w:spacing w:after="50" w:line="276"/>
      </w:pPr>
      <w:r>
        <w:rPr>
          <w:rFonts w:ascii="Arial" w:cs="Arial" w:eastAsia="Arial" w:hAnsi="Arial"/>
        </w:rPr>
        <w:t xml:space="preserve">un champ </w:t>
      </w:r>
      <w:r>
        <w:rPr>
          <w:rFonts w:ascii="Arial" w:cs="Arial" w:eastAsia="Arial" w:hAnsi="Arial"/>
          <w:b/>
          <w:bCs/>
        </w:rPr>
        <w:t xml:space="preserve">Motif / justification</w:t>
      </w:r>
      <w:r>
        <w:rPr>
          <w:rFonts w:ascii="Arial" w:cs="Arial" w:eastAsia="Arial" w:hAnsi="Arial"/>
        </w:rPr>
        <w:t xml:space="preserve"> devient obligatoire (raison de l'inscription et mesures de mise en conformité attendues du client) ;</w:t>
      </w:r>
    </w:p>
    <w:p>
      <w:pPr>
        <w:pStyle w:val="ListParagraph"/>
        <w:numPr>
          <w:ilvl w:val="0"/>
          <w:numId w:val="2"/>
        </w:numPr>
        <w:spacing w:after="50" w:line="276"/>
      </w:pPr>
      <w:r>
        <w:rPr>
          <w:rFonts w:ascii="Arial" w:cs="Arial" w:eastAsia="Arial" w:hAnsi="Arial"/>
        </w:rPr>
        <w:t xml:space="preserve">le </w:t>
      </w:r>
      <w:r>
        <w:rPr>
          <w:rFonts w:ascii="Arial" w:cs="Arial" w:eastAsia="Arial" w:hAnsi="Arial"/>
          <w:b/>
          <w:bCs/>
        </w:rPr>
        <w:t xml:space="preserve">Responsable RSE est notifié</w:t>
      </w:r>
      <w:r>
        <w:rPr>
          <w:rFonts w:ascii="Arial" w:cs="Arial" w:eastAsia="Arial" w:hAnsi="Arial"/>
        </w:rPr>
        <w:t xml:space="preserve"> automatiquement ;</w:t>
      </w:r>
    </w:p>
    <w:p>
      <w:pPr>
        <w:pStyle w:val="ListParagraph"/>
        <w:numPr>
          <w:ilvl w:val="0"/>
          <w:numId w:val="2"/>
        </w:numPr>
        <w:spacing w:after="50" w:line="276"/>
      </w:pPr>
      <w:r>
        <w:rPr>
          <w:rFonts w:ascii="Arial" w:cs="Arial" w:eastAsia="Arial" w:hAnsi="Arial"/>
        </w:rPr>
        <w:t xml:space="preserve">si le critère est « bloquant », le bouton de soumission reste inaccessible : le dossier ne peut pas être présenté.</w:t>
      </w:r>
    </w:p>
    <w:p>
      <w:pPr>
        <w:spacing w:after="110" w:line="288"/>
        <w:jc w:val="left"/>
      </w:pPr>
      <w:r>
        <w:rPr>
          <w:rFonts w:ascii="Arial" w:cs="Arial" w:eastAsia="Arial" w:hAnsi="Arial"/>
        </w:rPr>
        <w:t xml:space="preserve">Sous la liste, un bandeau résume le résultat : « Le projet ne figure pas sur la liste d'exclusion » (en vert) ou « Le projet figure sur la liste d'exclusion ».</w:t>
      </w:r>
    </w:p>
    <w:p>
      <w:pPr>
        <w:pStyle w:val="Heading2"/>
        <w:keepNext/>
      </w:pPr>
      <w:bookmarkStart w:name="t18" w:id="1"/>
      <w:r>
        <w:rPr>
          <w:rFonts w:ascii="Arial" w:cs="Arial" w:eastAsia="Arial" w:hAnsi="Arial"/>
        </w:rPr>
        <w:t xml:space="preserve">3.3 Étape 3 — Catégoriser le projet</w:t>
      </w:r>
      <w:bookmarkEnd w:id="1"/>
    </w:p>
    <w:p>
      <w:pPr>
        <w:spacing w:after="110" w:line="288"/>
        <w:jc w:val="left"/>
      </w:pPr>
      <w:r>
        <w:rPr>
          <w:rFonts w:ascii="Arial" w:cs="Arial" w:eastAsia="Arial" w:hAnsi="Arial"/>
        </w:rPr>
        <w:t xml:space="preserve">Le </w:t>
      </w:r>
      <w:r>
        <w:rPr>
          <w:rFonts w:ascii="Arial" w:cs="Arial" w:eastAsia="Arial" w:hAnsi="Arial"/>
          <w:b/>
          <w:bCs/>
        </w:rPr>
        <w:t xml:space="preserve">formulaire de catégorisation</w:t>
      </w:r>
      <w:r>
        <w:rPr>
          <w:rFonts w:ascii="Arial" w:cs="Arial" w:eastAsia="Arial" w:hAnsi="Arial"/>
        </w:rPr>
        <w:t xml:space="preserve"> compte </w:t>
      </w:r>
      <w:r>
        <w:rPr>
          <w:rFonts w:ascii="Arial" w:cs="Arial" w:eastAsia="Arial" w:hAnsi="Arial"/>
          <w:b/>
          <w:bCs/>
        </w:rPr>
        <w:t xml:space="preserve">25 éléments</w:t>
      </w:r>
      <w:r>
        <w:rPr>
          <w:rFonts w:ascii="Arial" w:cs="Arial" w:eastAsia="Arial" w:hAnsi="Arial"/>
        </w:rPr>
        <w:t xml:space="preserve"> regroupés en quatre catégories. Il faut répondre « Oui » ou « Non » à chacun.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2"/>
        <w:gridCol w:w="7294"/>
        <w:gridCol w:w="1302"/>
      </w:tblGrid>
      <w:tr>
        <w:trPr>
          <w:cantSplit/>
          <w:tblHeader/>
        </w:trPr>
        <w:tc>
          <w:tcPr>
            <w:tcW w:type="dxa" w:w="1042"/>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Catégorie</w:t>
            </w:r>
          </w:p>
        </w:tc>
        <w:tc>
          <w:tcPr>
            <w:tcW w:type="dxa" w:w="7294"/>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Définition</w:t>
            </w:r>
          </w:p>
        </w:tc>
        <w:tc>
          <w:tcPr>
            <w:tcW w:type="dxa" w:w="1302"/>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Éléments</w:t>
            </w:r>
          </w:p>
        </w:tc>
      </w:tr>
      <w:tr>
        <w:trPr>
          <w:cantSplit/>
        </w:trPr>
        <w:tc>
          <w:tcPr>
            <w:tcW w:type="dxa" w:w="1042"/>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A</w:t>
            </w:r>
          </w:p>
        </w:tc>
        <w:tc>
          <w:tcPr>
            <w:tcW w:type="dxa" w:w="7294"/>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Impacts négatifs potentiels significatifs, hétérogènes, irréversibles ou sans précédent (grandes usines, infrastructures, forêt vierge, patrimoine culturel, déplacement de populations, habitats protégés…).</w:t>
            </w:r>
          </w:p>
        </w:tc>
        <w:tc>
          <w:tcPr>
            <w:tcW w:type="dxa" w:w="1302"/>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11</w:t>
            </w:r>
          </w:p>
        </w:tc>
      </w:tr>
      <w:tr>
        <w:trPr>
          <w:cantSplit/>
        </w:trPr>
        <w:tc>
          <w:tcPr>
            <w:tcW w:type="dxa" w:w="1042"/>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B</w:t>
            </w:r>
          </w:p>
        </w:tc>
        <w:tc>
          <w:tcPr>
            <w:tcW w:type="dxa" w:w="7294"/>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Impacts limités, propres au site, largement réversibles et faciles à atténuer (déchets liquides ou solides, émissions, substances toxiques, consommation d'eau ou d'énergie, bruit, santé et sécurité, permis, sols pollués…).</w:t>
            </w:r>
          </w:p>
        </w:tc>
        <w:tc>
          <w:tcPr>
            <w:tcW w:type="dxa" w:w="1302"/>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12</w:t>
            </w:r>
          </w:p>
        </w:tc>
      </w:tr>
      <w:tr>
        <w:trPr>
          <w:cantSplit/>
        </w:trPr>
        <w:tc>
          <w:tcPr>
            <w:tcW w:type="dxa" w:w="1042"/>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C</w:t>
            </w:r>
          </w:p>
        </w:tc>
        <w:tc>
          <w:tcPr>
            <w:tcW w:type="dxa" w:w="7294"/>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Impacts minimes ou nuls (société de service).</w:t>
            </w:r>
          </w:p>
        </w:tc>
        <w:tc>
          <w:tcPr>
            <w:tcW w:type="dxa" w:w="1302"/>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1</w:t>
            </w:r>
          </w:p>
        </w:tc>
      </w:tr>
      <w:tr>
        <w:trPr>
          <w:cantSplit/>
        </w:trPr>
        <w:tc>
          <w:tcPr>
            <w:tcW w:type="dxa" w:w="1042"/>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FI</w:t>
            </w:r>
          </w:p>
        </w:tc>
        <w:tc>
          <w:tcPr>
            <w:tcW w:type="dxa" w:w="7294"/>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Investissement via un intermédiaire financier (assurance, société de financement, crédit-bail, microfinance, fonds…).</w:t>
            </w:r>
          </w:p>
        </w:tc>
        <w:tc>
          <w:tcPr>
            <w:tcW w:type="dxa" w:w="1302"/>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1</w:t>
            </w:r>
          </w:p>
        </w:tc>
      </w:tr>
    </w:tbl>
    <w:p>
      <w:pPr>
        <w:spacing w:after="80"/>
      </w:pPr>
    </w:p>
    <w:p>
      <w:pPr>
        <w:keepNext/>
        <w:spacing w:after="60" w:before="120"/>
        <w:jc w:val="center"/>
      </w:pPr>
      <w:r>
        <w:drawing>
          <wp:inline distT="0" distB="0" distL="0" distR="0">
            <wp:extent cx="6096000" cy="5562600"/>
            <wp:effectExtent t="0" r="0" b="0" l="0"/>
            <wp:docPr id="1" name="12-categorisation" descr="Formulaire de catégorisation" title="Formulaire de catég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55626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12 — Formulaire de catégorisation</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Catégorie A</w:t>
            </w:r>
            <w:r>
              <w:rPr>
                <w:rFonts w:ascii="Arial" w:cs="Arial" w:eastAsia="Arial" w:hAnsi="Arial"/>
                <w:sz w:val="19"/>
                <w:szCs w:val="19"/>
              </w:rPr>
              <w:t xml:space="preserve"> : onze éléments à fort impact. Un seul « Oui » dans ce groupe classe le projet en catégorie A, quelles que soient les autres réponses.</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Oui / Non</w:t>
            </w:r>
            <w:r>
              <w:rPr>
                <w:rFonts w:ascii="Arial" w:cs="Arial" w:eastAsia="Arial" w:hAnsi="Arial"/>
                <w:sz w:val="19"/>
                <w:szCs w:val="19"/>
              </w:rPr>
              <w:t xml:space="preserve"> pour chaque élément (ici, toutes les réponses A sont « Non »).</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Catégorie calculée</w:t>
            </w:r>
            <w:r>
              <w:rPr>
                <w:rFonts w:ascii="Arial" w:cs="Arial" w:eastAsia="Arial" w:hAnsi="Arial"/>
                <w:sz w:val="19"/>
                <w:szCs w:val="19"/>
              </w:rPr>
              <w:t xml:space="preserve"> : le résultat se met à jour en direct. Il rappelle l'indication sectorielle et la règle de préséance.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Enregistrer</w:t>
            </w:r>
            <w:r>
              <w:rPr>
                <w:rFonts w:ascii="Arial" w:cs="Arial" w:eastAsia="Arial" w:hAnsi="Arial"/>
                <w:sz w:val="19"/>
                <w:szCs w:val="19"/>
              </w:rPr>
              <w:t xml:space="preserve"> : l'enregistrement fixe la catégorie du dossier.</w:t>
            </w:r>
          </w:p>
        </w:tc>
      </w:tr>
    </w:tbl>
    <w:p>
      <w:pPr>
        <w:spacing w:after="140"/>
      </w:pPr>
    </w:p>
    <w:p>
      <w:pPr>
        <w:keepNext/>
        <w:spacing w:after="60" w:before="120"/>
        <w:jc w:val="center"/>
      </w:pPr>
      <w:r>
        <w:drawing>
          <wp:inline distT="0" distB="0" distL="0" distR="0">
            <wp:extent cx="6096000" cy="4972050"/>
            <wp:effectExtent t="0" r="0" b="0" l="0"/>
            <wp:docPr id="1" name="12b-categorisation-b" descr="Éléments de catégorie B cochés et catégorie calculée" title="Éléments de catégorie B cochés et catégorie calcul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49720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13 — Éléments de catégorie B cochés et catégorie calculée</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Éléments de catégorie B : ici « Oui » aux déchets liquides, aux émissions dans l'air, aux déchets solides, à la consommation d'eau et d'énergie, au bruit, à la santé et sécurité et aux permis.</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La catégorie calculée passe à </w:t>
            </w:r>
            <w:r>
              <w:rPr>
                <w:rFonts w:ascii="Arial" w:cs="Arial" w:eastAsia="Arial" w:hAnsi="Arial"/>
                <w:b/>
                <w:bCs/>
                <w:sz w:val="19"/>
                <w:szCs w:val="19"/>
              </w:rPr>
              <w:t xml:space="preserve">B</w:t>
            </w:r>
            <w:r>
              <w:rPr>
                <w:rFonts w:ascii="Arial" w:cs="Arial" w:eastAsia="Arial" w:hAnsi="Arial"/>
                <w:sz w:val="19"/>
                <w:szCs w:val="19"/>
              </w:rPr>
              <w:t xml:space="preserve">.</w:t>
            </w:r>
          </w:p>
        </w:tc>
      </w:tr>
    </w:tbl>
    <w:p>
      <w:pPr>
        <w:spacing w:after="140"/>
      </w:pPr>
    </w:p>
    <w:tbl>
      <w:tblPr>
        <w:tblW w:type="dxa" w:w="9638"/>
        <w:tblBorders>
          <w:top w:val="none" w:color="FFFFFF" w:sz="0"/>
          <w:left w:val="single" w:color="6B728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6B7280" w:sz="24"/>
              <w:bottom w:val="none" w:color="FFFFFF" w:sz="0"/>
              <w:right w:val="none" w:color="FFFFFF" w:sz="0"/>
            </w:tcBorders>
            <w:shd w:fill="F1F2F4" w:color="auto" w:val="clear"/>
            <w:tcMar>
              <w:top w:type="dxa" w:w="100"/>
              <w:left w:type="dxa" w:w="180"/>
              <w:bottom w:type="dxa" w:w="80"/>
              <w:right w:type="dxa" w:w="160"/>
            </w:tcMar>
          </w:tcPr>
          <w:p>
            <w:pPr>
              <w:keepNext/>
              <w:spacing w:after="40"/>
            </w:pPr>
            <w:r>
              <w:rPr>
                <w:rFonts w:ascii="Arial" w:cs="Arial" w:eastAsia="Arial" w:hAnsi="Arial"/>
                <w:b/>
                <w:bCs/>
                <w:color w:val="6B7280"/>
                <w:sz w:val="20"/>
                <w:szCs w:val="20"/>
              </w:rPr>
              <w:t xml:space="preserve">Règle de catégorisation (procédure CFD12340876/0217, § 3.3)</w:t>
            </w:r>
          </w:p>
          <w:p>
            <w:pPr>
              <w:spacing w:after="40" w:line="270"/>
            </w:pPr>
            <w:r>
              <w:rPr>
                <w:rFonts w:ascii="Arial" w:cs="Arial" w:eastAsia="Arial" w:hAnsi="Arial"/>
                <w:sz w:val="20"/>
                <w:szCs w:val="20"/>
              </w:rPr>
              <w:t xml:space="preserve">Un « Oui » à un élément </w:t>
            </w:r>
            <w:r>
              <w:rPr>
                <w:rFonts w:ascii="Arial" w:cs="Arial" w:eastAsia="Arial" w:hAnsi="Arial"/>
                <w:b/>
                <w:bCs/>
                <w:sz w:val="20"/>
                <w:szCs w:val="20"/>
              </w:rPr>
              <w:t xml:space="preserve">A</w:t>
            </w:r>
            <w:r>
              <w:rPr>
                <w:rFonts w:ascii="Arial" w:cs="Arial" w:eastAsia="Arial" w:hAnsi="Arial"/>
                <w:sz w:val="20"/>
                <w:szCs w:val="20"/>
              </w:rPr>
              <w:t xml:space="preserve"> classe le projet en </w:t>
            </w:r>
            <w:r>
              <w:rPr>
                <w:rFonts w:ascii="Arial" w:cs="Arial" w:eastAsia="Arial" w:hAnsi="Arial"/>
                <w:b/>
                <w:bCs/>
                <w:sz w:val="20"/>
                <w:szCs w:val="20"/>
              </w:rPr>
              <w:t xml:space="preserve">A</w:t>
            </w:r>
            <w:r>
              <w:rPr>
                <w:rFonts w:ascii="Arial" w:cs="Arial" w:eastAsia="Arial" w:hAnsi="Arial"/>
                <w:sz w:val="20"/>
                <w:szCs w:val="20"/>
              </w:rPr>
              <w:t xml:space="preserve">. Sinon, un « Oui » à un élément </w:t>
            </w:r>
            <w:r>
              <w:rPr>
                <w:rFonts w:ascii="Arial" w:cs="Arial" w:eastAsia="Arial" w:hAnsi="Arial"/>
                <w:b/>
                <w:bCs/>
                <w:sz w:val="20"/>
                <w:szCs w:val="20"/>
              </w:rPr>
              <w:t xml:space="preserve">B</w:t>
            </w:r>
            <w:r>
              <w:rPr>
                <w:rFonts w:ascii="Arial" w:cs="Arial" w:eastAsia="Arial" w:hAnsi="Arial"/>
                <w:sz w:val="20"/>
                <w:szCs w:val="20"/>
              </w:rPr>
              <w:t xml:space="preserve"> le classe en </w:t>
            </w:r>
            <w:r>
              <w:rPr>
                <w:rFonts w:ascii="Arial" w:cs="Arial" w:eastAsia="Arial" w:hAnsi="Arial"/>
                <w:b/>
                <w:bCs/>
                <w:sz w:val="20"/>
                <w:szCs w:val="20"/>
              </w:rPr>
              <w:t xml:space="preserve">B</w:t>
            </w:r>
            <w:r>
              <w:rPr>
                <w:rFonts w:ascii="Arial" w:cs="Arial" w:eastAsia="Arial" w:hAnsi="Arial"/>
                <w:sz w:val="20"/>
                <w:szCs w:val="20"/>
              </w:rPr>
              <w:t xml:space="preserve">. Sinon, il est </w:t>
            </w:r>
            <w:r>
              <w:rPr>
                <w:rFonts w:ascii="Arial" w:cs="Arial" w:eastAsia="Arial" w:hAnsi="Arial"/>
                <w:b/>
                <w:bCs/>
                <w:sz w:val="20"/>
                <w:szCs w:val="20"/>
              </w:rPr>
              <w:t xml:space="preserve">C</w:t>
            </w:r>
            <w:r>
              <w:rPr>
                <w:rFonts w:ascii="Arial" w:cs="Arial" w:eastAsia="Arial" w:hAnsi="Arial"/>
                <w:sz w:val="20"/>
                <w:szCs w:val="20"/>
              </w:rPr>
              <w:t xml:space="preserve"> ou </w:t>
            </w:r>
            <w:r>
              <w:rPr>
                <w:rFonts w:ascii="Arial" w:cs="Arial" w:eastAsia="Arial" w:hAnsi="Arial"/>
                <w:b/>
                <w:bCs/>
                <w:sz w:val="20"/>
                <w:szCs w:val="20"/>
              </w:rPr>
              <w:t xml:space="preserve">FI</w:t>
            </w:r>
            <w:r>
              <w:rPr>
                <w:rFonts w:ascii="Arial" w:cs="Arial" w:eastAsia="Arial" w:hAnsi="Arial"/>
                <w:sz w:val="20"/>
                <w:szCs w:val="20"/>
              </w:rPr>
              <w:t xml:space="preserve"> selon l'élément coché.</w:t>
            </w:r>
          </w:p>
          <w:p>
            <w:pPr>
              <w:spacing w:after="40" w:line="270"/>
            </w:pPr>
            <w:r>
              <w:rPr>
                <w:rFonts w:ascii="Arial" w:cs="Arial" w:eastAsia="Arial" w:hAnsi="Arial"/>
                <w:sz w:val="20"/>
                <w:szCs w:val="20"/>
              </w:rPr>
              <w:t xml:space="preserve">En cas de réponses positives dans plusieurs catégories, la plus significative l'emporte, selon l'ordre de préséance paramétré (par défaut </w:t>
            </w:r>
            <w:r>
              <w:rPr>
                <w:rFonts w:ascii="Arial" w:cs="Arial" w:eastAsia="Arial" w:hAnsi="Arial"/>
                <w:b/>
                <w:bCs/>
                <w:sz w:val="20"/>
                <w:szCs w:val="20"/>
              </w:rPr>
              <w:t xml:space="preserve">A, puis B, puis FI, puis C</w:t>
            </w:r>
            <w:r>
              <w:rPr>
                <w:rFonts w:ascii="Arial" w:cs="Arial" w:eastAsia="Arial" w:hAnsi="Arial"/>
                <w:sz w:val="20"/>
                <w:szCs w:val="20"/>
              </w:rPr>
              <w:t xml:space="preserve">).</w:t>
            </w:r>
          </w:p>
        </w:tc>
      </w:tr>
    </w:tbl>
    <w:p>
      <w:pPr>
        <w:spacing w:after="110" w:line="288"/>
        <w:jc w:val="left"/>
      </w:pPr>
      <w:r>
        <w:rPr>
          <w:rFonts w:ascii="Arial" w:cs="Arial" w:eastAsia="Arial" w:hAnsi="Arial"/>
        </w:rPr>
        <w:t xml:space="preserve">Conséquences de la catégorie :</w:t>
      </w:r>
    </w:p>
    <w:p>
      <w:pPr>
        <w:pStyle w:val="ListParagraph"/>
        <w:numPr>
          <w:ilvl w:val="0"/>
          <w:numId w:val="2"/>
        </w:numPr>
        <w:spacing w:after="50" w:line="276"/>
      </w:pPr>
      <w:r>
        <w:rPr>
          <w:rFonts w:ascii="Arial" w:cs="Arial" w:eastAsia="Arial" w:hAnsi="Arial"/>
          <w:b/>
          <w:bCs/>
        </w:rPr>
        <w:t xml:space="preserve">Catégorie A</w:t>
      </w:r>
      <w:r>
        <w:rPr>
          <w:rFonts w:ascii="Arial" w:cs="Arial" w:eastAsia="Arial" w:hAnsi="Arial"/>
        </w:rPr>
        <w:t xml:space="preserve"> : une </w:t>
      </w:r>
      <w:r>
        <w:rPr>
          <w:rFonts w:ascii="Arial" w:cs="Arial" w:eastAsia="Arial" w:hAnsi="Arial"/>
          <w:b/>
          <w:bCs/>
        </w:rPr>
        <w:t xml:space="preserve">étude d'impact (EIES)</w:t>
      </w:r>
      <w:r>
        <w:rPr>
          <w:rFonts w:ascii="Arial" w:cs="Arial" w:eastAsia="Arial" w:hAnsi="Arial"/>
        </w:rPr>
        <w:t xml:space="preserve"> réalisée par un cabinet spécialisé est exigée et doit être jointe au dossier ; le Responsable RSE est notifié ; le niveau de risque résiduel est relevé d'un cran.</w:t>
      </w:r>
    </w:p>
    <w:p>
      <w:pPr>
        <w:pStyle w:val="ListParagraph"/>
        <w:numPr>
          <w:ilvl w:val="0"/>
          <w:numId w:val="2"/>
        </w:numPr>
        <w:spacing w:after="50" w:line="276"/>
      </w:pPr>
      <w:r>
        <w:rPr>
          <w:rFonts w:ascii="Arial" w:cs="Arial" w:eastAsia="Arial" w:hAnsi="Arial"/>
          <w:b/>
          <w:bCs/>
        </w:rPr>
        <w:t xml:space="preserve">Catégorie FI</w:t>
      </w:r>
      <w:r>
        <w:rPr>
          <w:rFonts w:ascii="Arial" w:cs="Arial" w:eastAsia="Arial" w:hAnsi="Arial"/>
        </w:rPr>
        <w:t xml:space="preserve"> : précisez la </w:t>
      </w:r>
      <w:r>
        <w:rPr>
          <w:rFonts w:ascii="Arial" w:cs="Arial" w:eastAsia="Arial" w:hAnsi="Arial"/>
          <w:b/>
          <w:bCs/>
        </w:rPr>
        <w:t xml:space="preserve">sous-catégorie</w:t>
      </w:r>
      <w:r>
        <w:rPr>
          <w:rFonts w:ascii="Arial" w:cs="Arial" w:eastAsia="Arial" w:hAnsi="Arial"/>
        </w:rPr>
        <w:t xml:space="preserve"> FI-1 (portefeuille exposé à des activités de catégorie A), FI-2 (catégorie B) ou FI-3 (impacts minimes).</w:t>
      </w:r>
    </w:p>
    <w:p>
      <w:pPr>
        <w:pStyle w:val="ListParagraph"/>
        <w:numPr>
          <w:ilvl w:val="0"/>
          <w:numId w:val="2"/>
        </w:numPr>
        <w:spacing w:after="50" w:line="276"/>
      </w:pPr>
      <w:r>
        <w:rPr>
          <w:rFonts w:ascii="Arial" w:cs="Arial" w:eastAsia="Arial" w:hAnsi="Arial"/>
        </w:rPr>
        <w:t xml:space="preserve">Chaque catégorie déclenche </w:t>
      </w:r>
      <w:r>
        <w:rPr>
          <w:rFonts w:ascii="Arial" w:cs="Arial" w:eastAsia="Arial" w:hAnsi="Arial"/>
          <w:b/>
          <w:bCs/>
        </w:rPr>
        <w:t xml:space="preserve">sa propre check-list</w:t>
      </w:r>
      <w:r>
        <w:rPr>
          <w:rFonts w:ascii="Arial" w:cs="Arial" w:eastAsia="Arial" w:hAnsi="Arial"/>
        </w:rPr>
        <w:t xml:space="preserve"> à l'étape suivante.</w:t>
      </w:r>
    </w:p>
    <w:tbl>
      <w:tblPr>
        <w:tblW w:type="dxa" w:w="9638"/>
        <w:tblBorders>
          <w:top w:val="none" w:color="FFFFFF" w:sz="0"/>
          <w:left w:val="single" w:color="2563A8"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563A8" w:sz="24"/>
              <w:bottom w:val="none" w:color="FFFFFF" w:sz="0"/>
              <w:right w:val="none" w:color="FFFFFF" w:sz="0"/>
            </w:tcBorders>
            <w:shd w:fill="EAF2FB" w:color="auto" w:val="clear"/>
            <w:tcMar>
              <w:top w:type="dxa" w:w="100"/>
              <w:left w:type="dxa" w:w="180"/>
              <w:bottom w:type="dxa" w:w="80"/>
              <w:right w:type="dxa" w:w="160"/>
            </w:tcMar>
          </w:tcPr>
          <w:p>
            <w:pPr>
              <w:keepNext/>
              <w:spacing w:after="40"/>
            </w:pPr>
            <w:r>
              <w:rPr>
                <w:rFonts w:ascii="Arial" w:cs="Arial" w:eastAsia="Arial" w:hAnsi="Arial"/>
                <w:b/>
                <w:bCs/>
                <w:color w:val="2563A8"/>
                <w:sz w:val="20"/>
                <w:szCs w:val="20"/>
              </w:rPr>
              <w:t xml:space="preserve">Reclassement</w:t>
            </w:r>
          </w:p>
          <w:p>
            <w:pPr>
              <w:spacing w:after="40" w:line="270"/>
            </w:pPr>
            <w:r>
              <w:rPr>
                <w:rFonts w:ascii="Arial" w:cs="Arial" w:eastAsia="Arial" w:hAnsi="Arial"/>
                <w:sz w:val="20"/>
                <w:szCs w:val="20"/>
              </w:rPr>
              <w:t xml:space="preserve">Seul le </w:t>
            </w:r>
            <w:r>
              <w:rPr>
                <w:rFonts w:ascii="Arial" w:cs="Arial" w:eastAsia="Arial" w:hAnsi="Arial"/>
                <w:b/>
                <w:bCs/>
                <w:sz w:val="20"/>
                <w:szCs w:val="20"/>
              </w:rPr>
              <w:t xml:space="preserve">Responsable RSE</w:t>
            </w:r>
            <w:r>
              <w:rPr>
                <w:rFonts w:ascii="Arial" w:cs="Arial" w:eastAsia="Arial" w:hAnsi="Arial"/>
                <w:sz w:val="20"/>
                <w:szCs w:val="20"/>
              </w:rPr>
              <w:t xml:space="preserve"> peut retenir une catégorie différente de la catégorie calculée, avec une justification obligatoire ; le reclassement est journalisé et notifié (voir le chapitre 6).</w:t>
            </w:r>
          </w:p>
        </w:tc>
      </w:tr>
    </w:tbl>
    <w:p>
      <w:pPr>
        <w:pStyle w:val="Heading2"/>
        <w:keepNext/>
      </w:pPr>
      <w:bookmarkStart w:name="t19" w:id="1"/>
      <w:r>
        <w:rPr>
          <w:rFonts w:ascii="Arial" w:cs="Arial" w:eastAsia="Arial" w:hAnsi="Arial"/>
        </w:rPr>
        <w:t xml:space="preserve">3.4 Étape 4 — Identifier les risques E&amp;S (check-lists)</w:t>
      </w:r>
      <w:bookmarkEnd w:id="1"/>
    </w:p>
    <w:p>
      <w:pPr>
        <w:spacing w:after="110" w:line="288"/>
        <w:jc w:val="left"/>
      </w:pPr>
      <w:r>
        <w:rPr>
          <w:rFonts w:ascii="Arial" w:cs="Arial" w:eastAsia="Arial" w:hAnsi="Arial"/>
        </w:rPr>
        <w:t xml:space="preserve">Le questionnaire dépend de la catégorie : l'outil n'affiche que les questions applicables (catégorie, et éventuellement secteur). Pour notre projet de catégorie B, il comporte </w:t>
      </w:r>
      <w:r>
        <w:rPr>
          <w:rFonts w:ascii="Arial" w:cs="Arial" w:eastAsia="Arial" w:hAnsi="Arial"/>
          <w:b/>
          <w:bCs/>
        </w:rPr>
        <w:t xml:space="preserve">46 questions</w:t>
      </w:r>
      <w:r>
        <w:rPr>
          <w:rFonts w:ascii="Arial" w:cs="Arial" w:eastAsia="Arial" w:hAnsi="Arial"/>
        </w:rPr>
        <w:t xml:space="preserve"> réparties en thématiques : signalétique de l'entreprise, gestion environnementale (effluents, déchets, air et bruit, produits dangereux, urgence, autorisations, système de gestion, eau et énergie), hygiène et sécurité, ressources humaines, normes de performance SFI et Principes de l'Équateur, climat et énergie.</w:t>
      </w:r>
    </w:p>
    <w:p>
      <w:pPr>
        <w:keepNext/>
        <w:spacing w:after="60" w:before="120"/>
        <w:jc w:val="center"/>
      </w:pPr>
      <w:r>
        <w:drawing>
          <wp:inline distT="0" distB="0" distL="0" distR="0">
            <wp:extent cx="6096000" cy="5562600"/>
            <wp:effectExtent t="0" r="0" b="0" l="0"/>
            <wp:docPr id="1" name="13-evaluation" descr="Check-list E&amp;S : écran d'ouverture" title="Check-list E&amp;S : écran d'ouver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55626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14 — Check-list E&amp;S : écran d'ouverture</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Check-list de la catégorie du projet</w:t>
            </w:r>
            <w:r>
              <w:rPr>
                <w:rFonts w:ascii="Arial" w:cs="Arial" w:eastAsia="Arial" w:hAnsi="Arial"/>
                <w:sz w:val="19"/>
                <w:szCs w:val="19"/>
              </w:rPr>
              <w:t xml:space="preserve"> (ici catégorie B) : thématiques et nombre de questions applicables.</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Filtres</w:t>
            </w:r>
            <w:r>
              <w:rPr>
                <w:rFonts w:ascii="Arial" w:cs="Arial" w:eastAsia="Arial" w:hAnsi="Arial"/>
                <w:sz w:val="19"/>
                <w:szCs w:val="19"/>
              </w:rPr>
              <w:t xml:space="preserve"> : toutes les questions, risques non maîtrisés seulement, ou questions sans réponse.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Imprimer le questionnaire pour le client</w:t>
            </w:r>
            <w:r>
              <w:rPr>
                <w:rFonts w:ascii="Arial" w:cs="Arial" w:eastAsia="Arial" w:hAnsi="Arial"/>
                <w:sz w:val="19"/>
                <w:szCs w:val="19"/>
              </w:rPr>
              <w:t xml:space="preserve"> : version papier à faire remplir lors d'une visite.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Risque E&amp;S résiduel</w:t>
            </w:r>
            <w:r>
              <w:rPr>
                <w:rFonts w:ascii="Arial" w:cs="Arial" w:eastAsia="Arial" w:hAnsi="Arial"/>
                <w:sz w:val="19"/>
                <w:szCs w:val="19"/>
              </w:rPr>
              <w:t xml:space="preserve"> : score, niveau, avancement et nombre de risques non maîtrisés, mis à jour en direct.</w:t>
            </w:r>
          </w:p>
        </w:tc>
      </w:tr>
    </w:tbl>
    <w:p>
      <w:pPr>
        <w:spacing w:after="140"/>
      </w:pPr>
    </w:p>
    <w:p>
      <w:pPr>
        <w:spacing w:after="110" w:line="288"/>
        <w:jc w:val="left"/>
      </w:pPr>
      <w:r>
        <w:rPr>
          <w:rFonts w:ascii="Arial" w:cs="Arial" w:eastAsia="Arial" w:hAnsi="Arial"/>
        </w:rPr>
        <w:t xml:space="preserve">Types de réponse selon la question : </w:t>
      </w:r>
      <w:r>
        <w:rPr>
          <w:rFonts w:ascii="Arial" w:cs="Arial" w:eastAsia="Arial" w:hAnsi="Arial"/>
          <w:b/>
          <w:bCs/>
        </w:rPr>
        <w:t xml:space="preserve">Oui / Non / Sans objet</w:t>
      </w:r>
      <w:r>
        <w:rPr>
          <w:rFonts w:ascii="Arial" w:cs="Arial" w:eastAsia="Arial" w:hAnsi="Arial"/>
        </w:rPr>
        <w:t xml:space="preserve">, </w:t>
      </w:r>
      <w:r>
        <w:rPr>
          <w:rFonts w:ascii="Arial" w:cs="Arial" w:eastAsia="Arial" w:hAnsi="Arial"/>
          <w:b/>
          <w:bCs/>
        </w:rPr>
        <w:t xml:space="preserve">nombre</w:t>
      </w:r>
      <w:r>
        <w:rPr>
          <w:rFonts w:ascii="Arial" w:cs="Arial" w:eastAsia="Arial" w:hAnsi="Arial"/>
        </w:rPr>
        <w:t xml:space="preserve"> (effectif, part des femmes…) ou </w:t>
      </w:r>
      <w:r>
        <w:rPr>
          <w:rFonts w:ascii="Arial" w:cs="Arial" w:eastAsia="Arial" w:hAnsi="Arial"/>
          <w:b/>
          <w:bCs/>
        </w:rPr>
        <w:t xml:space="preserve">texte libre</w:t>
      </w:r>
      <w:r>
        <w:rPr>
          <w:rFonts w:ascii="Arial" w:cs="Arial" w:eastAsia="Arial" w:hAnsi="Arial"/>
        </w:rPr>
        <w:t xml:space="preserve">. Les questions obligatoires portent un astérisque rouge. Chaque question affiche sa </w:t>
      </w:r>
      <w:r>
        <w:rPr>
          <w:rFonts w:ascii="Arial" w:cs="Arial" w:eastAsia="Arial" w:hAnsi="Arial"/>
          <w:b/>
          <w:bCs/>
        </w:rPr>
        <w:t xml:space="preserve">gravité</w:t>
      </w:r>
      <w:r>
        <w:rPr>
          <w:rFonts w:ascii="Arial" w:cs="Arial" w:eastAsia="Arial" w:hAnsi="Arial"/>
        </w:rPr>
        <w:t xml:space="preserve"> (Faible, Moyenne, Élevée, Critique), ses </w:t>
      </w:r>
      <w:r>
        <w:rPr>
          <w:rFonts w:ascii="Arial" w:cs="Arial" w:eastAsia="Arial" w:hAnsi="Arial"/>
          <w:b/>
          <w:bCs/>
        </w:rPr>
        <w:t xml:space="preserve">références</w:t>
      </w:r>
      <w:r>
        <w:rPr>
          <w:rFonts w:ascii="Arial" w:cs="Arial" w:eastAsia="Arial" w:hAnsi="Arial"/>
        </w:rPr>
        <w:t xml:space="preserve"> réglementaires (loi, norme de performance SFI, directive) et une icône de </w:t>
      </w:r>
      <w:r>
        <w:rPr>
          <w:rFonts w:ascii="Arial" w:cs="Arial" w:eastAsia="Arial" w:hAnsi="Arial"/>
          <w:b/>
          <w:bCs/>
        </w:rPr>
        <w:t xml:space="preserve">bulle</w:t>
      </w:r>
      <w:r>
        <w:rPr>
          <w:rFonts w:ascii="Arial" w:cs="Arial" w:eastAsia="Arial" w:hAnsi="Arial"/>
        </w:rPr>
        <w:t xml:space="preserve"> pour saisir une observation.</w:t>
      </w:r>
    </w:p>
    <w:p>
      <w:pPr>
        <w:keepNext/>
        <w:spacing w:after="60" w:before="120"/>
        <w:jc w:val="center"/>
      </w:pPr>
      <w:r>
        <w:drawing>
          <wp:inline distT="0" distB="0" distL="0" distR="0">
            <wp:extent cx="6096000" cy="4972050"/>
            <wp:effectExtent t="0" r="0" b="0" l="0"/>
            <wp:docPr id="1" name="14-evaluation-risques" descr="Questions avec risque non maîtrisé" title="Questions avec risque non maîtris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49720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15 — Questions avec risque non maîtrisé</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Une réponse qui signale un risque non maîtrisé s'affiche </w:t>
            </w:r>
            <w:r>
              <w:rPr>
                <w:rFonts w:ascii="Arial" w:cs="Arial" w:eastAsia="Arial" w:hAnsi="Arial"/>
                <w:b/>
                <w:bCs/>
                <w:sz w:val="19"/>
                <w:szCs w:val="19"/>
              </w:rPr>
              <w:t xml:space="preserve">en rouge</w:t>
            </w:r>
            <w:r>
              <w:rPr>
                <w:rFonts w:ascii="Arial" w:cs="Arial" w:eastAsia="Arial" w:hAnsi="Arial"/>
                <w:sz w:val="19"/>
                <w:szCs w:val="19"/>
              </w:rPr>
              <w:t xml:space="preserve"> et indique le nombre d'actions correctives associées.</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Réponse Oui / Non / Sans objet</w:t>
            </w:r>
            <w:r>
              <w:rPr>
                <w:rFonts w:ascii="Arial" w:cs="Arial" w:eastAsia="Arial" w:hAnsi="Arial"/>
                <w:sz w:val="19"/>
                <w:szCs w:val="19"/>
              </w:rPr>
              <w:t xml:space="preserve"> de la question.</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Score de risque résiduel</w:t>
            </w:r>
            <w:r>
              <w:rPr>
                <w:rFonts w:ascii="Arial" w:cs="Arial" w:eastAsia="Arial" w:hAnsi="Arial"/>
                <w:sz w:val="19"/>
                <w:szCs w:val="19"/>
              </w:rPr>
              <w:t xml:space="preserve"> et niveau, mis à jour à chaque réponse.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Synthèse par thématique</w:t>
            </w:r>
            <w:r>
              <w:rPr>
                <w:rFonts w:ascii="Arial" w:cs="Arial" w:eastAsia="Arial" w:hAnsi="Arial"/>
                <w:sz w:val="19"/>
                <w:szCs w:val="19"/>
              </w:rPr>
              <w:t xml:space="preserve"> : risques non maîtrisés par thématique.</w:t>
            </w:r>
          </w:p>
        </w:tc>
      </w:tr>
    </w:tbl>
    <w:p>
      <w:pPr>
        <w:spacing w:after="140"/>
      </w:pPr>
    </w:p>
    <w:p>
      <w:pPr>
        <w:pStyle w:val="Heading3"/>
        <w:keepNext/>
      </w:pPr>
      <w:r>
        <w:rPr>
          <w:rFonts w:ascii="Arial" w:cs="Arial" w:eastAsia="Arial" w:hAnsi="Arial"/>
        </w:rPr>
        <w:t xml:space="preserve">Comment le score est-il calculé ?</w:t>
      </w:r>
    </w:p>
    <w:p>
      <w:pPr>
        <w:spacing w:after="110" w:line="288"/>
        <w:jc w:val="left"/>
      </w:pPr>
      <w:r>
        <w:rPr>
          <w:rFonts w:ascii="Arial" w:cs="Arial" w:eastAsia="Arial" w:hAnsi="Arial"/>
        </w:rPr>
        <w:t xml:space="preserve">Chaque question a une gravité de 1 (faible) à 4 (critique). Le score est la part, </w:t>
      </w:r>
      <w:r>
        <w:rPr>
          <w:rFonts w:ascii="Arial" w:cs="Arial" w:eastAsia="Arial" w:hAnsi="Arial"/>
          <w:b/>
          <w:bCs/>
        </w:rPr>
        <w:t xml:space="preserve">pondérée par la gravité</w:t>
      </w:r>
      <w:r>
        <w:rPr>
          <w:rFonts w:ascii="Arial" w:cs="Arial" w:eastAsia="Arial" w:hAnsi="Arial"/>
        </w:rPr>
        <w:t xml:space="preserve">, des questions applicables dont la réponse signale un risque non maîtrisé :</w:t>
      </w:r>
    </w:p>
    <w:p>
      <w:pPr>
        <w:spacing w:after="110" w:line="288"/>
        <w:jc w:val="center"/>
      </w:pPr>
      <w:r>
        <w:rPr>
          <w:rFonts w:ascii="Arial" w:cs="Arial" w:eastAsia="Arial" w:hAnsi="Arial"/>
          <w:b/>
          <w:bCs/>
        </w:rPr>
        <w:t xml:space="preserve">Score = 100 × (somme des gravités des risques non maîtrisés) ÷ (somme des gravités des questions répondues)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7"/>
        <w:gridCol w:w="5731"/>
      </w:tblGrid>
      <w:tr>
        <w:trPr>
          <w:cantSplit/>
          <w:tblHeader/>
        </w:trPr>
        <w:tc>
          <w:tcPr>
            <w:tcW w:type="dxa" w:w="3907"/>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Score</w:t>
            </w:r>
          </w:p>
        </w:tc>
        <w:tc>
          <w:tcPr>
            <w:tcW w:type="dxa" w:w="5731"/>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Niveau de risque résiduel</w:t>
            </w:r>
          </w:p>
        </w:tc>
      </w:tr>
      <w:tr>
        <w:trPr>
          <w:cantSplit/>
        </w:trPr>
        <w:tc>
          <w:tcPr>
            <w:tcW w:type="dxa" w:w="3907"/>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moins de 15</w:t>
            </w:r>
          </w:p>
        </w:tc>
        <w:tc>
          <w:tcPr>
            <w:tcW w:type="dxa" w:w="573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Faible</w:t>
            </w:r>
          </w:p>
        </w:tc>
      </w:tr>
      <w:tr>
        <w:trPr>
          <w:cantSplit/>
        </w:trPr>
        <w:tc>
          <w:tcPr>
            <w:tcW w:type="dxa" w:w="3907"/>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de 15 à moins de 35</w:t>
            </w:r>
          </w:p>
        </w:tc>
        <w:tc>
          <w:tcPr>
            <w:tcW w:type="dxa" w:w="573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Modéré</w:t>
            </w:r>
          </w:p>
        </w:tc>
      </w:tr>
      <w:tr>
        <w:trPr>
          <w:cantSplit/>
        </w:trPr>
        <w:tc>
          <w:tcPr>
            <w:tcW w:type="dxa" w:w="3907"/>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de 35 à moins de 60</w:t>
            </w:r>
          </w:p>
        </w:tc>
        <w:tc>
          <w:tcPr>
            <w:tcW w:type="dxa" w:w="573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Élevé</w:t>
            </w:r>
          </w:p>
        </w:tc>
      </w:tr>
      <w:tr>
        <w:trPr>
          <w:cantSplit/>
        </w:trPr>
        <w:tc>
          <w:tcPr>
            <w:tcW w:type="dxa" w:w="3907"/>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60 et plus</w:t>
            </w:r>
          </w:p>
        </w:tc>
        <w:tc>
          <w:tcPr>
            <w:tcW w:type="dxa" w:w="573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Critique</w:t>
            </w:r>
          </w:p>
        </w:tc>
      </w:tr>
    </w:tbl>
    <w:p>
      <w:pPr>
        <w:spacing w:after="60"/>
      </w:pPr>
    </w:p>
    <w:p>
      <w:pPr>
        <w:spacing w:after="110" w:line="288"/>
        <w:jc w:val="left"/>
      </w:pPr>
      <w:r>
        <w:rPr>
          <w:rFonts w:ascii="Arial" w:cs="Arial" w:eastAsia="Arial" w:hAnsi="Arial"/>
        </w:rPr>
        <w:t xml:space="preserve">Deux règles complémentaires s'appliquent : en </w:t>
      </w:r>
      <w:r>
        <w:rPr>
          <w:rFonts w:ascii="Arial" w:cs="Arial" w:eastAsia="Arial" w:hAnsi="Arial"/>
          <w:b/>
          <w:bCs/>
        </w:rPr>
        <w:t xml:space="preserve">catégorie A</w:t>
      </w:r>
      <w:r>
        <w:rPr>
          <w:rFonts w:ascii="Arial" w:cs="Arial" w:eastAsia="Arial" w:hAnsi="Arial"/>
        </w:rPr>
        <w:t xml:space="preserve">, le niveau est relevé d'un cran dès qu'un risque est non maîtrisé ; un risque de gravité </w:t>
      </w:r>
      <w:r>
        <w:rPr>
          <w:rFonts w:ascii="Arial" w:cs="Arial" w:eastAsia="Arial" w:hAnsi="Arial"/>
          <w:b/>
          <w:bCs/>
        </w:rPr>
        <w:t xml:space="preserve">critique</w:t>
      </w:r>
      <w:r>
        <w:rPr>
          <w:rFonts w:ascii="Arial" w:cs="Arial" w:eastAsia="Arial" w:hAnsi="Arial"/>
        </w:rPr>
        <w:t xml:space="preserve"> non maîtrisé porte le niveau au moins à </w:t>
      </w:r>
      <w:r>
        <w:rPr>
          <w:rFonts w:ascii="Arial" w:cs="Arial" w:eastAsia="Arial" w:hAnsi="Arial"/>
          <w:b/>
          <w:bCs/>
        </w:rPr>
        <w:t xml:space="preserve">Élevé</w:t>
      </w:r>
      <w:r>
        <w:rPr>
          <w:rFonts w:ascii="Arial" w:cs="Arial" w:eastAsia="Arial" w:hAnsi="Arial"/>
        </w:rPr>
        <w:t xml:space="preserve">. Les seuils (15, 35, 60) sont paramétrables par l'administrateur.</w:t>
      </w:r>
    </w:p>
    <w:p>
      <w:pPr>
        <w:pStyle w:val="Heading3"/>
        <w:keepNext/>
      </w:pPr>
      <w:r>
        <w:rPr>
          <w:rFonts w:ascii="Arial" w:cs="Arial" w:eastAsia="Arial" w:hAnsi="Arial"/>
        </w:rPr>
        <w:t xml:space="preserve">Rédiger le commentaire de l'évaluation</w:t>
      </w:r>
    </w:p>
    <w:p>
      <w:pPr>
        <w:spacing w:after="110" w:line="288"/>
        <w:jc w:val="left"/>
      </w:pPr>
      <w:r>
        <w:rPr>
          <w:rFonts w:ascii="Arial" w:cs="Arial" w:eastAsia="Arial" w:hAnsi="Arial"/>
        </w:rPr>
        <w:t xml:space="preserve">En bas de la check-list, le </w:t>
      </w:r>
      <w:r>
        <w:rPr>
          <w:rFonts w:ascii="Arial" w:cs="Arial" w:eastAsia="Arial" w:hAnsi="Arial"/>
          <w:b/>
          <w:bCs/>
        </w:rPr>
        <w:t xml:space="preserve">commentaire d'évaluation E&amp;S</w:t>
      </w:r>
      <w:r>
        <w:rPr>
          <w:rFonts w:ascii="Arial" w:cs="Arial" w:eastAsia="Arial" w:hAnsi="Arial"/>
        </w:rPr>
        <w:t xml:space="preserve"> est obligatoire par défaut. Il présente le contexte du projet, les principaux enjeux, l'appréciation des mesures existantes et les conditions proposées au comité. Le bouton </w:t>
      </w:r>
      <w:r>
        <w:rPr>
          <w:rFonts w:ascii="Arial" w:cs="Arial" w:eastAsia="Arial" w:hAnsi="Arial"/>
          <w:b/>
          <w:bCs/>
        </w:rPr>
        <w:t xml:space="preserve">Insérer le canevas</w:t>
      </w:r>
      <w:r>
        <w:rPr>
          <w:rFonts w:ascii="Arial" w:cs="Arial" w:eastAsia="Arial" w:hAnsi="Arial"/>
        </w:rPr>
        <w:t xml:space="preserve"> pré-remplit un plan en cinq points.</w:t>
      </w:r>
    </w:p>
    <w:p>
      <w:pPr>
        <w:keepNext/>
        <w:spacing w:after="60" w:before="120"/>
        <w:jc w:val="center"/>
      </w:pPr>
      <w:r>
        <w:drawing>
          <wp:inline distT="0" distB="0" distL="0" distR="0">
            <wp:extent cx="5886450" cy="4000500"/>
            <wp:effectExtent t="0" r="0" b="0" l="0"/>
            <wp:docPr id="1" name="15-commentaire-evaluation" descr="Commentaire de l'évaluation (canevas)" title="Commentaire de l'évaluation (cane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86450" cy="40005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16 — Commentaire de l'évaluation (canevas)</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Zone de </w:t>
            </w:r>
            <w:r>
              <w:rPr>
                <w:rFonts w:ascii="Arial" w:cs="Arial" w:eastAsia="Arial" w:hAnsi="Arial"/>
                <w:b/>
                <w:bCs/>
                <w:sz w:val="19"/>
                <w:szCs w:val="19"/>
              </w:rPr>
              <w:t xml:space="preserve">commentaire</w:t>
            </w:r>
            <w:r>
              <w:rPr>
                <w:rFonts w:ascii="Arial" w:cs="Arial" w:eastAsia="Arial" w:hAnsi="Arial"/>
                <w:sz w:val="19"/>
                <w:szCs w:val="19"/>
              </w:rPr>
              <w:t xml:space="preserve"> (obligatoire).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Insérer le canevas</w:t>
            </w:r>
            <w:r>
              <w:rPr>
                <w:rFonts w:ascii="Arial" w:cs="Arial" w:eastAsia="Arial" w:hAnsi="Arial"/>
                <w:sz w:val="19"/>
                <w:szCs w:val="19"/>
              </w:rPr>
              <w:t xml:space="preserve"> : insère le plan type en cinq points.</w:t>
            </w:r>
          </w:p>
        </w:tc>
      </w:tr>
    </w:tbl>
    <w:p>
      <w:pPr>
        <w:spacing w:after="140"/>
      </w:pPr>
    </w:p>
    <w:p>
      <w:pPr>
        <w:keepNext/>
        <w:spacing w:after="60" w:before="120"/>
        <w:jc w:val="center"/>
      </w:pPr>
      <w:r>
        <w:drawing>
          <wp:inline distT="0" distB="0" distL="0" distR="0">
            <wp:extent cx="5886450" cy="4000500"/>
            <wp:effectExtent t="0" r="0" b="0" l="0"/>
            <wp:docPr id="1" name="15b-canevas-insere" descr="Canevas inséré, prêt à être complété" title="Canevas inséré, prêt à être complé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86450" cy="40005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17 — Canevas inséré, prêt à être complété</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Les cinq rubriques : présentation du projet et de son site ; principaux enjeux ; mesures de gestion en place ; risques non maîtrisés et plan d'actions proposé ; avis et conditions proposées au comité.</w:t>
            </w:r>
          </w:p>
        </w:tc>
      </w:tr>
    </w:tbl>
    <w:p>
      <w:pPr>
        <w:spacing w:after="140"/>
      </w:pPr>
    </w:p>
    <w:tbl>
      <w:tblPr>
        <w:tblW w:type="dxa" w:w="9638"/>
        <w:tblBorders>
          <w:top w:val="none" w:color="FFFFFF" w:sz="0"/>
          <w:left w:val="single" w:color="115E4A"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115E4A" w:sz="24"/>
              <w:bottom w:val="none" w:color="FFFFFF" w:sz="0"/>
              <w:right w:val="none" w:color="FFFFFF" w:sz="0"/>
            </w:tcBorders>
            <w:shd w:fill="E6F1EC" w:color="auto" w:val="clear"/>
            <w:tcMar>
              <w:top w:type="dxa" w:w="100"/>
              <w:left w:type="dxa" w:w="180"/>
              <w:bottom w:type="dxa" w:w="80"/>
              <w:right w:type="dxa" w:w="160"/>
            </w:tcMar>
          </w:tcPr>
          <w:p>
            <w:pPr>
              <w:keepNext/>
              <w:spacing w:after="40"/>
            </w:pPr>
            <w:r>
              <w:rPr>
                <w:rFonts w:ascii="Arial" w:cs="Arial" w:eastAsia="Arial" w:hAnsi="Arial"/>
                <w:b/>
                <w:bCs/>
                <w:color w:val="115E4A"/>
                <w:sz w:val="20"/>
                <w:szCs w:val="20"/>
              </w:rPr>
              <w:t xml:space="preserve">À l'enregistrement, le plan d'actions est généré</w:t>
            </w:r>
          </w:p>
          <w:p>
            <w:pPr>
              <w:spacing w:after="40" w:line="270"/>
            </w:pPr>
            <w:r>
              <w:rPr>
                <w:rFonts w:ascii="Arial" w:cs="Arial" w:eastAsia="Arial" w:hAnsi="Arial"/>
                <w:sz w:val="20"/>
                <w:szCs w:val="20"/>
              </w:rPr>
              <w:t xml:space="preserve">En enregistrant la check-list, l'outil </w:t>
            </w:r>
            <w:r>
              <w:rPr>
                <w:rFonts w:ascii="Arial" w:cs="Arial" w:eastAsia="Arial" w:hAnsi="Arial"/>
                <w:b/>
                <w:bCs/>
                <w:sz w:val="20"/>
                <w:szCs w:val="20"/>
              </w:rPr>
              <w:t xml:space="preserve">propose automatiquement les actions correctives</w:t>
            </w:r>
            <w:r>
              <w:rPr>
                <w:rFonts w:ascii="Arial" w:cs="Arial" w:eastAsia="Arial" w:hAnsi="Arial"/>
                <w:sz w:val="20"/>
                <w:szCs w:val="20"/>
              </w:rPr>
              <w:t xml:space="preserve"> liées aux risques non maîtrisés (ici 11 actions). Vous les négociez à l'étape 6.</w:t>
            </w:r>
          </w:p>
        </w:tc>
      </w:tr>
    </w:tbl>
    <w:tbl>
      <w:tblPr>
        <w:tblW w:type="dxa" w:w="9638"/>
        <w:tblBorders>
          <w:top w:val="none" w:color="FFFFFF" w:sz="0"/>
          <w:left w:val="single" w:color="2563A8"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563A8" w:sz="24"/>
              <w:bottom w:val="none" w:color="FFFFFF" w:sz="0"/>
              <w:right w:val="none" w:color="FFFFFF" w:sz="0"/>
            </w:tcBorders>
            <w:shd w:fill="EAF2FB" w:color="auto" w:val="clear"/>
            <w:tcMar>
              <w:top w:type="dxa" w:w="100"/>
              <w:left w:type="dxa" w:w="180"/>
              <w:bottom w:type="dxa" w:w="80"/>
              <w:right w:type="dxa" w:w="160"/>
            </w:tcMar>
          </w:tcPr>
          <w:p>
            <w:pPr>
              <w:keepNext/>
              <w:spacing w:after="40"/>
            </w:pPr>
            <w:r>
              <w:rPr>
                <w:rFonts w:ascii="Arial" w:cs="Arial" w:eastAsia="Arial" w:hAnsi="Arial"/>
                <w:b/>
                <w:bCs/>
                <w:color w:val="2563A8"/>
                <w:sz w:val="20"/>
                <w:szCs w:val="20"/>
              </w:rPr>
              <w:t xml:space="preserve">Assistant IA (facultatif)</w:t>
            </w:r>
          </w:p>
          <w:p>
            <w:pPr>
              <w:spacing w:after="40" w:line="270"/>
            </w:pPr>
            <w:r>
              <w:rPr>
                <w:rFonts w:ascii="Arial" w:cs="Arial" w:eastAsia="Arial" w:hAnsi="Arial"/>
                <w:sz w:val="20"/>
                <w:szCs w:val="20"/>
              </w:rPr>
              <w:t xml:space="preserve">Lorsque l'administrateur l'a activé, un onglet « Assistant IA » propose, à partir de l'étude d'impact déposée dans les pièces, des réponses suggérées avec les extraits sources. Les suggestions ne sont </w:t>
            </w:r>
            <w:r>
              <w:rPr>
                <w:rFonts w:ascii="Arial" w:cs="Arial" w:eastAsia="Arial" w:hAnsi="Arial"/>
                <w:b/>
                <w:bCs/>
                <w:sz w:val="20"/>
                <w:szCs w:val="20"/>
              </w:rPr>
              <w:t xml:space="preserve">jamais appliquées sans votre validation</w:t>
            </w:r>
            <w:r>
              <w:rPr>
                <w:rFonts w:ascii="Arial" w:cs="Arial" w:eastAsia="Arial" w:hAnsi="Arial"/>
                <w:sz w:val="20"/>
                <w:szCs w:val="20"/>
              </w:rPr>
              <w:t xml:space="preserve">.</w:t>
            </w:r>
          </w:p>
        </w:tc>
      </w:tr>
    </w:tbl>
    <w:p>
      <w:pPr>
        <w:pStyle w:val="Heading2"/>
        <w:keepNext/>
      </w:pPr>
      <w:bookmarkStart w:name="t20" w:id="1"/>
      <w:r>
        <w:rPr>
          <w:rFonts w:ascii="Arial" w:cs="Arial" w:eastAsia="Arial" w:hAnsi="Arial"/>
        </w:rPr>
        <w:t xml:space="preserve">3.5 Étape 5 — Renseigner le volet climat</w:t>
      </w:r>
      <w:bookmarkEnd w:id="1"/>
    </w:p>
    <w:p>
      <w:pPr>
        <w:spacing w:after="110" w:line="288"/>
        <w:jc w:val="left"/>
      </w:pPr>
      <w:r>
        <w:rPr>
          <w:rFonts w:ascii="Arial" w:cs="Arial" w:eastAsia="Arial" w:hAnsi="Arial"/>
        </w:rPr>
        <w:t xml:space="preserve">Le volet climat répond à la </w:t>
      </w:r>
      <w:r>
        <w:rPr>
          <w:rFonts w:ascii="Arial" w:cs="Arial" w:eastAsia="Arial" w:hAnsi="Arial"/>
          <w:b/>
          <w:bCs/>
        </w:rPr>
        <w:t xml:space="preserve">directive BAM n° 5/W/2021</w:t>
      </w:r>
      <w:r>
        <w:rPr>
          <w:rFonts w:ascii="Arial" w:cs="Arial" w:eastAsia="Arial" w:hAnsi="Arial"/>
        </w:rPr>
        <w:t xml:space="preserve"> (risques physiques et de transition) et aux référentiels TCFD / ISSB S2, aux Principes de l'Équateur IV et à PCAF pour les émissions financées. Les valeurs de départ sont reprises de la région et du secteur du projet ; vous les ajustez au vu du site.</w:t>
      </w:r>
    </w:p>
    <w:p>
      <w:pPr>
        <w:keepNext/>
        <w:spacing w:after="60" w:before="120"/>
        <w:jc w:val="center"/>
      </w:pPr>
      <w:r>
        <w:drawing>
          <wp:inline distT="0" distB="0" distL="0" distR="0">
            <wp:extent cx="6096000" cy="5562600"/>
            <wp:effectExtent t="0" r="0" b="0" l="0"/>
            <wp:docPr id="1" name="16-climat" descr="Volet climat : risque physique" title="Volet climat : risque phys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55626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18 — Volet climat : risque physique</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Bandeau « Volet climat non renseigné » : il disparaît après enregistrement.</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Reprendre les valeurs de la région</w:t>
            </w:r>
            <w:r>
              <w:rPr>
                <w:rFonts w:ascii="Arial" w:cs="Arial" w:eastAsia="Arial" w:hAnsi="Arial"/>
                <w:sz w:val="19"/>
                <w:szCs w:val="19"/>
              </w:rPr>
              <w:t xml:space="preserve"> : réinitialise les aléas avec les valeurs de la région du projet.</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Aléas du site</w:t>
            </w:r>
            <w:r>
              <w:rPr>
                <w:rFonts w:ascii="Arial" w:cs="Arial" w:eastAsia="Arial" w:hAnsi="Arial"/>
                <w:sz w:val="19"/>
                <w:szCs w:val="19"/>
              </w:rPr>
              <w:t xml:space="preserve"> (0 = nul, 4 = très élevé) : stress hydrique, sécheresse, inondation, chaleur extrême, submersion marine, feux de forêt, séisme.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Sensibilité de l'activité</w:t>
            </w:r>
            <w:r>
              <w:rPr>
                <w:rFonts w:ascii="Arial" w:cs="Arial" w:eastAsia="Arial" w:hAnsi="Arial"/>
                <w:sz w:val="19"/>
                <w:szCs w:val="19"/>
              </w:rPr>
              <w:t xml:space="preserve"> aux aléas et </w:t>
            </w:r>
            <w:r>
              <w:rPr>
                <w:rFonts w:ascii="Arial" w:cs="Arial" w:eastAsia="Arial" w:hAnsi="Arial"/>
                <w:b/>
                <w:bCs/>
                <w:sz w:val="19"/>
                <w:szCs w:val="19"/>
              </w:rPr>
              <w:t xml:space="preserve">capacité d'adaptation</w:t>
            </w:r>
            <w:r>
              <w:rPr>
                <w:rFonts w:ascii="Arial" w:cs="Arial" w:eastAsia="Arial" w:hAnsi="Arial"/>
                <w:sz w:val="19"/>
                <w:szCs w:val="19"/>
              </w:rPr>
              <w:t xml:space="preserve"> (mesures en place), de 0 à 4.</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5</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Score climat</w:t>
            </w:r>
            <w:r>
              <w:rPr>
                <w:rFonts w:ascii="Arial" w:cs="Arial" w:eastAsia="Arial" w:hAnsi="Arial"/>
                <w:sz w:val="19"/>
                <w:szCs w:val="19"/>
              </w:rPr>
              <w:t xml:space="preserve"> calculé en direct : risque physique, risque de transition, émissions financées.</w:t>
            </w:r>
          </w:p>
        </w:tc>
      </w:tr>
    </w:tbl>
    <w:p>
      <w:pPr>
        <w:spacing w:after="140"/>
      </w:pPr>
    </w:p>
    <w:p>
      <w:pPr>
        <w:keepNext/>
        <w:spacing w:after="60" w:before="120"/>
        <w:jc w:val="center"/>
      </w:pPr>
      <w:r>
        <w:drawing>
          <wp:inline distT="0" distB="0" distL="0" distR="0">
            <wp:extent cx="6096000" cy="4972050"/>
            <wp:effectExtent t="0" r="0" b="0" l="0"/>
            <wp:docPr id="1" name="16b-climat-transition" descr="Volet climat : transition, émissions et taxonomie" title="Volet climat : transition, émissions et taxonom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49720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19 — Volet climat : transition, émissions et taxonomie</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Facteurs de transition</w:t>
            </w:r>
            <w:r>
              <w:rPr>
                <w:rFonts w:ascii="Arial" w:cs="Arial" w:eastAsia="Arial" w:hAnsi="Arial"/>
                <w:sz w:val="19"/>
                <w:szCs w:val="19"/>
              </w:rPr>
              <w:t xml:space="preserve"> (0 à 4) : réglementaire (tarification carbone, normes), technologique, marché, réputation.</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Exposition au CBAM</w:t>
            </w:r>
            <w:r>
              <w:rPr>
                <w:rFonts w:ascii="Arial" w:cs="Arial" w:eastAsia="Arial" w:hAnsi="Arial"/>
                <w:sz w:val="19"/>
                <w:szCs w:val="19"/>
              </w:rPr>
              <w:t xml:space="preserve"> : mécanisme d'ajustement carbone aux frontières de l'UE ; indiquez la part des ventes exportées vers l'UE.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Méthode</w:t>
            </w:r>
            <w:r>
              <w:rPr>
                <w:rFonts w:ascii="Arial" w:cs="Arial" w:eastAsia="Arial" w:hAnsi="Arial"/>
                <w:sz w:val="19"/>
                <w:szCs w:val="19"/>
              </w:rPr>
              <w:t xml:space="preserve"> de calcul des émissions : déclarées / mesurées, estimées à partir de l'activité, ou estimées par facteur sectoriel (qualité PCAF 5).</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Alignement taxonomique</w:t>
            </w:r>
            <w:r>
              <w:rPr>
                <w:rFonts w:ascii="Arial" w:cs="Arial" w:eastAsia="Arial" w:hAnsi="Arial"/>
                <w:sz w:val="19"/>
                <w:szCs w:val="19"/>
              </w:rPr>
              <w:t xml:space="preserve"> : vert, transition, non aligné ou non éligible ; un objectif environnemental peut être précisé.</w:t>
            </w:r>
          </w:p>
        </w:tc>
      </w:tr>
    </w:tbl>
    <w:p>
      <w:pPr>
        <w:spacing w:after="140"/>
      </w:pPr>
    </w:p>
    <w:p>
      <w:pPr>
        <w:keepNext/>
        <w:spacing w:after="60" w:before="120"/>
        <w:jc w:val="center"/>
      </w:pPr>
      <w:r>
        <w:drawing>
          <wp:inline distT="0" distB="0" distL="0" distR="0">
            <wp:extent cx="6096000" cy="4381500"/>
            <wp:effectExtent t="0" r="0" b="0" l="0"/>
            <wp:docPr id="1" name="16c-climat-scores" descr="Résultats du volet climat" title="Résultats du volet cli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43815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20 — Résultats du volet climat</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Score climat</w:t>
            </w:r>
            <w:r>
              <w:rPr>
                <w:rFonts w:ascii="Arial" w:cs="Arial" w:eastAsia="Arial" w:hAnsi="Arial"/>
                <w:sz w:val="19"/>
                <w:szCs w:val="19"/>
              </w:rPr>
              <w:t xml:space="preserve"> (0 à 100) et niveau : faible, modéré (à partir de 25), élevé (50), très élevé (75).</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Risque physique</w:t>
            </w:r>
            <w:r>
              <w:rPr>
                <w:rFonts w:ascii="Arial" w:cs="Arial" w:eastAsia="Arial" w:hAnsi="Arial"/>
                <w:sz w:val="19"/>
                <w:szCs w:val="19"/>
              </w:rPr>
              <w:t xml:space="preserve"> et </w:t>
            </w:r>
            <w:r>
              <w:rPr>
                <w:rFonts w:ascii="Arial" w:cs="Arial" w:eastAsia="Arial" w:hAnsi="Arial"/>
                <w:b/>
                <w:bCs/>
                <w:sz w:val="19"/>
                <w:szCs w:val="19"/>
              </w:rPr>
              <w:t xml:space="preserve">risque de transition</w:t>
            </w:r>
            <w:r>
              <w:rPr>
                <w:rFonts w:ascii="Arial" w:cs="Arial" w:eastAsia="Arial" w:hAnsi="Arial"/>
                <w:sz w:val="19"/>
                <w:szCs w:val="19"/>
              </w:rPr>
              <w:t xml:space="preserve"> : le risque dominant pèse 60 % du score, l'autre 40 %.</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Émissions financées</w:t>
            </w:r>
            <w:r>
              <w:rPr>
                <w:rFonts w:ascii="Arial" w:cs="Arial" w:eastAsia="Arial" w:hAnsi="Arial"/>
                <w:sz w:val="19"/>
                <w:szCs w:val="19"/>
              </w:rPr>
              <w:t xml:space="preserve"> (tCO2e par an) : émissions du projet × part financée par la banque, avec la qualité des données PCAF.</w:t>
            </w:r>
          </w:p>
        </w:tc>
      </w:tr>
    </w:tbl>
    <w:p>
      <w:pPr>
        <w:spacing w:after="140"/>
      </w:pPr>
    </w:p>
    <w:p>
      <w:pPr>
        <w:spacing w:after="110" w:line="288"/>
        <w:jc w:val="left"/>
      </w:pPr>
      <w:r>
        <w:rPr>
          <w:rFonts w:ascii="Arial" w:cs="Arial" w:eastAsia="Arial" w:hAnsi="Arial"/>
        </w:rPr>
        <w:t xml:space="preserve">Le volet climat est </w:t>
      </w:r>
      <w:r>
        <w:rPr>
          <w:rFonts w:ascii="Arial" w:cs="Arial" w:eastAsia="Arial" w:hAnsi="Arial"/>
          <w:b/>
          <w:bCs/>
        </w:rPr>
        <w:t xml:space="preserve">obligatoire avant soumission</w:t>
      </w:r>
      <w:r>
        <w:rPr>
          <w:rFonts w:ascii="Arial" w:cs="Arial" w:eastAsia="Arial" w:hAnsi="Arial"/>
        </w:rPr>
        <w:t xml:space="preserve"> par défaut ; l'administrateur peut le rendre facultatif ou le désactiver.</w:t>
      </w:r>
    </w:p>
    <w:p>
      <w:pPr>
        <w:pStyle w:val="Heading2"/>
        <w:keepNext/>
      </w:pPr>
      <w:bookmarkStart w:name="t21" w:id="1"/>
      <w:r>
        <w:rPr>
          <w:rFonts w:ascii="Arial" w:cs="Arial" w:eastAsia="Arial" w:hAnsi="Arial"/>
        </w:rPr>
        <w:t xml:space="preserve">3.6 Étape 6 — Négocier le plan d'actions</w:t>
      </w:r>
      <w:bookmarkEnd w:id="1"/>
    </w:p>
    <w:p>
      <w:pPr>
        <w:spacing w:after="110" w:line="288"/>
        <w:jc w:val="left"/>
      </w:pPr>
      <w:r>
        <w:rPr>
          <w:rFonts w:ascii="Arial" w:cs="Arial" w:eastAsia="Arial" w:hAnsi="Arial"/>
        </w:rPr>
        <w:t xml:space="preserve">Le plan d'actions correctives est </w:t>
      </w:r>
      <w:r>
        <w:rPr>
          <w:rFonts w:ascii="Arial" w:cs="Arial" w:eastAsia="Arial" w:hAnsi="Arial"/>
          <w:b/>
          <w:bCs/>
        </w:rPr>
        <w:t xml:space="preserve">généré automatiquement</w:t>
      </w:r>
      <w:r>
        <w:rPr>
          <w:rFonts w:ascii="Arial" w:cs="Arial" w:eastAsia="Arial" w:hAnsi="Arial"/>
        </w:rPr>
        <w:t xml:space="preserve"> à partir des risques non maîtrisés relevés dans la check-list, grâce à une bibliothèque d'</w:t>
      </w:r>
      <w:r>
        <w:rPr>
          <w:rFonts w:ascii="Arial" w:cs="Arial" w:eastAsia="Arial" w:hAnsi="Arial"/>
          <w:b/>
          <w:bCs/>
        </w:rPr>
        <w:t xml:space="preserve">actions types</w:t>
      </w:r>
      <w:r>
        <w:rPr>
          <w:rFonts w:ascii="Arial" w:cs="Arial" w:eastAsia="Arial" w:hAnsi="Arial"/>
        </w:rPr>
        <w:t xml:space="preserve"> (horizon court, moyen ou long terme) rattachées à chaque question. Il doit être </w:t>
      </w:r>
      <w:r>
        <w:rPr>
          <w:rFonts w:ascii="Arial" w:cs="Arial" w:eastAsia="Arial" w:hAnsi="Arial"/>
          <w:b/>
          <w:bCs/>
        </w:rPr>
        <w:t xml:space="preserve">négocié avec le client</w:t>
      </w:r>
      <w:r>
        <w:rPr>
          <w:rFonts w:ascii="Arial" w:cs="Arial" w:eastAsia="Arial" w:hAnsi="Arial"/>
        </w:rPr>
        <w:t xml:space="preserve"> : pour chaque action, le client la retient ou l'écarte.</w:t>
      </w:r>
    </w:p>
    <w:p>
      <w:pPr>
        <w:keepNext/>
        <w:spacing w:after="60" w:before="120"/>
        <w:jc w:val="center"/>
      </w:pPr>
      <w:r>
        <w:drawing>
          <wp:inline distT="0" distB="0" distL="0" distR="0">
            <wp:extent cx="6096000" cy="5562600"/>
            <wp:effectExtent t="0" r="0" b="0" l="0"/>
            <wp:docPr id="1" name="17-plan-actions" descr="Plan d'actions proposé" title="Plan d'actions propos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55626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21 — Plan d'actions proposé</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Actions retenues</w:t>
            </w:r>
            <w:r>
              <w:rPr>
                <w:rFonts w:ascii="Arial" w:cs="Arial" w:eastAsia="Arial" w:hAnsi="Arial"/>
                <w:sz w:val="19"/>
                <w:szCs w:val="19"/>
              </w:rPr>
              <w:t xml:space="preserve"> : « 0 / 11 — 11 à négocier ». Les autres tuiles donnent le budget retenu, les actions réalisées et celles en retard.</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Actualiser les propositions</w:t>
            </w:r>
            <w:r>
              <w:rPr>
                <w:rFonts w:ascii="Arial" w:cs="Arial" w:eastAsia="Arial" w:hAnsi="Arial"/>
                <w:sz w:val="19"/>
                <w:szCs w:val="19"/>
              </w:rPr>
              <w:t xml:space="preserve"> : recalcule les actions après une modification de la check-list (ajoute les nouvelles, retire celles dont le risque a disparu).</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Ajouter une action</w:t>
            </w:r>
            <w:r>
              <w:rPr>
                <w:rFonts w:ascii="Arial" w:cs="Arial" w:eastAsia="Arial" w:hAnsi="Arial"/>
                <w:sz w:val="19"/>
                <w:szCs w:val="19"/>
              </w:rPr>
              <w:t xml:space="preserve"> : action libre, issue de l'étude d'impact (EIE / PGES) ou demandée par le comité.</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Imprimer le plan d'actions</w:t>
            </w:r>
            <w:r>
              <w:rPr>
                <w:rFonts w:ascii="Arial" w:cs="Arial" w:eastAsia="Arial" w:hAnsi="Arial"/>
                <w:sz w:val="19"/>
                <w:szCs w:val="19"/>
              </w:rPr>
              <w:t xml:space="preserve"> pour le faire signer par le client.</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5</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Chaque action indique son </w:t>
            </w:r>
            <w:r>
              <w:rPr>
                <w:rFonts w:ascii="Arial" w:cs="Arial" w:eastAsia="Arial" w:hAnsi="Arial"/>
                <w:b/>
                <w:bCs/>
                <w:sz w:val="19"/>
                <w:szCs w:val="19"/>
              </w:rPr>
              <w:t xml:space="preserve">horizon</w:t>
            </w:r>
            <w:r>
              <w:rPr>
                <w:rFonts w:ascii="Arial" w:cs="Arial" w:eastAsia="Arial" w:hAnsi="Arial"/>
                <w:sz w:val="19"/>
                <w:szCs w:val="19"/>
              </w:rPr>
              <w:t xml:space="preserve"> (court, moyen, long terme), son </w:t>
            </w:r>
            <w:r>
              <w:rPr>
                <w:rFonts w:ascii="Arial" w:cs="Arial" w:eastAsia="Arial" w:hAnsi="Arial"/>
                <w:b/>
                <w:bCs/>
                <w:sz w:val="19"/>
                <w:szCs w:val="19"/>
              </w:rPr>
              <w:t xml:space="preserve">origine</w:t>
            </w:r>
            <w:r>
              <w:rPr>
                <w:rFonts w:ascii="Arial" w:cs="Arial" w:eastAsia="Arial" w:hAnsi="Arial"/>
                <w:sz w:val="19"/>
                <w:szCs w:val="19"/>
              </w:rPr>
              <w:t xml:space="preserve"> (proposée par le système, EIE, comité, visite, manuelle), son échéance et la question à l'origine.</w:t>
            </w:r>
          </w:p>
        </w:tc>
      </w:tr>
    </w:tbl>
    <w:p>
      <w:pPr>
        <w:spacing w:after="140"/>
      </w:pPr>
    </w:p>
    <w:p>
      <w:pPr>
        <w:keepNext/>
        <w:spacing w:after="60" w:before="120"/>
        <w:jc w:val="center"/>
      </w:pPr>
      <w:r>
        <w:drawing>
          <wp:inline distT="0" distB="0" distL="0" distR="0">
            <wp:extent cx="6096000" cy="4972050"/>
            <wp:effectExtent t="0" r="0" b="0" l="0"/>
            <wp:docPr id="1" name="18-plan-detail-action" descr="Détail d'une action" title="Détail d'un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49720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22 — Détail d'une action</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Retenue par le client / Écartée</w:t>
            </w:r>
            <w:r>
              <w:rPr>
                <w:rFonts w:ascii="Arial" w:cs="Arial" w:eastAsia="Arial" w:hAnsi="Arial"/>
                <w:sz w:val="19"/>
                <w:szCs w:val="19"/>
              </w:rPr>
              <w:t xml:space="preserve"> : la décision de négociation. Les actions issues de l'étude d'impact ne sont pas négociables.</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Responsable</w:t>
            </w:r>
            <w:r>
              <w:rPr>
                <w:rFonts w:ascii="Arial" w:cs="Arial" w:eastAsia="Arial" w:hAnsi="Arial"/>
                <w:sz w:val="19"/>
                <w:szCs w:val="19"/>
              </w:rPr>
              <w:t xml:space="preserve"> chez le client.</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Échéance</w:t>
            </w:r>
            <w:r>
              <w:rPr>
                <w:rFonts w:ascii="Arial" w:cs="Arial" w:eastAsia="Arial" w:hAnsi="Arial"/>
                <w:sz w:val="19"/>
                <w:szCs w:val="19"/>
              </w:rPr>
              <w:t xml:space="preserve"> (ainsi que la date de début).</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Budget</w:t>
            </w:r>
            <w:r>
              <w:rPr>
                <w:rFonts w:ascii="Arial" w:cs="Arial" w:eastAsia="Arial" w:hAnsi="Arial"/>
                <w:sz w:val="19"/>
                <w:szCs w:val="19"/>
              </w:rPr>
              <w:t xml:space="preserve"> estimé, en devise du dossier.</w:t>
            </w:r>
          </w:p>
        </w:tc>
      </w:tr>
    </w:tbl>
    <w:p>
      <w:pPr>
        <w:spacing w:after="140"/>
      </w:pPr>
    </w:p>
    <w:p>
      <w:pPr>
        <w:keepNext/>
        <w:spacing w:after="60" w:before="120"/>
        <w:jc w:val="center"/>
      </w:pPr>
      <w:r>
        <w:drawing>
          <wp:inline distT="0" distB="0" distL="0" distR="0">
            <wp:extent cx="6096000" cy="5562600"/>
            <wp:effectExtent t="0" r="0" b="0" l="0"/>
            <wp:docPr id="1" name="19-plan-negocie" descr="Plan d'actions négocié" title="Plan d'actions négoci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55626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23 — Plan d'actions négocié</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9 actions retenues</w:t>
            </w:r>
            <w:r>
              <w:rPr>
                <w:rFonts w:ascii="Arial" w:cs="Arial" w:eastAsia="Arial" w:hAnsi="Arial"/>
                <w:sz w:val="19"/>
                <w:szCs w:val="19"/>
              </w:rPr>
              <w:t xml:space="preserve"> sur 11.</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Budget total retenu</w:t>
            </w:r>
            <w:r>
              <w:rPr>
                <w:rFonts w:ascii="Arial" w:cs="Arial" w:eastAsia="Arial" w:hAnsi="Arial"/>
                <w:sz w:val="19"/>
                <w:szCs w:val="19"/>
              </w:rPr>
              <w:t xml:space="preserve"> : 1,3 M MAD.</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Action </w:t>
            </w:r>
            <w:r>
              <w:rPr>
                <w:rFonts w:ascii="Arial" w:cs="Arial" w:eastAsia="Arial" w:hAnsi="Arial"/>
                <w:b/>
                <w:bCs/>
                <w:sz w:val="19"/>
                <w:szCs w:val="19"/>
              </w:rPr>
              <w:t xml:space="preserve">écartée</w:t>
            </w:r>
            <w:r>
              <w:rPr>
                <w:rFonts w:ascii="Arial" w:cs="Arial" w:eastAsia="Arial" w:hAnsi="Arial"/>
                <w:sz w:val="19"/>
                <w:szCs w:val="19"/>
              </w:rPr>
              <w:t xml:space="preserve"> : saisissez la </w:t>
            </w:r>
            <w:r>
              <w:rPr>
                <w:rFonts w:ascii="Arial" w:cs="Arial" w:eastAsia="Arial" w:hAnsi="Arial"/>
                <w:b/>
                <w:bCs/>
                <w:sz w:val="19"/>
                <w:szCs w:val="19"/>
              </w:rPr>
              <w:t xml:space="preserve">réserve du client</w:t>
            </w:r>
            <w:r>
              <w:rPr>
                <w:rFonts w:ascii="Arial" w:cs="Arial" w:eastAsia="Arial" w:hAnsi="Arial"/>
                <w:sz w:val="19"/>
                <w:szCs w:val="19"/>
              </w:rPr>
              <w:t xml:space="preserve"> qui motive le refus ; elle est conservée dans la fiche.</w:t>
            </w:r>
          </w:p>
        </w:tc>
      </w:tr>
    </w:tbl>
    <w:p>
      <w:pPr>
        <w:spacing w:after="140"/>
      </w:pP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FF5DD" w:color="auto" w:val="clear"/>
            <w:tcMar>
              <w:top w:type="dxa" w:w="100"/>
              <w:left w:type="dxa" w:w="180"/>
              <w:bottom w:type="dxa" w:w="80"/>
              <w:right w:type="dxa" w:w="160"/>
            </w:tcMar>
          </w:tcPr>
          <w:p>
            <w:pPr>
              <w:keepNext/>
              <w:spacing w:after="40"/>
            </w:pPr>
            <w:r>
              <w:rPr>
                <w:rFonts w:ascii="Arial" w:cs="Arial" w:eastAsia="Arial" w:hAnsi="Arial"/>
                <w:b/>
                <w:bCs/>
                <w:color w:val="B7791F"/>
                <w:sz w:val="20"/>
                <w:szCs w:val="20"/>
              </w:rPr>
              <w:t xml:space="preserve">Condition de soumission</w:t>
            </w:r>
          </w:p>
          <w:p>
            <w:pPr>
              <w:spacing w:after="40" w:line="270"/>
            </w:pPr>
            <w:r>
              <w:rPr>
                <w:rFonts w:ascii="Arial" w:cs="Arial" w:eastAsia="Arial" w:hAnsi="Arial"/>
                <w:sz w:val="20"/>
                <w:szCs w:val="20"/>
              </w:rPr>
              <w:t xml:space="preserve">Chaque action proposée doit être </w:t>
            </w:r>
            <w:r>
              <w:rPr>
                <w:rFonts w:ascii="Arial" w:cs="Arial" w:eastAsia="Arial" w:hAnsi="Arial"/>
                <w:b/>
                <w:bCs/>
                <w:sz w:val="20"/>
                <w:szCs w:val="20"/>
              </w:rPr>
              <w:t xml:space="preserve">négociée</w:t>
            </w:r>
            <w:r>
              <w:rPr>
                <w:rFonts w:ascii="Arial" w:cs="Arial" w:eastAsia="Arial" w:hAnsi="Arial"/>
                <w:sz w:val="20"/>
                <w:szCs w:val="20"/>
              </w:rPr>
              <w:t xml:space="preserve"> (retenue ou écartée) avant de pouvoir soumettre le dossier. Une action laissée « À négocier » bloque la soumission.</w:t>
            </w:r>
          </w:p>
        </w:tc>
      </w:tr>
    </w:tbl>
    <w:p>
      <w:pPr>
        <w:pStyle w:val="Heading2"/>
        <w:keepNext/>
      </w:pPr>
      <w:bookmarkStart w:name="t22" w:id="1"/>
      <w:r>
        <w:rPr>
          <w:rFonts w:ascii="Arial" w:cs="Arial" w:eastAsia="Arial" w:hAnsi="Arial"/>
        </w:rPr>
        <w:t xml:space="preserve">3.7 Joindre les pièces</w:t>
      </w:r>
      <w:bookmarkEnd w:id="1"/>
    </w:p>
    <w:p>
      <w:pPr>
        <w:spacing w:after="110" w:line="288"/>
        <w:jc w:val="left"/>
      </w:pPr>
      <w:r>
        <w:rPr>
          <w:rFonts w:ascii="Arial" w:cs="Arial" w:eastAsia="Arial" w:hAnsi="Arial"/>
        </w:rPr>
        <w:t xml:space="preserve">La rubrique </w:t>
      </w:r>
      <w:r>
        <w:rPr>
          <w:rFonts w:ascii="Arial" w:cs="Arial" w:eastAsia="Arial" w:hAnsi="Arial"/>
          <w:b/>
          <w:bCs/>
        </w:rPr>
        <w:t xml:space="preserve">Pièces</w:t>
      </w:r>
      <w:r>
        <w:rPr>
          <w:rFonts w:ascii="Arial" w:cs="Arial" w:eastAsia="Arial" w:hAnsi="Arial"/>
        </w:rPr>
        <w:t xml:space="preserve"> (sous les étapes) rassemble les documents du dossier : étude d'impact (EIES), plan de gestion (PGES), décision d'acceptabilité environnementale, autorisations, plan d'actions signé, lettre d'engagement E&amp;S, rapports de suivi, photos de visite.</w:t>
      </w:r>
    </w:p>
    <w:p>
      <w:pPr>
        <w:keepNext/>
        <w:spacing w:after="60" w:before="120"/>
        <w:jc w:val="center"/>
      </w:pPr>
      <w:r>
        <w:drawing>
          <wp:inline distT="0" distB="0" distL="0" distR="0">
            <wp:extent cx="6096000" cy="2962275"/>
            <wp:effectExtent t="0" r="0" b="0" l="0"/>
            <wp:docPr id="1" name="20-pieces" descr="Rubrique Pièces" title="Rubrique Piè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296227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24 — Rubrique Pièces</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Type de pièce</w:t>
            </w:r>
            <w:r>
              <w:rPr>
                <w:rFonts w:ascii="Arial" w:cs="Arial" w:eastAsia="Arial" w:hAnsi="Arial"/>
                <w:sz w:val="19"/>
                <w:szCs w:val="19"/>
              </w:rPr>
              <w:t xml:space="preserve"> à choisir avant le dépôt.</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Déposer une pièce</w:t>
            </w:r>
            <w:r>
              <w:rPr>
                <w:rFonts w:ascii="Arial" w:cs="Arial" w:eastAsia="Arial" w:hAnsi="Arial"/>
                <w:sz w:val="19"/>
                <w:szCs w:val="19"/>
              </w:rPr>
              <w:t xml:space="preserve"> : formats PDF, images, Word, Excel ou texte, </w:t>
            </w:r>
            <w:r>
              <w:rPr>
                <w:rFonts w:ascii="Arial" w:cs="Arial" w:eastAsia="Arial" w:hAnsi="Arial"/>
                <w:b/>
                <w:bCs/>
                <w:sz w:val="19"/>
                <w:szCs w:val="19"/>
              </w:rPr>
              <w:t xml:space="preserve">10 Mo maximum</w:t>
            </w:r>
            <w:r>
              <w:rPr>
                <w:rFonts w:ascii="Arial" w:cs="Arial" w:eastAsia="Arial" w:hAnsi="Arial"/>
                <w:sz w:val="19"/>
                <w:szCs w:val="19"/>
              </w:rPr>
              <w:t xml:space="preserve"> par fichier.</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Liste des pièces déposées (nom, type, taille, date).</w:t>
            </w:r>
          </w:p>
        </w:tc>
      </w:tr>
    </w:tbl>
    <w:p>
      <w:pPr>
        <w:spacing w:after="140"/>
      </w:pPr>
    </w:p>
    <w:p>
      <w:pPr>
        <w:keepNext/>
        <w:spacing w:after="60" w:before="120"/>
        <w:jc w:val="center"/>
      </w:pPr>
      <w:r>
        <w:drawing>
          <wp:inline distT="0" distB="0" distL="0" distR="0">
            <wp:extent cx="6096000" cy="2962275"/>
            <wp:effectExtent t="0" r="0" b="0" l="0"/>
            <wp:docPr id="1" name="20b-piece-deposee" descr="Pièce déposée" title="Pièce dépos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296227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25 — Pièce déposée</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La pièce apparaît avec son type, sa taille et sa date de dépôt ; elle peut être téléchargée ou supprimée tant que le dossier est modifiable.</w:t>
            </w:r>
          </w:p>
        </w:tc>
      </w:tr>
    </w:tbl>
    <w:p>
      <w:pPr>
        <w:spacing w:after="140"/>
      </w:pPr>
    </w:p>
    <w:p>
      <w:pPr>
        <w:spacing w:after="110" w:line="288"/>
        <w:jc w:val="left"/>
      </w:pPr>
      <w:r>
        <w:rPr>
          <w:rFonts w:ascii="Arial" w:cs="Arial" w:eastAsia="Arial" w:hAnsi="Arial"/>
        </w:rPr>
        <w:t xml:space="preserve">En </w:t>
      </w:r>
      <w:r>
        <w:rPr>
          <w:rFonts w:ascii="Arial" w:cs="Arial" w:eastAsia="Arial" w:hAnsi="Arial"/>
          <w:b/>
          <w:bCs/>
        </w:rPr>
        <w:t xml:space="preserve">catégorie A</w:t>
      </w:r>
      <w:r>
        <w:rPr>
          <w:rFonts w:ascii="Arial" w:cs="Arial" w:eastAsia="Arial" w:hAnsi="Arial"/>
        </w:rPr>
        <w:t xml:space="preserve">, l'étude d'impact est </w:t>
      </w:r>
      <w:r>
        <w:rPr>
          <w:rFonts w:ascii="Arial" w:cs="Arial" w:eastAsia="Arial" w:hAnsi="Arial"/>
          <w:b/>
          <w:bCs/>
        </w:rPr>
        <w:t xml:space="preserve">obligatoire</w:t>
      </w:r>
      <w:r>
        <w:rPr>
          <w:rFonts w:ascii="Arial" w:cs="Arial" w:eastAsia="Arial" w:hAnsi="Arial"/>
        </w:rPr>
        <w:t xml:space="preserve"> : sans pièce de type « EIES », le dossier ne peut pas être soumis (règle paramétrable).</w:t>
      </w:r>
    </w:p>
    <w:p>
      <w:pPr>
        <w:pStyle w:val="Heading2"/>
        <w:keepNext/>
      </w:pPr>
      <w:bookmarkStart w:name="t23" w:id="1"/>
      <w:r>
        <w:rPr>
          <w:rFonts w:ascii="Arial" w:cs="Arial" w:eastAsia="Arial" w:hAnsi="Arial"/>
        </w:rPr>
        <w:t xml:space="preserve">3.8 Étape 7 — Relire la fiche et soumettre à validation</w:t>
      </w:r>
      <w:bookmarkEnd w:id="1"/>
    </w:p>
    <w:p>
      <w:pPr>
        <w:spacing w:after="110" w:line="288"/>
        <w:jc w:val="left"/>
      </w:pPr>
      <w:r>
        <w:rPr>
          <w:rFonts w:ascii="Arial" w:cs="Arial" w:eastAsia="Arial" w:hAnsi="Arial"/>
        </w:rPr>
        <w:t xml:space="preserve">L'étape </w:t>
      </w:r>
      <w:r>
        <w:rPr>
          <w:rFonts w:ascii="Arial" w:cs="Arial" w:eastAsia="Arial" w:hAnsi="Arial"/>
          <w:b/>
          <w:bCs/>
        </w:rPr>
        <w:t xml:space="preserve">Fiche &amp; validation</w:t>
      </w:r>
      <w:r>
        <w:rPr>
          <w:rFonts w:ascii="Arial" w:cs="Arial" w:eastAsia="Arial" w:hAnsi="Arial"/>
        </w:rPr>
        <w:t xml:space="preserve"> présente d'abord la liste « </w:t>
      </w:r>
      <w:r>
        <w:rPr>
          <w:rFonts w:ascii="Arial" w:cs="Arial" w:eastAsia="Arial" w:hAnsi="Arial"/>
          <w:b/>
          <w:bCs/>
        </w:rPr>
        <w:t xml:space="preserve">Avant de soumettre</w:t>
      </w:r>
      <w:r>
        <w:rPr>
          <w:rFonts w:ascii="Arial" w:cs="Arial" w:eastAsia="Arial" w:hAnsi="Arial"/>
        </w:rPr>
        <w:t xml:space="preserve"> » : tant qu'un point reste à traiter, il est listé en rouge et le bouton de soumission est inactif.</w:t>
      </w:r>
    </w:p>
    <w:p>
      <w:pPr>
        <w:keepNext/>
        <w:spacing w:after="60" w:before="120"/>
        <w:jc w:val="center"/>
      </w:pPr>
      <w:r>
        <w:drawing>
          <wp:inline distT="0" distB="0" distL="0" distR="0">
            <wp:extent cx="6096000" cy="4972050"/>
            <wp:effectExtent t="0" r="0" b="0" l="0"/>
            <wp:docPr id="1" name="11-avant-soumettre" descr="Fiche &amp; validation : points restant à traiter" title="Fiche &amp; validation : points restant à tra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49720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26 — Fiche &amp; validation : points restant à traiter</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Avant de soumettre</w:t>
            </w:r>
            <w:r>
              <w:rPr>
                <w:rFonts w:ascii="Arial" w:cs="Arial" w:eastAsia="Arial" w:hAnsi="Arial"/>
                <w:sz w:val="19"/>
                <w:szCs w:val="19"/>
              </w:rPr>
              <w:t xml:space="preserve"> : chaque ligne est une condition non remplie (catégoriser, répondre à toutes les questions obligatoires et rédiger le commentaire, renseigner le climat, négocier le plan, joindre l'EIES en catégorie A…).</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Validation et verrouillage</w:t>
            </w:r>
            <w:r>
              <w:rPr>
                <w:rFonts w:ascii="Arial" w:cs="Arial" w:eastAsia="Arial" w:hAnsi="Arial"/>
                <w:sz w:val="19"/>
                <w:szCs w:val="19"/>
              </w:rPr>
              <w:t xml:space="preserve"> : dates et auteur de la soumission et de la validation (vides tant que le dossier n'est pas soumis).</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Imprimer la fiche</w:t>
            </w:r>
            <w:r>
              <w:rPr>
                <w:rFonts w:ascii="Arial" w:cs="Arial" w:eastAsia="Arial" w:hAnsi="Arial"/>
                <w:sz w:val="19"/>
                <w:szCs w:val="19"/>
              </w:rPr>
              <w:t xml:space="preserve"> : version imprimable ou PDF.</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JSON</w:t>
            </w:r>
            <w:r>
              <w:rPr>
                <w:rFonts w:ascii="Arial" w:cs="Arial" w:eastAsia="Arial" w:hAnsi="Arial"/>
                <w:sz w:val="19"/>
                <w:szCs w:val="19"/>
              </w:rPr>
              <w:t xml:space="preserve"> : données telles que transmises à la plateforme d'octroi.</w:t>
            </w:r>
          </w:p>
        </w:tc>
      </w:tr>
    </w:tbl>
    <w:p>
      <w:pPr>
        <w:spacing w:after="140"/>
      </w:pPr>
    </w:p>
    <w:p>
      <w:pPr>
        <w:spacing w:after="110" w:line="288"/>
        <w:jc w:val="left"/>
      </w:pPr>
      <w:r>
        <w:rPr>
          <w:rFonts w:ascii="Arial" w:cs="Arial" w:eastAsia="Arial" w:hAnsi="Arial"/>
        </w:rPr>
        <w:t xml:space="preserve">Quand toutes les conditions sont réunies, le message devient vert : « Toutes les conditions sont réunies : le dossier peut être soumis ».</w:t>
      </w:r>
    </w:p>
    <w:p>
      <w:pPr>
        <w:keepNext/>
        <w:spacing w:after="60" w:before="120"/>
        <w:jc w:val="center"/>
      </w:pPr>
      <w:r>
        <w:drawing>
          <wp:inline distT="0" distB="0" distL="0" distR="0">
            <wp:extent cx="5133975" cy="4191000"/>
            <wp:effectExtent t="0" r="0" b="0" l="0"/>
            <wp:docPr id="1" name="21-pret-soumission" descr="Dossier prêt à être soumis" title="Dossier prêt à être soum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133975" cy="41910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27 — Dossier prêt à être soumis</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Message de confirmation : plus aucune condition ne manque.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Soumettre à validation</w:t>
            </w:r>
            <w:r>
              <w:rPr>
                <w:rFonts w:ascii="Arial" w:cs="Arial" w:eastAsia="Arial" w:hAnsi="Arial"/>
                <w:sz w:val="19"/>
                <w:szCs w:val="19"/>
              </w:rPr>
              <w:t xml:space="preserve">.</w:t>
            </w:r>
          </w:p>
        </w:tc>
      </w:tr>
    </w:tbl>
    <w:p>
      <w:pPr>
        <w:spacing w:after="140"/>
      </w:pPr>
    </w:p>
    <w:p>
      <w:pPr>
        <w:keepNext/>
        <w:spacing w:after="60" w:before="120"/>
        <w:jc w:val="center"/>
      </w:pPr>
      <w:r>
        <w:drawing>
          <wp:inline distT="0" distB="0" distL="0" distR="0">
            <wp:extent cx="6096000" cy="3619500"/>
            <wp:effectExtent t="0" r="0" b="0" l="0"/>
            <wp:docPr id="1" name="22-confirmation-soumission" descr="Confirmation de la soumission" title="Confirmation de la sou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36195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28 — Confirmation de la soumission</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Fenêtre de confirmation : un </w:t>
            </w:r>
            <w:r>
              <w:rPr>
                <w:rFonts w:ascii="Arial" w:cs="Arial" w:eastAsia="Arial" w:hAnsi="Arial"/>
                <w:b/>
                <w:bCs/>
                <w:sz w:val="19"/>
                <w:szCs w:val="19"/>
              </w:rPr>
              <w:t xml:space="preserve">commentaire</w:t>
            </w:r>
            <w:r>
              <w:rPr>
                <w:rFonts w:ascii="Arial" w:cs="Arial" w:eastAsia="Arial" w:hAnsi="Arial"/>
                <w:sz w:val="19"/>
                <w:szCs w:val="19"/>
              </w:rPr>
              <w:t xml:space="preserve"> à l'attention du directeur est possible.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Confirmer</w:t>
            </w:r>
            <w:r>
              <w:rPr>
                <w:rFonts w:ascii="Arial" w:cs="Arial" w:eastAsia="Arial" w:hAnsi="Arial"/>
                <w:sz w:val="19"/>
                <w:szCs w:val="19"/>
              </w:rPr>
              <w:t xml:space="preserve"> : le dossier passe au statut « À valider » et les directeurs habilités sont notifiés.</w:t>
            </w:r>
          </w:p>
        </w:tc>
      </w:tr>
    </w:tbl>
    <w:p>
      <w:pPr>
        <w:spacing w:after="140"/>
      </w:pPr>
    </w:p>
    <w:p>
      <w:pPr>
        <w:keepNext/>
        <w:spacing w:after="60" w:before="120"/>
        <w:jc w:val="center"/>
      </w:pPr>
      <w:r>
        <w:drawing>
          <wp:inline distT="0" distB="0" distL="0" distR="0">
            <wp:extent cx="6096000" cy="4143375"/>
            <wp:effectExtent t="0" r="0" b="0" l="0"/>
            <wp:docPr id="1" name="23-dossier-soumis" descr="Dossier soumis" title="Dossier soum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414337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29 — Dossier soumis</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Statut </w:t>
            </w:r>
            <w:r>
              <w:rPr>
                <w:rFonts w:ascii="Arial" w:cs="Arial" w:eastAsia="Arial" w:hAnsi="Arial"/>
                <w:b/>
                <w:bCs/>
                <w:sz w:val="19"/>
                <w:szCs w:val="19"/>
              </w:rPr>
              <w:t xml:space="preserve">À valider</w:t>
            </w:r>
            <w:r>
              <w:rPr>
                <w:rFonts w:ascii="Arial" w:cs="Arial" w:eastAsia="Arial" w:hAnsi="Arial"/>
                <w:sz w:val="19"/>
                <w:szCs w:val="19"/>
              </w:rPr>
              <w:t xml:space="preserve"> : les volets d'évaluation ne sont plus modifiables ; seul le directeur peut valider ou retourner le dossier.</w:t>
            </w:r>
          </w:p>
        </w:tc>
      </w:tr>
    </w:tbl>
    <w:p>
      <w:pPr>
        <w:spacing w:after="140"/>
      </w:pPr>
    </w:p>
    <w:p>
      <w:pPr>
        <w:spacing w:after="110" w:line="288"/>
        <w:jc w:val="left"/>
      </w:pPr>
      <w:r>
        <w:rPr>
          <w:rFonts w:ascii="Arial" w:cs="Arial" w:eastAsia="Arial" w:hAnsi="Arial"/>
        </w:rPr>
        <w:t xml:space="preserve">La </w:t>
      </w:r>
      <w:r>
        <w:rPr>
          <w:rFonts w:ascii="Arial" w:cs="Arial" w:eastAsia="Arial" w:hAnsi="Arial"/>
          <w:b/>
          <w:bCs/>
        </w:rPr>
        <w:t xml:space="preserve">fiche d'évaluation</w:t>
      </w:r>
      <w:r>
        <w:rPr>
          <w:rFonts w:ascii="Arial" w:cs="Arial" w:eastAsia="Arial" w:hAnsi="Arial"/>
        </w:rPr>
        <w:t xml:space="preserve"> elle-même comporte cinq parties, conformes au cahier des charges : informations relatives à la banque et à l'agence ; informations relatives au client et au projet ; conclusions de l'évaluation (liste d'exclusion, catégorie, risque résiduel, principales problématiques E&amp;S, exposition aux risques non maîtrisés) ; plan d'actions correctives ; décision du comité de crédit. Elle est identique à l'écran, à l'impression et dans l'échange avec la plateforme d'octroi.</w:t>
      </w:r>
    </w:p>
    <w:p>
      <w:pPr>
        <w:pStyle w:val="Heading2"/>
        <w:keepNext/>
      </w:pPr>
      <w:bookmarkStart w:name="t24" w:id="1"/>
      <w:r>
        <w:rPr>
          <w:rFonts w:ascii="Arial" w:cs="Arial" w:eastAsia="Arial" w:hAnsi="Arial"/>
        </w:rPr>
        <w:t xml:space="preserve">3.9 Historique du dossier</w:t>
      </w:r>
      <w:bookmarkEnd w:id="1"/>
    </w:p>
    <w:p>
      <w:pPr>
        <w:spacing w:after="110" w:line="288"/>
        <w:jc w:val="left"/>
      </w:pPr>
      <w:r>
        <w:rPr>
          <w:rFonts w:ascii="Arial" w:cs="Arial" w:eastAsia="Arial" w:hAnsi="Arial"/>
        </w:rPr>
        <w:t xml:space="preserve">La rubrique </w:t>
      </w:r>
      <w:r>
        <w:rPr>
          <w:rFonts w:ascii="Arial" w:cs="Arial" w:eastAsia="Arial" w:hAnsi="Arial"/>
          <w:b/>
          <w:bCs/>
        </w:rPr>
        <w:t xml:space="preserve">Historique</w:t>
      </w:r>
      <w:r>
        <w:rPr>
          <w:rFonts w:ascii="Arial" w:cs="Arial" w:eastAsia="Arial" w:hAnsi="Arial"/>
        </w:rPr>
        <w:t xml:space="preserve"> (sous les étapes) liste chronologiquement les événements du dossier : création, modifications, changements de statut avec leur commentaire, décision du comité, reclassements, actions du plan. Elle permet de savoir qui a fait quoi et quand ; les mêmes opérations figurent aussi dans le journal d'audit (chapitre 5).</w:t>
      </w:r>
    </w:p>
    <w:p>
      <w:pPr>
        <w:keepNext/>
        <w:spacing w:after="60" w:before="120"/>
        <w:jc w:val="center"/>
      </w:pPr>
      <w:r>
        <w:drawing>
          <wp:inline distT="0" distB="0" distL="0" distR="0">
            <wp:extent cx="6096000" cy="4972050"/>
            <wp:effectExtent t="0" r="0" b="0" l="0"/>
            <wp:docPr id="1" name="77-historique" descr="Historique du dossier" title="Historique du dos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49720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30 — Historique du dossier</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Historique du dossier</w:t>
            </w:r>
            <w:r>
              <w:rPr>
                <w:rFonts w:ascii="Arial" w:cs="Arial" w:eastAsia="Arial" w:hAnsi="Arial"/>
                <w:sz w:val="19"/>
                <w:szCs w:val="19"/>
              </w:rPr>
              <w:t xml:space="preserve"> : date, auteur et événement de chaque opération.</w:t>
            </w:r>
          </w:p>
        </w:tc>
      </w:tr>
    </w:tbl>
    <w:p>
      <w:pPr>
        <w:spacing w:after="140"/>
      </w:pPr>
    </w:p>
    <w:p>
      <w:pPr>
        <w:pStyle w:val="Heading1"/>
        <w:pageBreakBefore/>
      </w:pPr>
      <w:bookmarkStart w:name="t25" w:id="1"/>
      <w:r>
        <w:rPr>
          <w:rFonts w:ascii="Arial" w:cs="Arial" w:eastAsia="Arial" w:hAnsi="Arial"/>
        </w:rPr>
        <w:t xml:space="preserve">4. Valider, décider et suivre</w:t>
      </w:r>
      <w:bookmarkEnd w:id="1"/>
    </w:p>
    <w:p>
      <w:pPr>
        <w:spacing w:after="110" w:line="288"/>
        <w:jc w:val="left"/>
      </w:pPr>
      <w:r>
        <w:rPr>
          <w:rFonts w:ascii="Arial" w:cs="Arial" w:eastAsia="Arial" w:hAnsi="Arial"/>
        </w:rPr>
        <w:t xml:space="preserve">Une fois le dossier soumis, il suit un circuit en plusieurs temps, chaque acteur n'intervenant que dans le cadre de ses droits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8"/>
        <w:gridCol w:w="2666"/>
        <w:gridCol w:w="4614"/>
      </w:tblGrid>
      <w:tr>
        <w:trPr>
          <w:cantSplit/>
          <w:tblHeader/>
        </w:trPr>
        <w:tc>
          <w:tcPr>
            <w:tcW w:type="dxa" w:w="2358"/>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Statut</w:t>
            </w:r>
          </w:p>
        </w:tc>
        <w:tc>
          <w:tcPr>
            <w:tcW w:type="dxa" w:w="2666"/>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Qui agit ?</w:t>
            </w:r>
          </w:p>
        </w:tc>
        <w:tc>
          <w:tcPr>
            <w:tcW w:type="dxa" w:w="4614"/>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Action possible</w:t>
            </w:r>
          </w:p>
        </w:tc>
      </w:tr>
      <w:tr>
        <w:trPr>
          <w:cantSplit/>
        </w:trPr>
        <w:tc>
          <w:tcPr>
            <w:tcW w:type="dxa" w:w="2358"/>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En cours d'évaluation</w:t>
            </w:r>
          </w:p>
        </w:tc>
        <w:tc>
          <w:tcPr>
            <w:tcW w:type="dxa" w:w="266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Chargé d'affaires</w:t>
            </w:r>
          </w:p>
        </w:tc>
        <w:tc>
          <w:tcPr>
            <w:tcW w:type="dxa" w:w="4614"/>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Saisir, enregistrer, soumettre, annuler</w:t>
            </w:r>
          </w:p>
        </w:tc>
      </w:tr>
      <w:tr>
        <w:trPr>
          <w:cantSplit/>
        </w:trPr>
        <w:tc>
          <w:tcPr>
            <w:tcW w:type="dxa" w:w="2358"/>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À valider</w:t>
            </w:r>
          </w:p>
        </w:tc>
        <w:tc>
          <w:tcPr>
            <w:tcW w:type="dxa" w:w="266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Directeur</w:t>
            </w:r>
          </w:p>
        </w:tc>
        <w:tc>
          <w:tcPr>
            <w:tcW w:type="dxa" w:w="4614"/>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Valider, ou retourner au chargé d'affaires avec un motif</w:t>
            </w:r>
          </w:p>
        </w:tc>
      </w:tr>
      <w:tr>
        <w:trPr>
          <w:cantSplit/>
        </w:trPr>
        <w:tc>
          <w:tcPr>
            <w:tcW w:type="dxa" w:w="2358"/>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Validé</w:t>
            </w:r>
          </w:p>
        </w:tc>
        <w:tc>
          <w:tcPr>
            <w:tcW w:type="dxa" w:w="266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Comité de crédit (saisie par un habilité)</w:t>
            </w:r>
          </w:p>
        </w:tc>
        <w:tc>
          <w:tcPr>
            <w:tcW w:type="dxa" w:w="4614"/>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Enregistrer la décision du comité</w:t>
            </w:r>
          </w:p>
        </w:tc>
      </w:tr>
      <w:tr>
        <w:trPr>
          <w:cantSplit/>
        </w:trPr>
        <w:tc>
          <w:tcPr>
            <w:tcW w:type="dxa" w:w="2358"/>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Décidé</w:t>
            </w:r>
          </w:p>
        </w:tc>
        <w:tc>
          <w:tcPr>
            <w:tcW w:type="dxa" w:w="266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Chargé d'affaires / suivi</w:t>
            </w:r>
          </w:p>
        </w:tc>
        <w:tc>
          <w:tcPr>
            <w:tcW w:type="dxa" w:w="4614"/>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Démarrer le suivi, ou annuler</w:t>
            </w:r>
          </w:p>
        </w:tc>
      </w:tr>
      <w:tr>
        <w:trPr>
          <w:cantSplit/>
        </w:trPr>
        <w:tc>
          <w:tcPr>
            <w:tcW w:type="dxa" w:w="2358"/>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En suivi</w:t>
            </w:r>
          </w:p>
        </w:tc>
        <w:tc>
          <w:tcPr>
            <w:tcW w:type="dxa" w:w="266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Chargé de suivi</w:t>
            </w:r>
          </w:p>
        </w:tc>
        <w:tc>
          <w:tcPr>
            <w:tcW w:type="dxa" w:w="4614"/>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Planifier les visites, mettre à jour le plan, clôturer</w:t>
            </w:r>
          </w:p>
        </w:tc>
      </w:tr>
      <w:tr>
        <w:trPr>
          <w:cantSplit/>
        </w:trPr>
        <w:tc>
          <w:tcPr>
            <w:tcW w:type="dxa" w:w="2358"/>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b/>
                <w:bCs/>
                <w:sz w:val="19"/>
                <w:szCs w:val="19"/>
              </w:rPr>
              <w:t xml:space="preserve">Clôturé / Annulé</w:t>
            </w:r>
          </w:p>
        </w:tc>
        <w:tc>
          <w:tcPr>
            <w:tcW w:type="dxa" w:w="266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Directeur, administrateur</w:t>
            </w:r>
          </w:p>
        </w:tc>
        <w:tc>
          <w:tcPr>
            <w:tcW w:type="dxa" w:w="4614"/>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Rouvrir si nécessaire</w:t>
            </w:r>
          </w:p>
        </w:tc>
      </w:tr>
    </w:tbl>
    <w:p>
      <w:pPr>
        <w:spacing w:after="80"/>
      </w:pPr>
    </w:p>
    <w:p>
      <w:pPr>
        <w:pStyle w:val="Heading2"/>
        <w:keepNext/>
      </w:pPr>
      <w:bookmarkStart w:name="t26" w:id="1"/>
      <w:r>
        <w:rPr>
          <w:rFonts w:ascii="Arial" w:cs="Arial" w:eastAsia="Arial" w:hAnsi="Arial"/>
        </w:rPr>
        <w:t xml:space="preserve">4.1 La validation par le directeur</w:t>
      </w:r>
      <w:bookmarkEnd w:id="1"/>
    </w:p>
    <w:p>
      <w:pPr>
        <w:spacing w:after="110" w:line="288"/>
        <w:jc w:val="left"/>
      </w:pPr>
      <w:r>
        <w:rPr>
          <w:rFonts w:ascii="Arial" w:cs="Arial" w:eastAsia="Arial" w:hAnsi="Arial"/>
        </w:rPr>
        <w:t xml:space="preserve">Le directeur reçoit une notification dès qu'un dossier est soumis. Il ouvre l'étape </w:t>
      </w:r>
      <w:r>
        <w:rPr>
          <w:rFonts w:ascii="Arial" w:cs="Arial" w:eastAsia="Arial" w:hAnsi="Arial"/>
          <w:b/>
          <w:bCs/>
        </w:rPr>
        <w:t xml:space="preserve">Fiche &amp; validation</w:t>
      </w:r>
      <w:r>
        <w:rPr>
          <w:rFonts w:ascii="Arial" w:cs="Arial" w:eastAsia="Arial" w:hAnsi="Arial"/>
        </w:rPr>
        <w:t xml:space="preserve">, relit la synthèse et choisit.</w:t>
      </w:r>
    </w:p>
    <w:p>
      <w:pPr>
        <w:keepNext/>
        <w:spacing w:after="60" w:before="120"/>
        <w:jc w:val="center"/>
      </w:pPr>
      <w:r>
        <w:drawing>
          <wp:inline distT="0" distB="0" distL="0" distR="0">
            <wp:extent cx="6096000" cy="2524125"/>
            <wp:effectExtent t="0" r="0" b="0" l="0"/>
            <wp:docPr id="1" name="24-liste-a-valider" descr="Liste des dossiers à valider" title="Liste des dossiers à val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252412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31 — Liste des dossiers à valider</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Statut </w:t>
            </w:r>
            <w:r>
              <w:rPr>
                <w:rFonts w:ascii="Arial" w:cs="Arial" w:eastAsia="Arial" w:hAnsi="Arial"/>
                <w:b/>
                <w:bCs/>
                <w:sz w:val="19"/>
                <w:szCs w:val="19"/>
              </w:rPr>
              <w:t xml:space="preserve">À valider</w:t>
            </w:r>
            <w:r>
              <w:rPr>
                <w:rFonts w:ascii="Arial" w:cs="Arial" w:eastAsia="Arial" w:hAnsi="Arial"/>
                <w:sz w:val="19"/>
                <w:szCs w:val="19"/>
              </w:rPr>
              <w:t xml:space="preserve"> dans la liste des dossiers : le directeur filtre sur ce statut pour trouver les dossiers à traiter.</w:t>
            </w:r>
          </w:p>
        </w:tc>
      </w:tr>
    </w:tbl>
    <w:p>
      <w:pPr>
        <w:spacing w:after="140"/>
      </w:pPr>
    </w:p>
    <w:p>
      <w:pPr>
        <w:keepNext/>
        <w:spacing w:after="60" w:before="120"/>
        <w:jc w:val="center"/>
      </w:pPr>
      <w:r>
        <w:drawing>
          <wp:inline distT="0" distB="0" distL="0" distR="0">
            <wp:extent cx="6096000" cy="4591050"/>
            <wp:effectExtent t="0" r="0" b="0" l="0"/>
            <wp:docPr id="1" name="25-validation-directeur" descr="Validation : confirmation" title="Validation :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96000" cy="45910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32 — Validation : confirmation</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Valider et verrouiller</w:t>
            </w:r>
            <w:r>
              <w:rPr>
                <w:rFonts w:ascii="Arial" w:cs="Arial" w:eastAsia="Arial" w:hAnsi="Arial"/>
                <w:sz w:val="19"/>
                <w:szCs w:val="19"/>
              </w:rPr>
              <w:t xml:space="preserve"> : verrouille la fiche et la transmet au comité de crédit.</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Retourner au chargé d'affaires</w:t>
            </w:r>
            <w:r>
              <w:rPr>
                <w:rFonts w:ascii="Arial" w:cs="Arial" w:eastAsia="Arial" w:hAnsi="Arial"/>
                <w:sz w:val="19"/>
                <w:szCs w:val="19"/>
              </w:rPr>
              <w:t xml:space="preserve"> : le dossier redevient modifiable ; un commentaire est obligatoire.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Séparation des fonctions</w:t>
            </w:r>
            <w:r>
              <w:rPr>
                <w:rFonts w:ascii="Arial" w:cs="Arial" w:eastAsia="Arial" w:hAnsi="Arial"/>
                <w:sz w:val="19"/>
                <w:szCs w:val="19"/>
              </w:rPr>
              <w:t xml:space="preserve"> : le validateur doit être différent du chargé du dossier.</w:t>
            </w:r>
          </w:p>
        </w:tc>
      </w:tr>
    </w:tbl>
    <w:p>
      <w:pPr>
        <w:spacing w:after="140"/>
      </w:pPr>
    </w:p>
    <w:p>
      <w:pPr>
        <w:keepNext/>
        <w:spacing w:after="60" w:before="120"/>
        <w:jc w:val="center"/>
      </w:pPr>
      <w:r>
        <w:drawing>
          <wp:inline distT="0" distB="0" distL="0" distR="0">
            <wp:extent cx="6096000" cy="3829050"/>
            <wp:effectExtent t="0" r="0" b="0" l="0"/>
            <wp:docPr id="1" name="26-dossier-valide" descr="Dossier validé" title="Dossier valid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096000" cy="38290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33 — Dossier validé</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Statut </w:t>
            </w:r>
            <w:r>
              <w:rPr>
                <w:rFonts w:ascii="Arial" w:cs="Arial" w:eastAsia="Arial" w:hAnsi="Arial"/>
                <w:b/>
                <w:bCs/>
                <w:sz w:val="19"/>
                <w:szCs w:val="19"/>
              </w:rPr>
              <w:t xml:space="preserve">Validé — au comité</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Dossier verrouillé</w:t>
            </w:r>
            <w:r>
              <w:rPr>
                <w:rFonts w:ascii="Arial" w:cs="Arial" w:eastAsia="Arial" w:hAnsi="Arial"/>
                <w:sz w:val="19"/>
                <w:szCs w:val="19"/>
              </w:rPr>
              <w:t xml:space="preserve"> : validé par la direction, en attente de la décision du comité. Les dates et l'auteur de la validation sont renseignés.</w:t>
            </w:r>
          </w:p>
        </w:tc>
      </w:tr>
    </w:tbl>
    <w:p>
      <w:pPr>
        <w:spacing w:after="140"/>
      </w:pPr>
    </w:p>
    <w:tbl>
      <w:tblPr>
        <w:tblW w:type="dxa" w:w="9638"/>
        <w:tblBorders>
          <w:top w:val="none" w:color="FFFFFF" w:sz="0"/>
          <w:left w:val="single" w:color="6B728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6B7280" w:sz="24"/>
              <w:bottom w:val="none" w:color="FFFFFF" w:sz="0"/>
              <w:right w:val="none" w:color="FFFFFF" w:sz="0"/>
            </w:tcBorders>
            <w:shd w:fill="F1F2F4" w:color="auto" w:val="clear"/>
            <w:tcMar>
              <w:top w:type="dxa" w:w="100"/>
              <w:left w:type="dxa" w:w="180"/>
              <w:bottom w:type="dxa" w:w="80"/>
              <w:right w:type="dxa" w:w="160"/>
            </w:tcMar>
          </w:tcPr>
          <w:p>
            <w:pPr>
              <w:keepNext/>
              <w:spacing w:after="40"/>
            </w:pPr>
            <w:r>
              <w:rPr>
                <w:rFonts w:ascii="Arial" w:cs="Arial" w:eastAsia="Arial" w:hAnsi="Arial"/>
                <w:b/>
                <w:bCs/>
                <w:color w:val="6B7280"/>
                <w:sz w:val="20"/>
                <w:szCs w:val="20"/>
              </w:rPr>
              <w:t xml:space="preserve">Séparation des tâches</w:t>
            </w:r>
          </w:p>
          <w:p>
            <w:pPr>
              <w:spacing w:after="40" w:line="270"/>
            </w:pPr>
            <w:r>
              <w:rPr>
                <w:rFonts w:ascii="Arial" w:cs="Arial" w:eastAsia="Arial" w:hAnsi="Arial"/>
                <w:sz w:val="20"/>
                <w:szCs w:val="20"/>
              </w:rPr>
              <w:t xml:space="preserve">Par défaut, la personne qui a soumis le dossier ne peut pas le valider elle-même. Cette règle est paramétrable.</w:t>
            </w:r>
          </w:p>
        </w:tc>
      </w:tr>
    </w:tbl>
    <w:p>
      <w:pPr>
        <w:pStyle w:val="Heading2"/>
        <w:keepNext/>
      </w:pPr>
      <w:bookmarkStart w:name="t27" w:id="1"/>
      <w:r>
        <w:rPr>
          <w:rFonts w:ascii="Arial" w:cs="Arial" w:eastAsia="Arial" w:hAnsi="Arial"/>
        </w:rPr>
        <w:t xml:space="preserve">4.2 La décision du comité de crédit</w:t>
      </w:r>
      <w:bookmarkEnd w:id="1"/>
    </w:p>
    <w:p>
      <w:pPr>
        <w:spacing w:after="110" w:line="288"/>
        <w:jc w:val="left"/>
      </w:pPr>
      <w:r>
        <w:rPr>
          <w:rFonts w:ascii="Arial" w:cs="Arial" w:eastAsia="Arial" w:hAnsi="Arial"/>
        </w:rPr>
        <w:t xml:space="preserve">Dans l'étape </w:t>
      </w:r>
      <w:r>
        <w:rPr>
          <w:rFonts w:ascii="Arial" w:cs="Arial" w:eastAsia="Arial" w:hAnsi="Arial"/>
          <w:b/>
          <w:bCs/>
        </w:rPr>
        <w:t xml:space="preserve">Décision du comité</w:t>
      </w:r>
      <w:r>
        <w:rPr>
          <w:rFonts w:ascii="Arial" w:cs="Arial" w:eastAsia="Arial" w:hAnsi="Arial"/>
        </w:rPr>
        <w:t xml:space="preserve">, un utilisateur habilité enregistre l'issue de la séance : date, décision (</w:t>
      </w:r>
      <w:r>
        <w:rPr>
          <w:rFonts w:ascii="Arial" w:cs="Arial" w:eastAsia="Arial" w:hAnsi="Arial"/>
          <w:b/>
          <w:bCs/>
        </w:rPr>
        <w:t xml:space="preserve">Accord</w:t>
      </w:r>
      <w:r>
        <w:rPr>
          <w:rFonts w:ascii="Arial" w:cs="Arial" w:eastAsia="Arial" w:hAnsi="Arial"/>
        </w:rPr>
        <w:t xml:space="preserve">, </w:t>
      </w:r>
      <w:r>
        <w:rPr>
          <w:rFonts w:ascii="Arial" w:cs="Arial" w:eastAsia="Arial" w:hAnsi="Arial"/>
          <w:b/>
          <w:bCs/>
        </w:rPr>
        <w:t xml:space="preserve">Accord avec réserves</w:t>
      </w:r>
      <w:r>
        <w:rPr>
          <w:rFonts w:ascii="Arial" w:cs="Arial" w:eastAsia="Arial" w:hAnsi="Arial"/>
        </w:rPr>
        <w:t xml:space="preserve">, </w:t>
      </w:r>
      <w:r>
        <w:rPr>
          <w:rFonts w:ascii="Arial" w:cs="Arial" w:eastAsia="Arial" w:hAnsi="Arial"/>
          <w:b/>
          <w:bCs/>
        </w:rPr>
        <w:t xml:space="preserve">Ajourné</w:t>
      </w:r>
      <w:r>
        <w:rPr>
          <w:rFonts w:ascii="Arial" w:cs="Arial" w:eastAsia="Arial" w:hAnsi="Arial"/>
        </w:rPr>
        <w:t xml:space="preserve"> ou </w:t>
      </w:r>
      <w:r>
        <w:rPr>
          <w:rFonts w:ascii="Arial" w:cs="Arial" w:eastAsia="Arial" w:hAnsi="Arial"/>
          <w:b/>
          <w:bCs/>
        </w:rPr>
        <w:t xml:space="preserve">Refus</w:t>
      </w:r>
      <w:r>
        <w:rPr>
          <w:rFonts w:ascii="Arial" w:cs="Arial" w:eastAsia="Arial" w:hAnsi="Arial"/>
        </w:rPr>
        <w:t xml:space="preserve">) et, le cas échéant, les </w:t>
      </w:r>
      <w:r>
        <w:rPr>
          <w:rFonts w:ascii="Arial" w:cs="Arial" w:eastAsia="Arial" w:hAnsi="Arial"/>
          <w:b/>
          <w:bCs/>
        </w:rPr>
        <w:t xml:space="preserve">conditions suspensives</w:t>
      </w:r>
      <w:r>
        <w:rPr>
          <w:rFonts w:ascii="Arial" w:cs="Arial" w:eastAsia="Arial" w:hAnsi="Arial"/>
        </w:rPr>
        <w:t xml:space="preserve"> à lever et leurs réserves.</w:t>
      </w:r>
    </w:p>
    <w:p>
      <w:pPr>
        <w:keepNext/>
        <w:spacing w:after="60" w:before="120"/>
        <w:jc w:val="center"/>
      </w:pPr>
      <w:r>
        <w:drawing>
          <wp:inline distT="0" distB="0" distL="0" distR="0">
            <wp:extent cx="6096000" cy="5448300"/>
            <wp:effectExtent t="0" r="0" b="0" l="0"/>
            <wp:docPr id="1" name="27-decision-comite" descr="Enregistrement de la décision" title="Enregistrement de la dé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096000" cy="54483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34 — Enregistrement de la décision</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Comité</w:t>
            </w:r>
            <w:r>
              <w:rPr>
                <w:rFonts w:ascii="Arial" w:cs="Arial" w:eastAsia="Arial" w:hAnsi="Arial"/>
                <w:sz w:val="19"/>
                <w:szCs w:val="19"/>
              </w:rPr>
              <w:t xml:space="preserve"> concerné.</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Date du comité</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Décision</w:t>
            </w:r>
            <w:r>
              <w:rPr>
                <w:rFonts w:ascii="Arial" w:cs="Arial" w:eastAsia="Arial" w:hAnsi="Arial"/>
                <w:sz w:val="19"/>
                <w:szCs w:val="19"/>
              </w:rPr>
              <w:t xml:space="preserve"> : Accordé, Rejeté ou Ajourné.</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Montant accordé</w:t>
            </w:r>
            <w:r>
              <w:rPr>
                <w:rFonts w:ascii="Arial" w:cs="Arial" w:eastAsia="Arial" w:hAnsi="Arial"/>
                <w:sz w:val="19"/>
                <w:szCs w:val="19"/>
              </w:rPr>
              <w:t xml:space="preserve"> (obligatoire pour un accord).</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5</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Réserves du comité sur le plan d'actions</w:t>
            </w:r>
            <w:r>
              <w:rPr>
                <w:rFonts w:ascii="Arial" w:cs="Arial" w:eastAsia="Arial" w:hAnsi="Arial"/>
                <w:sz w:val="19"/>
                <w:szCs w:val="19"/>
              </w:rPr>
              <w:t xml:space="preserve"> : elles sont ajoutées au plan (origine « comité »).</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6</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Enregistrer la décision</w:t>
            </w:r>
            <w:r>
              <w:rPr>
                <w:rFonts w:ascii="Arial" w:cs="Arial" w:eastAsia="Arial" w:hAnsi="Arial"/>
                <w:sz w:val="19"/>
                <w:szCs w:val="19"/>
              </w:rPr>
              <w:t xml:space="preserve"> : le dossier passe à « Décidé ».</w:t>
            </w:r>
          </w:p>
        </w:tc>
      </w:tr>
    </w:tbl>
    <w:p>
      <w:pPr>
        <w:spacing w:after="140"/>
      </w:pPr>
    </w:p>
    <w:p>
      <w:pPr>
        <w:spacing w:after="110" w:line="288"/>
        <w:jc w:val="left"/>
      </w:pPr>
      <w:r>
        <w:rPr>
          <w:rFonts w:ascii="Arial" w:cs="Arial" w:eastAsia="Arial" w:hAnsi="Arial"/>
        </w:rPr>
        <w:t xml:space="preserve">La décision est ensuite </w:t>
      </w:r>
      <w:r>
        <w:rPr>
          <w:rFonts w:ascii="Arial" w:cs="Arial" w:eastAsia="Arial" w:hAnsi="Arial"/>
          <w:b/>
          <w:bCs/>
        </w:rPr>
        <w:t xml:space="preserve">transmise à la plateforme d'octroi</w:t>
      </w:r>
      <w:r>
        <w:rPr>
          <w:rFonts w:ascii="Arial" w:cs="Arial" w:eastAsia="Arial" w:hAnsi="Arial"/>
        </w:rPr>
        <w:t xml:space="preserve"> avec le reste de la fiche. Si le comité demande de nouvelles actions, ajoutez-les au plan d'actions avec l'origine « Comité ».</w:t>
      </w:r>
    </w:p>
    <w:p>
      <w:pPr>
        <w:pStyle w:val="Heading2"/>
        <w:keepNext/>
      </w:pPr>
      <w:bookmarkStart w:name="t28" w:id="1"/>
      <w:r>
        <w:rPr>
          <w:rFonts w:ascii="Arial" w:cs="Arial" w:eastAsia="Arial" w:hAnsi="Arial"/>
        </w:rPr>
        <w:t xml:space="preserve">4.3 Démarrer le suivi</w:t>
      </w:r>
      <w:bookmarkEnd w:id="1"/>
    </w:p>
    <w:p>
      <w:pPr>
        <w:spacing w:after="110" w:line="288"/>
        <w:jc w:val="left"/>
      </w:pPr>
      <w:r>
        <w:rPr>
          <w:rFonts w:ascii="Arial" w:cs="Arial" w:eastAsia="Arial" w:hAnsi="Arial"/>
        </w:rPr>
        <w:t xml:space="preserve">Après une décision favorable, le bouton </w:t>
      </w:r>
      <w:r>
        <w:rPr>
          <w:rFonts w:ascii="Arial" w:cs="Arial" w:eastAsia="Arial" w:hAnsi="Arial"/>
          <w:b/>
          <w:bCs/>
        </w:rPr>
        <w:t xml:space="preserve">Démarrer le suivi</w:t>
      </w:r>
      <w:r>
        <w:rPr>
          <w:rFonts w:ascii="Arial" w:cs="Arial" w:eastAsia="Arial" w:hAnsi="Arial"/>
        </w:rPr>
        <w:t xml:space="preserve"> fait passer le dossier au statut « En suivi ». Une prochaine </w:t>
      </w:r>
      <w:r>
        <w:rPr>
          <w:rFonts w:ascii="Arial" w:cs="Arial" w:eastAsia="Arial" w:hAnsi="Arial"/>
          <w:b/>
          <w:bCs/>
        </w:rPr>
        <w:t xml:space="preserve">visite</w:t>
      </w:r>
      <w:r>
        <w:rPr>
          <w:rFonts w:ascii="Arial" w:cs="Arial" w:eastAsia="Arial" w:hAnsi="Arial"/>
        </w:rPr>
        <w:t xml:space="preserve"> est alors programmée selon la périodicité paramétrée (12 mois par défaut ; dossiers de catégorie A plus rapprochés si le paramétrage le prévoit).</w:t>
      </w:r>
    </w:p>
    <w:p>
      <w:pPr>
        <w:keepNext/>
        <w:spacing w:after="60" w:before="120"/>
        <w:jc w:val="center"/>
      </w:pPr>
      <w:r>
        <w:drawing>
          <wp:inline distT="0" distB="0" distL="0" distR="0">
            <wp:extent cx="6096000" cy="3619500"/>
            <wp:effectExtent t="0" r="0" b="0" l="0"/>
            <wp:docPr id="1" name="28-decide-demarrer-suivi" descr="Dossier décidé : démarrer le suivi" title="Dossier décidé : démarrer le sui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096000" cy="36195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35 — Dossier décidé : démarrer le suivi</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Statut </w:t>
            </w:r>
            <w:r>
              <w:rPr>
                <w:rFonts w:ascii="Arial" w:cs="Arial" w:eastAsia="Arial" w:hAnsi="Arial"/>
                <w:b/>
                <w:bCs/>
                <w:sz w:val="19"/>
                <w:szCs w:val="19"/>
              </w:rPr>
              <w:t xml:space="preserve">Décidé</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Démarrer le suivi</w:t>
            </w:r>
            <w:r>
              <w:rPr>
                <w:rFonts w:ascii="Arial" w:cs="Arial" w:eastAsia="Arial" w:hAnsi="Arial"/>
                <w:sz w:val="19"/>
                <w:szCs w:val="19"/>
              </w:rPr>
              <w:t xml:space="preserve"> : le dossier passe à « En suivi ».</w:t>
            </w:r>
          </w:p>
        </w:tc>
      </w:tr>
    </w:tbl>
    <w:p>
      <w:pPr>
        <w:spacing w:after="140"/>
      </w:pPr>
    </w:p>
    <w:p>
      <w:pPr>
        <w:pStyle w:val="Heading2"/>
        <w:keepNext/>
      </w:pPr>
      <w:bookmarkStart w:name="t29" w:id="1"/>
      <w:r>
        <w:rPr>
          <w:rFonts w:ascii="Arial" w:cs="Arial" w:eastAsia="Arial" w:hAnsi="Arial"/>
        </w:rPr>
        <w:t xml:space="preserve">4.4 Visites de suivi et mise à jour du plan</w:t>
      </w:r>
      <w:bookmarkEnd w:id="1"/>
    </w:p>
    <w:p>
      <w:pPr>
        <w:spacing w:after="110" w:line="288"/>
        <w:jc w:val="left"/>
      </w:pPr>
      <w:r>
        <w:rPr>
          <w:rFonts w:ascii="Arial" w:cs="Arial" w:eastAsia="Arial" w:hAnsi="Arial"/>
        </w:rPr>
        <w:t xml:space="preserve">Le suivi consiste à vérifier périodiquement que les actions convenues avancent. Chaque </w:t>
      </w:r>
      <w:r>
        <w:rPr>
          <w:rFonts w:ascii="Arial" w:cs="Arial" w:eastAsia="Arial" w:hAnsi="Arial"/>
          <w:b/>
          <w:bCs/>
        </w:rPr>
        <w:t xml:space="preserve">visite de suivi</w:t>
      </w:r>
      <w:r>
        <w:rPr>
          <w:rFonts w:ascii="Arial" w:cs="Arial" w:eastAsia="Arial" w:hAnsi="Arial"/>
        </w:rPr>
        <w:t xml:space="preserve"> (ou revue documentaire) est enregistrée avec sa date, son auteur, ses constats et ses conclusions.</w:t>
      </w:r>
    </w:p>
    <w:p>
      <w:pPr>
        <w:keepNext/>
        <w:spacing w:after="60" w:before="120"/>
        <w:jc w:val="center"/>
      </w:pPr>
      <w:r>
        <w:drawing>
          <wp:inline distT="0" distB="0" distL="0" distR="0">
            <wp:extent cx="6096000" cy="4286250"/>
            <wp:effectExtent t="0" r="0" b="0" l="0"/>
            <wp:docPr id="1" name="29-nouvelle-visite" descr="Nouvelle visite de suivi" title="Nouvelle visite de sui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096000" cy="42862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36 — Nouvelle visite de suivi</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Date de la visite</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Type de visite</w:t>
            </w:r>
            <w:r>
              <w:rPr>
                <w:rFonts w:ascii="Arial" w:cs="Arial" w:eastAsia="Arial" w:hAnsi="Arial"/>
                <w:sz w:val="19"/>
                <w:szCs w:val="19"/>
              </w:rPr>
              <w:t xml:space="preserve"> (suivi, revue documentaire…).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Constats</w:t>
            </w:r>
            <w:r>
              <w:rPr>
                <w:rFonts w:ascii="Arial" w:cs="Arial" w:eastAsia="Arial" w:hAnsi="Arial"/>
                <w:sz w:val="19"/>
                <w:szCs w:val="19"/>
              </w:rPr>
              <w:t xml:space="preserve"> de terrain.</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Conformité constatée</w:t>
            </w:r>
            <w:r>
              <w:rPr>
                <w:rFonts w:ascii="Arial" w:cs="Arial" w:eastAsia="Arial" w:hAnsi="Arial"/>
                <w:sz w:val="19"/>
                <w:szCs w:val="19"/>
              </w:rPr>
              <w:t xml:space="preserve"> : conforme, partiellement conforme ou non conforme.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5</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Recommandations</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6</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Prochaine visite</w:t>
            </w:r>
            <w:r>
              <w:rPr>
                <w:rFonts w:ascii="Arial" w:cs="Arial" w:eastAsia="Arial" w:hAnsi="Arial"/>
                <w:sz w:val="19"/>
                <w:szCs w:val="19"/>
              </w:rPr>
              <w:t xml:space="preserve"> : date de la prochaine échéance.</w:t>
            </w:r>
          </w:p>
        </w:tc>
      </w:tr>
    </w:tbl>
    <w:p>
      <w:pPr>
        <w:spacing w:after="140"/>
      </w:pPr>
    </w:p>
    <w:p>
      <w:pPr>
        <w:spacing w:after="110" w:line="288"/>
        <w:jc w:val="left"/>
      </w:pPr>
      <w:r>
        <w:rPr>
          <w:rFonts w:ascii="Arial" w:cs="Arial" w:eastAsia="Arial" w:hAnsi="Arial"/>
        </w:rPr>
        <w:t xml:space="preserve">Dans le même volet </w:t>
      </w:r>
      <w:r>
        <w:rPr>
          <w:rFonts w:ascii="Arial" w:cs="Arial" w:eastAsia="Arial" w:hAnsi="Arial"/>
          <w:b/>
          <w:bCs/>
        </w:rPr>
        <w:t xml:space="preserve">Suivi</w:t>
      </w:r>
      <w:r>
        <w:rPr>
          <w:rFonts w:ascii="Arial" w:cs="Arial" w:eastAsia="Arial" w:hAnsi="Arial"/>
        </w:rPr>
        <w:t xml:space="preserve">, mettez à jour chaque action du plan : </w:t>
      </w:r>
      <w:r>
        <w:rPr>
          <w:rFonts w:ascii="Arial" w:cs="Arial" w:eastAsia="Arial" w:hAnsi="Arial"/>
          <w:b/>
          <w:bCs/>
        </w:rPr>
        <w:t xml:space="preserve">statut</w:t>
      </w:r>
      <w:r>
        <w:rPr>
          <w:rFonts w:ascii="Arial" w:cs="Arial" w:eastAsia="Arial" w:hAnsi="Arial"/>
        </w:rPr>
        <w:t xml:space="preserve"> (à négocier, planifiée, en cours, réalisée, abandonnée), avancement, date de réalisation et commentaire.</w:t>
      </w:r>
    </w:p>
    <w:p>
      <w:pPr>
        <w:keepNext/>
        <w:spacing w:after="60" w:before="120"/>
        <w:jc w:val="center"/>
      </w:pPr>
      <w:r>
        <w:drawing>
          <wp:inline distT="0" distB="0" distL="0" distR="0">
            <wp:extent cx="6096000" cy="4972050"/>
            <wp:effectExtent t="0" r="0" b="0" l="0"/>
            <wp:docPr id="1" name="30-suivi-visites" descr="Suivi du dossier" title="Suivi du dos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096000" cy="49720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37 — Suivi du dossier</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Visites de sites</w:t>
            </w:r>
            <w:r>
              <w:rPr>
                <w:rFonts w:ascii="Arial" w:cs="Arial" w:eastAsia="Arial" w:hAnsi="Arial"/>
                <w:sz w:val="19"/>
                <w:szCs w:val="19"/>
              </w:rPr>
              <w:t xml:space="preserve"> enregistrées, avec date, type, conformité et auteur.</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Nouvelle visite</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Statut </w:t>
            </w:r>
            <w:r>
              <w:rPr>
                <w:rFonts w:ascii="Arial" w:cs="Arial" w:eastAsia="Arial" w:hAnsi="Arial"/>
                <w:b/>
                <w:bCs/>
                <w:sz w:val="19"/>
                <w:szCs w:val="19"/>
              </w:rPr>
              <w:t xml:space="preserve">En suivi</w:t>
            </w:r>
            <w:r>
              <w:rPr>
                <w:rFonts w:ascii="Arial" w:cs="Arial" w:eastAsia="Arial" w:hAnsi="Arial"/>
                <w:sz w:val="19"/>
                <w:szCs w:val="19"/>
              </w:rPr>
              <w:t xml:space="preserve">.</w:t>
            </w:r>
          </w:p>
        </w:tc>
      </w:tr>
    </w:tbl>
    <w:p>
      <w:pPr>
        <w:spacing w:after="140"/>
      </w:pPr>
    </w:p>
    <w:p>
      <w:pPr>
        <w:keepNext/>
        <w:spacing w:after="60" w:before="120"/>
        <w:jc w:val="center"/>
      </w:pPr>
      <w:r>
        <w:drawing>
          <wp:inline distT="0" distB="0" distL="0" distR="0">
            <wp:extent cx="5219700" cy="4762500"/>
            <wp:effectExtent t="0" r="0" b="0" l="0"/>
            <wp:docPr id="1" name="30b-suivi-action" descr="Mise à jour d'une action" title="Mise à jour d'un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219700" cy="47625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38 — Mise à jour d'une action</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Mise à jour d'avancement</w:t>
            </w:r>
            <w:r>
              <w:rPr>
                <w:rFonts w:ascii="Arial" w:cs="Arial" w:eastAsia="Arial" w:hAnsi="Arial"/>
                <w:sz w:val="19"/>
                <w:szCs w:val="19"/>
              </w:rPr>
              <w:t xml:space="preserve"> : statut, pourcentage, commentaire.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Historique d'avancement</w:t>
            </w:r>
            <w:r>
              <w:rPr>
                <w:rFonts w:ascii="Arial" w:cs="Arial" w:eastAsia="Arial" w:hAnsi="Arial"/>
                <w:sz w:val="19"/>
                <w:szCs w:val="19"/>
              </w:rPr>
              <w:t xml:space="preserve"> de l'action.</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Tuiles de synthèse du plan (actions retenues, budget, réalisées, en retard).</w:t>
            </w:r>
          </w:p>
        </w:tc>
      </w:tr>
    </w:tbl>
    <w:p>
      <w:pPr>
        <w:spacing w:after="140"/>
      </w:pPr>
    </w:p>
    <w:tbl>
      <w:tblPr>
        <w:tblW w:type="dxa" w:w="9638"/>
        <w:tblBorders>
          <w:top w:val="none" w:color="FFFFFF" w:sz="0"/>
          <w:left w:val="single" w:color="B7791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FF5DD" w:color="auto" w:val="clear"/>
            <w:tcMar>
              <w:top w:type="dxa" w:w="100"/>
              <w:left w:type="dxa" w:w="180"/>
              <w:bottom w:type="dxa" w:w="80"/>
              <w:right w:type="dxa" w:w="160"/>
            </w:tcMar>
          </w:tcPr>
          <w:p>
            <w:pPr>
              <w:keepNext/>
              <w:spacing w:after="40"/>
            </w:pPr>
            <w:r>
              <w:rPr>
                <w:rFonts w:ascii="Arial" w:cs="Arial" w:eastAsia="Arial" w:hAnsi="Arial"/>
                <w:b/>
                <w:bCs/>
                <w:color w:val="B7791F"/>
                <w:sz w:val="20"/>
                <w:szCs w:val="20"/>
              </w:rPr>
              <w:t xml:space="preserve">Actions en retard</w:t>
            </w:r>
          </w:p>
          <w:p>
            <w:pPr>
              <w:spacing w:after="40" w:line="270"/>
            </w:pPr>
            <w:r>
              <w:rPr>
                <w:rFonts w:ascii="Arial" w:cs="Arial" w:eastAsia="Arial" w:hAnsi="Arial"/>
                <w:sz w:val="20"/>
                <w:szCs w:val="20"/>
              </w:rPr>
              <w:t xml:space="preserve">Une action dont l'échéance est dépassée sans être réalisée est comptée « en retard » dans le tableau de bord, le reporting et la liste des plans d'actions du portefeuille.</w:t>
            </w:r>
          </w:p>
        </w:tc>
      </w:tr>
    </w:tbl>
    <w:p>
      <w:pPr>
        <w:pStyle w:val="Heading2"/>
        <w:keepNext/>
      </w:pPr>
      <w:bookmarkStart w:name="t30" w:id="1"/>
      <w:r>
        <w:rPr>
          <w:rFonts w:ascii="Arial" w:cs="Arial" w:eastAsia="Arial" w:hAnsi="Arial"/>
        </w:rPr>
        <w:t xml:space="preserve">4.5 Clôturer, rouvrir, annuler</w:t>
      </w:r>
      <w:bookmarkEnd w:id="1"/>
    </w:p>
    <w:p>
      <w:pPr>
        <w:pStyle w:val="ListParagraph"/>
        <w:numPr>
          <w:ilvl w:val="0"/>
          <w:numId w:val="2"/>
        </w:numPr>
        <w:spacing w:after="50" w:line="276"/>
      </w:pPr>
      <w:r>
        <w:rPr>
          <w:rFonts w:ascii="Arial" w:cs="Arial" w:eastAsia="Arial" w:hAnsi="Arial"/>
          <w:b/>
          <w:bCs/>
        </w:rPr>
        <w:t xml:space="preserve">Clôturer</w:t>
      </w:r>
      <w:r>
        <w:rPr>
          <w:rFonts w:ascii="Arial" w:cs="Arial" w:eastAsia="Arial" w:hAnsi="Arial"/>
        </w:rPr>
        <w:t xml:space="preserve"> : à la fin de la vie du crédit (remboursement, soldé). Un commentaire est demandé ; la clôture fige le dossier.</w:t>
      </w:r>
    </w:p>
    <w:p>
      <w:pPr>
        <w:pStyle w:val="ListParagraph"/>
        <w:numPr>
          <w:ilvl w:val="0"/>
          <w:numId w:val="2"/>
        </w:numPr>
        <w:spacing w:after="50" w:line="276"/>
      </w:pPr>
      <w:r>
        <w:rPr>
          <w:rFonts w:ascii="Arial" w:cs="Arial" w:eastAsia="Arial" w:hAnsi="Arial"/>
          <w:b/>
          <w:bCs/>
        </w:rPr>
        <w:t xml:space="preserve">Rouvrir</w:t>
      </w:r>
      <w:r>
        <w:rPr>
          <w:rFonts w:ascii="Arial" w:cs="Arial" w:eastAsia="Arial" w:hAnsi="Arial"/>
        </w:rPr>
        <w:t xml:space="preserve"> : un directeur ou un administrateur peut rouvrir un dossier clôturé ou annulé, avec un commentaire.</w:t>
      </w:r>
    </w:p>
    <w:p>
      <w:pPr>
        <w:pStyle w:val="ListParagraph"/>
        <w:numPr>
          <w:ilvl w:val="0"/>
          <w:numId w:val="2"/>
        </w:numPr>
        <w:spacing w:after="50" w:line="276"/>
      </w:pPr>
      <w:r>
        <w:rPr>
          <w:rFonts w:ascii="Arial" w:cs="Arial" w:eastAsia="Arial" w:hAnsi="Arial"/>
          <w:b/>
          <w:bCs/>
        </w:rPr>
        <w:t xml:space="preserve">Annuler</w:t>
      </w:r>
      <w:r>
        <w:rPr>
          <w:rFonts w:ascii="Arial" w:cs="Arial" w:eastAsia="Arial" w:hAnsi="Arial"/>
        </w:rPr>
        <w:t xml:space="preserve"> : abandon avant décision ou après refus. Le commentaire est obligatoire et l'historique est conservé.</w:t>
      </w:r>
    </w:p>
    <w:p>
      <w:pPr>
        <w:keepNext/>
        <w:spacing w:after="60" w:before="120"/>
        <w:jc w:val="center"/>
      </w:pPr>
      <w:r>
        <w:drawing>
          <wp:inline distT="0" distB="0" distL="0" distR="0">
            <wp:extent cx="6096000" cy="4143375"/>
            <wp:effectExtent t="0" r="0" b="0" l="0"/>
            <wp:docPr id="1" name="31d-directeur-suivi" descr="Bouton de clôture sur un dossier en suivi" title="Bouton de clôture sur un dossier en sui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096000" cy="414337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39 — Bouton de clôture sur un dossier en suivi</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Clôturer le dossier</w:t>
            </w:r>
            <w:r>
              <w:rPr>
                <w:rFonts w:ascii="Arial" w:cs="Arial" w:eastAsia="Arial" w:hAnsi="Arial"/>
                <w:sz w:val="19"/>
                <w:szCs w:val="19"/>
              </w:rPr>
              <w:t xml:space="preserve"> (profils habilités).</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Statut </w:t>
            </w:r>
            <w:r>
              <w:rPr>
                <w:rFonts w:ascii="Arial" w:cs="Arial" w:eastAsia="Arial" w:hAnsi="Arial"/>
                <w:b/>
                <w:bCs/>
                <w:sz w:val="19"/>
                <w:szCs w:val="19"/>
              </w:rPr>
              <w:t xml:space="preserve">En suivi</w:t>
            </w:r>
            <w:r>
              <w:rPr>
                <w:rFonts w:ascii="Arial" w:cs="Arial" w:eastAsia="Arial" w:hAnsi="Arial"/>
                <w:sz w:val="19"/>
                <w:szCs w:val="19"/>
              </w:rPr>
              <w:t xml:space="preserve">.</w:t>
            </w:r>
          </w:p>
        </w:tc>
      </w:tr>
    </w:tbl>
    <w:p>
      <w:pPr>
        <w:spacing w:after="140"/>
      </w:pPr>
    </w:p>
    <w:p>
      <w:pPr>
        <w:keepNext/>
        <w:spacing w:after="60" w:before="120"/>
        <w:jc w:val="center"/>
      </w:pPr>
      <w:r>
        <w:drawing>
          <wp:inline distT="0" distB="0" distL="0" distR="0">
            <wp:extent cx="6096000" cy="3438525"/>
            <wp:effectExtent t="0" r="0" b="0" l="0"/>
            <wp:docPr id="1" name="31e-cloture-dialogue" descr="Fenêtre de confirmation de la clôture" title="Fenêtre de confirmation de la clô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096000" cy="3438525"/>
                    </a:xfrm>
                    <a:prstGeom prst="rect">
                      <a:avLst/>
                    </a:prstGeom>
                  </pic:spPr>
                </pic:pic>
              </a:graphicData>
            </a:graphic>
          </wp:inline>
        </w:drawing>
      </w:r>
    </w:p>
    <w:p>
      <w:pPr>
        <w:keepNext w:val="false"/>
        <w:spacing w:after="100"/>
        <w:jc w:val="center"/>
      </w:pPr>
      <w:r>
        <w:rPr>
          <w:rFonts w:ascii="Arial" w:cs="Arial" w:eastAsia="Arial" w:hAnsi="Arial"/>
          <w:i/>
          <w:iCs/>
          <w:color w:val="5B6560"/>
          <w:sz w:val="18"/>
          <w:szCs w:val="18"/>
        </w:rPr>
        <w:t xml:space="preserve">Figure 40 — Fenêtre de confirmation de la clôture</w:t>
      </w:r>
    </w:p>
    <w:p>
      <w:pPr>
        <w:spacing w:after="140"/>
      </w:pPr>
    </w:p>
    <w:p>
      <w:pPr>
        <w:pStyle w:val="Heading2"/>
        <w:keepNext/>
      </w:pPr>
      <w:bookmarkStart w:name="t31" w:id="1"/>
      <w:r>
        <w:rPr>
          <w:rFonts w:ascii="Arial" w:cs="Arial" w:eastAsia="Arial" w:hAnsi="Arial"/>
        </w:rPr>
        <w:t xml:space="preserve">4.6 Impressions et échanges</w:t>
      </w:r>
      <w:bookmarkEnd w:id="1"/>
    </w:p>
    <w:p>
      <w:pPr>
        <w:spacing w:after="110" w:line="288"/>
        <w:jc w:val="left"/>
      </w:pPr>
      <w:r>
        <w:rPr>
          <w:rFonts w:ascii="Arial" w:cs="Arial" w:eastAsia="Arial" w:hAnsi="Arial"/>
        </w:rPr>
        <w:t xml:space="preserve">Depuis l'étape Fiche &amp; validation et la rubrique Pièces, vous pouvez imprimer :</w:t>
      </w:r>
    </w:p>
    <w:p>
      <w:pPr>
        <w:pStyle w:val="ListParagraph"/>
        <w:numPr>
          <w:ilvl w:val="0"/>
          <w:numId w:val="2"/>
        </w:numPr>
        <w:spacing w:after="50" w:line="276"/>
      </w:pPr>
      <w:r>
        <w:rPr>
          <w:rFonts w:ascii="Arial" w:cs="Arial" w:eastAsia="Arial" w:hAnsi="Arial"/>
        </w:rPr>
        <w:t xml:space="preserve">la </w:t>
      </w:r>
      <w:r>
        <w:rPr>
          <w:rFonts w:ascii="Arial" w:cs="Arial" w:eastAsia="Arial" w:hAnsi="Arial"/>
          <w:b/>
          <w:bCs/>
        </w:rPr>
        <w:t xml:space="preserve">fiche d'évaluation E&amp;S</w:t>
      </w:r>
      <w:r>
        <w:rPr>
          <w:rFonts w:ascii="Arial" w:cs="Arial" w:eastAsia="Arial" w:hAnsi="Arial"/>
        </w:rPr>
        <w:t xml:space="preserve"> (format A4, aussi enregistrable en PDF) ;</w:t>
      </w:r>
    </w:p>
    <w:p>
      <w:pPr>
        <w:pStyle w:val="ListParagraph"/>
        <w:numPr>
          <w:ilvl w:val="0"/>
          <w:numId w:val="2"/>
        </w:numPr>
        <w:spacing w:after="50" w:line="276"/>
      </w:pPr>
      <w:r>
        <w:rPr>
          <w:rFonts w:ascii="Arial" w:cs="Arial" w:eastAsia="Arial" w:hAnsi="Arial"/>
        </w:rPr>
        <w:t xml:space="preserve">le </w:t>
      </w:r>
      <w:r>
        <w:rPr>
          <w:rFonts w:ascii="Arial" w:cs="Arial" w:eastAsia="Arial" w:hAnsi="Arial"/>
          <w:b/>
          <w:bCs/>
        </w:rPr>
        <w:t xml:space="preserve">plan d'actions</w:t>
      </w:r>
      <w:r>
        <w:rPr>
          <w:rFonts w:ascii="Arial" w:cs="Arial" w:eastAsia="Arial" w:hAnsi="Arial"/>
        </w:rPr>
        <w:t xml:space="preserve"> (pour signature du client) ;</w:t>
      </w:r>
    </w:p>
    <w:p>
      <w:pPr>
        <w:pStyle w:val="ListParagraph"/>
        <w:numPr>
          <w:ilvl w:val="0"/>
          <w:numId w:val="2"/>
        </w:numPr>
        <w:spacing w:after="50" w:line="276"/>
      </w:pPr>
      <w:r>
        <w:rPr>
          <w:rFonts w:ascii="Arial" w:cs="Arial" w:eastAsia="Arial" w:hAnsi="Arial"/>
        </w:rPr>
        <w:t xml:space="preserve">le </w:t>
      </w:r>
      <w:r>
        <w:rPr>
          <w:rFonts w:ascii="Arial" w:cs="Arial" w:eastAsia="Arial" w:hAnsi="Arial"/>
          <w:b/>
          <w:bCs/>
        </w:rPr>
        <w:t xml:space="preserve">questionnaire vierge</w:t>
      </w:r>
      <w:r>
        <w:rPr>
          <w:rFonts w:ascii="Arial" w:cs="Arial" w:eastAsia="Arial" w:hAnsi="Arial"/>
        </w:rPr>
        <w:t xml:space="preserve"> (pour remplissage par le client).</w:t>
      </w:r>
    </w:p>
    <w:p>
      <w:pPr>
        <w:keepNext/>
        <w:spacing w:after="60" w:before="120"/>
        <w:jc w:val="center"/>
      </w:pPr>
      <w:r>
        <w:drawing>
          <wp:inline distT="0" distB="0" distL="0" distR="0">
            <wp:extent cx="6096000" cy="5238750"/>
            <wp:effectExtent t="0" r="0" b="0" l="0"/>
            <wp:docPr id="1" name="31-impression-fiche" descr="Fiche d'évaluation imprimable" title="Fiche d'évaluation imprim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096000" cy="52387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41 — Fiche d'évaluation imprimable</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En-tête de la banque et référence ; cinq parties conformes au cahier des charges.</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Boutons </w:t>
            </w:r>
            <w:r>
              <w:rPr>
                <w:rFonts w:ascii="Arial" w:cs="Arial" w:eastAsia="Arial" w:hAnsi="Arial"/>
                <w:b/>
                <w:bCs/>
                <w:sz w:val="19"/>
                <w:szCs w:val="19"/>
              </w:rPr>
              <w:t xml:space="preserve">Imprimer</w:t>
            </w:r>
            <w:r>
              <w:rPr>
                <w:rFonts w:ascii="Arial" w:cs="Arial" w:eastAsia="Arial" w:hAnsi="Arial"/>
                <w:sz w:val="19"/>
                <w:szCs w:val="19"/>
              </w:rPr>
              <w:t xml:space="preserve"> et retour.</w:t>
            </w:r>
          </w:p>
        </w:tc>
      </w:tr>
    </w:tbl>
    <w:p>
      <w:pPr>
        <w:spacing w:after="140"/>
      </w:pPr>
    </w:p>
    <w:p>
      <w:pPr>
        <w:keepNext/>
        <w:spacing w:after="60" w:before="120"/>
        <w:jc w:val="center"/>
      </w:pPr>
      <w:r>
        <w:drawing>
          <wp:inline distT="0" distB="0" distL="0" distR="0">
            <wp:extent cx="6096000" cy="4762500"/>
            <wp:effectExtent t="0" r="0" b="0" l="0"/>
            <wp:docPr id="1" name="31b-impression-plan" descr="Plan d'actions imprimable" title="Plan d'actions imprim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096000" cy="47625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42 — Plan d'actions imprimable</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Tableau des actions retenues avec responsable, échéance et budget.</w:t>
            </w:r>
          </w:p>
        </w:tc>
      </w:tr>
    </w:tbl>
    <w:p>
      <w:pPr>
        <w:spacing w:after="140"/>
      </w:pPr>
    </w:p>
    <w:p>
      <w:pPr>
        <w:keepNext/>
        <w:spacing w:after="60" w:before="120"/>
        <w:jc w:val="center"/>
      </w:pPr>
      <w:r>
        <w:drawing>
          <wp:inline distT="0" distB="0" distL="0" distR="0">
            <wp:extent cx="6096000" cy="4762500"/>
            <wp:effectExtent t="0" r="0" b="0" l="0"/>
            <wp:docPr id="1" name="31c-impression-questionnaire" descr="Questionnaire client imprimable" title="Questionnaire client imprim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096000" cy="47625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43 — Questionnaire client imprimable</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Version papier des questions applicables.</w:t>
            </w:r>
          </w:p>
        </w:tc>
      </w:tr>
    </w:tbl>
    <w:p>
      <w:pPr>
        <w:spacing w:after="140"/>
      </w:pPr>
    </w:p>
    <w:p>
      <w:pPr>
        <w:pStyle w:val="Heading1"/>
        <w:pageBreakBefore/>
      </w:pPr>
      <w:bookmarkStart w:name="t32" w:id="1"/>
      <w:r>
        <w:rPr>
          <w:rFonts w:ascii="Arial" w:cs="Arial" w:eastAsia="Arial" w:hAnsi="Arial"/>
        </w:rPr>
        <w:t xml:space="preserve">5. Consulter et piloter le portefeuille</w:t>
      </w:r>
      <w:bookmarkEnd w:id="1"/>
    </w:p>
    <w:p>
      <w:pPr>
        <w:pStyle w:val="Heading2"/>
        <w:keepNext/>
      </w:pPr>
      <w:bookmarkStart w:name="t33" w:id="1"/>
      <w:r>
        <w:rPr>
          <w:rFonts w:ascii="Arial" w:cs="Arial" w:eastAsia="Arial" w:hAnsi="Arial"/>
        </w:rPr>
        <w:t xml:space="preserve">5.1 Tableau de bord</w:t>
      </w:r>
      <w:bookmarkEnd w:id="1"/>
    </w:p>
    <w:p>
      <w:pPr>
        <w:spacing w:after="110" w:line="288"/>
        <w:jc w:val="left"/>
      </w:pPr>
      <w:r>
        <w:rPr>
          <w:rFonts w:ascii="Arial" w:cs="Arial" w:eastAsia="Arial" w:hAnsi="Arial"/>
        </w:rPr>
        <w:t xml:space="preserve">Le </w:t>
      </w:r>
      <w:r>
        <w:rPr>
          <w:rFonts w:ascii="Arial" w:cs="Arial" w:eastAsia="Arial" w:hAnsi="Arial"/>
          <w:b/>
          <w:bCs/>
        </w:rPr>
        <w:t xml:space="preserve">tableau de bord</w:t>
      </w:r>
      <w:r>
        <w:rPr>
          <w:rFonts w:ascii="Arial" w:cs="Arial" w:eastAsia="Arial" w:hAnsi="Arial"/>
        </w:rPr>
        <w:t xml:space="preserve"> est la page d'accueil des profils de pilotage. Il présente en un coup d'œil : le nombre de dossiers par statut, la répartition par catégorie (A, B, C, FI) et par niveau de risque, les montants exposés, les actions en retard et les prochaines visites. Les chiffres respectent le </w:t>
      </w:r>
      <w:r>
        <w:rPr>
          <w:rFonts w:ascii="Arial" w:cs="Arial" w:eastAsia="Arial" w:hAnsi="Arial"/>
          <w:b/>
          <w:bCs/>
        </w:rPr>
        <w:t xml:space="preserve">périmètre</w:t>
      </w:r>
      <w:r>
        <w:rPr>
          <w:rFonts w:ascii="Arial" w:cs="Arial" w:eastAsia="Arial" w:hAnsi="Arial"/>
        </w:rPr>
        <w:t xml:space="preserve"> de l'utilisateur (entités dont il dépend).</w:t>
      </w:r>
    </w:p>
    <w:p>
      <w:pPr>
        <w:keepNext/>
        <w:spacing w:after="60" w:before="120"/>
        <w:jc w:val="center"/>
      </w:pPr>
      <w:r>
        <w:drawing>
          <wp:inline distT="0" distB="0" distL="0" distR="0">
            <wp:extent cx="6096000" cy="5133975"/>
            <wp:effectExtent t="0" r="0" b="0" l="0"/>
            <wp:docPr id="1" name="42-tableau-de-bord" descr="Tableau de bord" title="Tableau de b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096000" cy="513397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44 — Tableau de bord</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À traiter</w:t>
            </w:r>
            <w:r>
              <w:rPr>
                <w:rFonts w:ascii="Arial" w:cs="Arial" w:eastAsia="Arial" w:hAnsi="Arial"/>
                <w:sz w:val="19"/>
                <w:szCs w:val="19"/>
              </w:rPr>
              <w:t xml:space="preserve"> : dossiers en attente d'une action de votre part.</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Actions correctives en retard</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Montant évalué</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Répartition par catégorie</w:t>
            </w:r>
            <w:r>
              <w:rPr>
                <w:rFonts w:ascii="Arial" w:cs="Arial" w:eastAsia="Arial" w:hAnsi="Arial"/>
                <w:sz w:val="19"/>
                <w:szCs w:val="19"/>
              </w:rPr>
              <w:t xml:space="preserve"> (A, B, C, FI).</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5</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Risque E&amp;S résiduel</w:t>
            </w:r>
            <w:r>
              <w:rPr>
                <w:rFonts w:ascii="Arial" w:cs="Arial" w:eastAsia="Arial" w:hAnsi="Arial"/>
                <w:sz w:val="19"/>
                <w:szCs w:val="19"/>
              </w:rPr>
              <w:t xml:space="preserve"> par niveau.</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6</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Décisions des comités</w:t>
            </w:r>
            <w:r>
              <w:rPr>
                <w:rFonts w:ascii="Arial" w:cs="Arial" w:eastAsia="Arial" w:hAnsi="Arial"/>
                <w:sz w:val="19"/>
                <w:szCs w:val="19"/>
              </w:rPr>
              <w:t xml:space="preserve">.</w:t>
            </w:r>
          </w:p>
        </w:tc>
      </w:tr>
    </w:tbl>
    <w:p>
      <w:pPr>
        <w:spacing w:after="140"/>
      </w:pPr>
    </w:p>
    <w:p>
      <w:pPr>
        <w:pStyle w:val="Heading2"/>
        <w:keepNext/>
      </w:pPr>
      <w:bookmarkStart w:name="t34" w:id="1"/>
      <w:r>
        <w:rPr>
          <w:rFonts w:ascii="Arial" w:cs="Arial" w:eastAsia="Arial" w:hAnsi="Arial"/>
        </w:rPr>
        <w:t xml:space="preserve">5.2 Liste des dossiers</w:t>
      </w:r>
      <w:bookmarkEnd w:id="1"/>
    </w:p>
    <w:p>
      <w:pPr>
        <w:spacing w:after="110" w:line="288"/>
        <w:jc w:val="left"/>
      </w:pPr>
      <w:r>
        <w:rPr>
          <w:rFonts w:ascii="Arial" w:cs="Arial" w:eastAsia="Arial" w:hAnsi="Arial"/>
        </w:rPr>
        <w:t xml:space="preserve">Le menu </w:t>
      </w:r>
      <w:r>
        <w:rPr>
          <w:rFonts w:ascii="Arial" w:cs="Arial" w:eastAsia="Arial" w:hAnsi="Arial"/>
          <w:b/>
          <w:bCs/>
        </w:rPr>
        <w:t xml:space="preserve">Dossiers</w:t>
      </w:r>
      <w:r>
        <w:rPr>
          <w:rFonts w:ascii="Arial" w:cs="Arial" w:eastAsia="Arial" w:hAnsi="Arial"/>
        </w:rPr>
        <w:t xml:space="preserve"> liste les évaluations. Filtrez par texte, statut, catégorie, risque et entité ; cliquez sur une ligne pour ouvrir le dossier. Sur mobile, la liste se présente sous forme de cartes.</w:t>
      </w:r>
    </w:p>
    <w:p>
      <w:pPr>
        <w:keepNext/>
        <w:spacing w:after="60" w:before="120"/>
        <w:jc w:val="center"/>
      </w:pPr>
      <w:r>
        <w:drawing>
          <wp:inline distT="0" distB="0" distL="0" distR="0">
            <wp:extent cx="6096000" cy="4152900"/>
            <wp:effectExtent t="0" r="0" b="0" l="0"/>
            <wp:docPr id="1" name="33-liste-dossiers" descr="Liste des dossiers" title="Liste des doss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096000" cy="41529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45 — Liste des dossiers</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Recherche</w:t>
            </w:r>
            <w:r>
              <w:rPr>
                <w:rFonts w:ascii="Arial" w:cs="Arial" w:eastAsia="Arial" w:hAnsi="Arial"/>
                <w:sz w:val="19"/>
                <w:szCs w:val="19"/>
              </w:rPr>
              <w:t xml:space="preserve"> par référence ou nom du client.</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Filtre </w:t>
            </w:r>
            <w:r>
              <w:rPr>
                <w:rFonts w:ascii="Arial" w:cs="Arial" w:eastAsia="Arial" w:hAnsi="Arial"/>
                <w:b/>
                <w:bCs/>
                <w:sz w:val="19"/>
                <w:szCs w:val="19"/>
              </w:rPr>
              <w:t xml:space="preserve">Statut</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Filtre </w:t>
            </w:r>
            <w:r>
              <w:rPr>
                <w:rFonts w:ascii="Arial" w:cs="Arial" w:eastAsia="Arial" w:hAnsi="Arial"/>
                <w:b/>
                <w:bCs/>
                <w:sz w:val="19"/>
                <w:szCs w:val="19"/>
              </w:rPr>
              <w:t xml:space="preserve">Catégorie</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Filtre </w:t>
            </w:r>
            <w:r>
              <w:rPr>
                <w:rFonts w:ascii="Arial" w:cs="Arial" w:eastAsia="Arial" w:hAnsi="Arial"/>
                <w:b/>
                <w:bCs/>
                <w:sz w:val="19"/>
                <w:szCs w:val="19"/>
              </w:rPr>
              <w:t xml:space="preserve">Niveau de risque</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5</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Filtre </w:t>
            </w:r>
            <w:r>
              <w:rPr>
                <w:rFonts w:ascii="Arial" w:cs="Arial" w:eastAsia="Arial" w:hAnsi="Arial"/>
                <w:b/>
                <w:bCs/>
                <w:sz w:val="19"/>
                <w:szCs w:val="19"/>
              </w:rPr>
              <w:t xml:space="preserve">Entité</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6</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Mes dossiers</w:t>
            </w:r>
            <w:r>
              <w:rPr>
                <w:rFonts w:ascii="Arial" w:cs="Arial" w:eastAsia="Arial" w:hAnsi="Arial"/>
                <w:sz w:val="19"/>
                <w:szCs w:val="19"/>
              </w:rPr>
              <w:t xml:space="preserve"> : limite la liste aux dossiers dont vous êtes chargé.</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7</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Exporter (Excel)</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8</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Nouvelle évaluation E&amp;S</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9</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Ligne de dossier : cliquez pour l'ouvrir.</w:t>
            </w:r>
          </w:p>
        </w:tc>
      </w:tr>
    </w:tbl>
    <w:p>
      <w:pPr>
        <w:spacing w:after="140"/>
      </w:pPr>
    </w:p>
    <w:p>
      <w:pPr>
        <w:pStyle w:val="Heading2"/>
        <w:keepNext/>
      </w:pPr>
      <w:bookmarkStart w:name="t35" w:id="1"/>
      <w:r>
        <w:rPr>
          <w:rFonts w:ascii="Arial" w:cs="Arial" w:eastAsia="Arial" w:hAnsi="Arial"/>
        </w:rPr>
        <w:t xml:space="preserve">5.3 Clients</w:t>
      </w:r>
      <w:bookmarkEnd w:id="1"/>
    </w:p>
    <w:p>
      <w:pPr>
        <w:keepNext/>
        <w:spacing w:after="60" w:before="120"/>
        <w:jc w:val="center"/>
      </w:pPr>
      <w:r>
        <w:drawing>
          <wp:inline distT="0" distB="0" distL="0" distR="0">
            <wp:extent cx="6096000" cy="3495675"/>
            <wp:effectExtent t="0" r="0" b="0" l="0"/>
            <wp:docPr id="1" name="34-clients" descr="Liste des clients" title="Liste des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096000" cy="349567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46 — Liste des clients</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Recherche</w:t>
            </w:r>
            <w:r>
              <w:rPr>
                <w:rFonts w:ascii="Arial" w:cs="Arial" w:eastAsia="Arial" w:hAnsi="Arial"/>
                <w:sz w:val="19"/>
                <w:szCs w:val="19"/>
              </w:rPr>
              <w:t xml:space="preserve"> par nom ou compte.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Compte courant (20 positions)</w:t>
            </w:r>
            <w:r>
              <w:rPr>
                <w:rFonts w:ascii="Arial" w:cs="Arial" w:eastAsia="Arial" w:hAnsi="Arial"/>
                <w:sz w:val="19"/>
                <w:szCs w:val="19"/>
              </w:rPr>
              <w:t xml:space="preserve"> : import d'un client depuis le système central.</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Ligne de client : cliquez pour ouvrir sa fiche.</w:t>
            </w:r>
          </w:p>
        </w:tc>
      </w:tr>
    </w:tbl>
    <w:p>
      <w:pPr>
        <w:spacing w:after="140"/>
      </w:pPr>
    </w:p>
    <w:p>
      <w:pPr>
        <w:keepNext/>
        <w:spacing w:after="60" w:before="120"/>
        <w:jc w:val="center"/>
      </w:pPr>
      <w:r>
        <w:drawing>
          <wp:inline distT="0" distB="0" distL="0" distR="0">
            <wp:extent cx="6096000" cy="4371975"/>
            <wp:effectExtent t="0" r="0" b="0" l="0"/>
            <wp:docPr id="1" name="35-fiche-client" descr="Fiche client" title="Fiche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096000" cy="437197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47 — Fiche client</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Évaluations E&amp;S du client</w:t>
            </w:r>
            <w:r>
              <w:rPr>
                <w:rFonts w:ascii="Arial" w:cs="Arial" w:eastAsia="Arial" w:hAnsi="Arial"/>
                <w:sz w:val="19"/>
                <w:szCs w:val="19"/>
              </w:rPr>
              <w:t xml:space="preserve"> : historique de tous ses dossiers.</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Nouvelle évaluation E&amp;S</w:t>
            </w:r>
            <w:r>
              <w:rPr>
                <w:rFonts w:ascii="Arial" w:cs="Arial" w:eastAsia="Arial" w:hAnsi="Arial"/>
                <w:sz w:val="19"/>
                <w:szCs w:val="19"/>
              </w:rPr>
              <w:t xml:space="preserve"> pour ce client.</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Détails</w:t>
            </w:r>
            <w:r>
              <w:rPr>
                <w:rFonts w:ascii="Arial" w:cs="Arial" w:eastAsia="Arial" w:hAnsi="Arial"/>
                <w:sz w:val="19"/>
                <w:szCs w:val="19"/>
              </w:rPr>
              <w:t xml:space="preserve"> d'une évaluation.</w:t>
            </w:r>
          </w:p>
        </w:tc>
      </w:tr>
    </w:tbl>
    <w:p>
      <w:pPr>
        <w:spacing w:after="140"/>
      </w:pPr>
    </w:p>
    <w:p>
      <w:pPr>
        <w:pStyle w:val="Heading2"/>
        <w:keepNext/>
      </w:pPr>
      <w:bookmarkStart w:name="t36" w:id="1"/>
      <w:r>
        <w:rPr>
          <w:rFonts w:ascii="Arial" w:cs="Arial" w:eastAsia="Arial" w:hAnsi="Arial"/>
        </w:rPr>
        <w:t xml:space="preserve">5.4 Plans d'actions du portefeuille</w:t>
      </w:r>
      <w:bookmarkEnd w:id="1"/>
    </w:p>
    <w:p>
      <w:pPr>
        <w:spacing w:after="110" w:line="288"/>
        <w:jc w:val="left"/>
      </w:pPr>
      <w:r>
        <w:rPr>
          <w:rFonts w:ascii="Arial" w:cs="Arial" w:eastAsia="Arial" w:hAnsi="Arial"/>
        </w:rPr>
        <w:t xml:space="preserve">La page </w:t>
      </w:r>
      <w:r>
        <w:rPr>
          <w:rFonts w:ascii="Arial" w:cs="Arial" w:eastAsia="Arial" w:hAnsi="Arial"/>
          <w:b/>
          <w:bCs/>
        </w:rPr>
        <w:t xml:space="preserve">Plans d'actions</w:t>
      </w:r>
      <w:r>
        <w:rPr>
          <w:rFonts w:ascii="Arial" w:cs="Arial" w:eastAsia="Arial" w:hAnsi="Arial"/>
        </w:rPr>
        <w:t xml:space="preserve"> réunit les actions de tous vos dossiers, avec indicateurs (retenues, réalisées, en retard, budget) et filtres par statut et par retard. Elle permet à un chargé de suivi de repérer rapidement ce qui doit être relancé.</w:t>
      </w:r>
    </w:p>
    <w:p>
      <w:pPr>
        <w:keepNext/>
        <w:spacing w:after="60" w:before="120"/>
        <w:jc w:val="center"/>
      </w:pPr>
      <w:r>
        <w:drawing>
          <wp:inline distT="0" distB="0" distL="0" distR="0">
            <wp:extent cx="6096000" cy="4152900"/>
            <wp:effectExtent t="0" r="0" b="0" l="0"/>
            <wp:docPr id="1" name="36-plans-action" descr="Plans d'actions du portefeuille" title="Plans d'actions du portefeui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096000" cy="41529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48 — Plans d'actions du portefeuille</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Tuiles d'indicateurs (</w:t>
            </w:r>
            <w:r>
              <w:rPr>
                <w:rFonts w:ascii="Arial" w:cs="Arial" w:eastAsia="Arial" w:hAnsi="Arial"/>
                <w:b/>
                <w:bCs/>
                <w:sz w:val="19"/>
                <w:szCs w:val="19"/>
              </w:rPr>
              <w:t xml:space="preserve">actions retenues</w:t>
            </w:r>
            <w:r>
              <w:rPr>
                <w:rFonts w:ascii="Arial" w:cs="Arial" w:eastAsia="Arial" w:hAnsi="Arial"/>
                <w:sz w:val="19"/>
                <w:szCs w:val="19"/>
              </w:rPr>
              <w:t xml:space="preserve">, budget, réalisées).</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Actions </w:t>
            </w:r>
            <w:r>
              <w:rPr>
                <w:rFonts w:ascii="Arial" w:cs="Arial" w:eastAsia="Arial" w:hAnsi="Arial"/>
                <w:b/>
                <w:bCs/>
                <w:sz w:val="19"/>
                <w:szCs w:val="19"/>
              </w:rPr>
              <w:t xml:space="preserve">en retard</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Filtre </w:t>
            </w:r>
            <w:r>
              <w:rPr>
                <w:rFonts w:ascii="Arial" w:cs="Arial" w:eastAsia="Arial" w:hAnsi="Arial"/>
                <w:b/>
                <w:bCs/>
                <w:sz w:val="19"/>
                <w:szCs w:val="19"/>
              </w:rPr>
              <w:t xml:space="preserve">Statut</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Ligne d'action : cliquez pour ouvrir le dossier.</w:t>
            </w:r>
          </w:p>
        </w:tc>
      </w:tr>
    </w:tbl>
    <w:p>
      <w:pPr>
        <w:spacing w:after="140"/>
      </w:pPr>
    </w:p>
    <w:p>
      <w:pPr>
        <w:pStyle w:val="Heading2"/>
        <w:keepNext/>
      </w:pPr>
      <w:bookmarkStart w:name="t37" w:id="1"/>
      <w:r>
        <w:rPr>
          <w:rFonts w:ascii="Arial" w:cs="Arial" w:eastAsia="Arial" w:hAnsi="Arial"/>
        </w:rPr>
        <w:t xml:space="preserve">5.5 Visites</w:t>
      </w:r>
      <w:bookmarkEnd w:id="1"/>
    </w:p>
    <w:p>
      <w:pPr>
        <w:keepNext/>
        <w:spacing w:after="60" w:before="120"/>
        <w:jc w:val="center"/>
      </w:pPr>
      <w:r>
        <w:drawing>
          <wp:inline distT="0" distB="0" distL="0" distR="0">
            <wp:extent cx="6096000" cy="3171825"/>
            <wp:effectExtent t="0" r="0" b="0" l="0"/>
            <wp:docPr id="1" name="37-visites" descr="Visites du portefeuille" title="Visites du portefeui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096000" cy="317182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49 — Visites du portefeuille</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Visites </w:t>
            </w:r>
            <w:r>
              <w:rPr>
                <w:rFonts w:ascii="Arial" w:cs="Arial" w:eastAsia="Arial" w:hAnsi="Arial"/>
                <w:b/>
                <w:bCs/>
                <w:sz w:val="19"/>
                <w:szCs w:val="19"/>
              </w:rPr>
              <w:t xml:space="preserve">à planifier</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Visites </w:t>
            </w:r>
            <w:r>
              <w:rPr>
                <w:rFonts w:ascii="Arial" w:cs="Arial" w:eastAsia="Arial" w:hAnsi="Arial"/>
                <w:b/>
                <w:bCs/>
                <w:sz w:val="19"/>
                <w:szCs w:val="19"/>
              </w:rPr>
              <w:t xml:space="preserve">réalisées</w:t>
            </w:r>
            <w:r>
              <w:rPr>
                <w:rFonts w:ascii="Arial" w:cs="Arial" w:eastAsia="Arial" w:hAnsi="Arial"/>
                <w:sz w:val="19"/>
                <w:szCs w:val="19"/>
              </w:rPr>
              <w:t xml:space="preserve">.</w:t>
            </w:r>
          </w:p>
        </w:tc>
      </w:tr>
    </w:tbl>
    <w:p>
      <w:pPr>
        <w:spacing w:after="140"/>
      </w:pPr>
    </w:p>
    <w:p>
      <w:pPr>
        <w:pStyle w:val="Heading2"/>
        <w:keepNext/>
      </w:pPr>
      <w:bookmarkStart w:name="t38" w:id="1"/>
      <w:r>
        <w:rPr>
          <w:rFonts w:ascii="Arial" w:cs="Arial" w:eastAsia="Arial" w:hAnsi="Arial"/>
        </w:rPr>
        <w:t xml:space="preserve">5.6 Reporting et exports</w:t>
      </w:r>
      <w:bookmarkEnd w:id="1"/>
    </w:p>
    <w:p>
      <w:pPr>
        <w:spacing w:after="110" w:line="288"/>
        <w:jc w:val="left"/>
      </w:pPr>
      <w:r>
        <w:rPr>
          <w:rFonts w:ascii="Arial" w:cs="Arial" w:eastAsia="Arial" w:hAnsi="Arial"/>
        </w:rPr>
        <w:t xml:space="preserve">Le </w:t>
      </w:r>
      <w:r>
        <w:rPr>
          <w:rFonts w:ascii="Arial" w:cs="Arial" w:eastAsia="Arial" w:hAnsi="Arial"/>
          <w:b/>
          <w:bCs/>
        </w:rPr>
        <w:t xml:space="preserve">reporting</w:t>
      </w:r>
      <w:r>
        <w:rPr>
          <w:rFonts w:ascii="Arial" w:cs="Arial" w:eastAsia="Arial" w:hAnsi="Arial"/>
        </w:rPr>
        <w:t xml:space="preserve"> fournit des synthèses prêtes à diffuser et des exports (CSV/Excel) du portefeuille d'évaluations, ainsi que l'état réglementaire destiné à Bank Al-Maghrib.</w:t>
      </w:r>
    </w:p>
    <w:p>
      <w:pPr>
        <w:keepNext/>
        <w:spacing w:after="60" w:before="120"/>
        <w:jc w:val="center"/>
      </w:pPr>
      <w:r>
        <w:drawing>
          <wp:inline distT="0" distB="0" distL="0" distR="0">
            <wp:extent cx="6096000" cy="4591050"/>
            <wp:effectExtent t="0" r="0" b="0" l="0"/>
            <wp:docPr id="1" name="38-reporting" descr="Reporting" title="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096000" cy="45910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50 — Reporting</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Période </w:t>
            </w:r>
            <w:r>
              <w:rPr>
                <w:rFonts w:ascii="Arial" w:cs="Arial" w:eastAsia="Arial" w:hAnsi="Arial"/>
                <w:b/>
                <w:bCs/>
                <w:sz w:val="19"/>
                <w:szCs w:val="19"/>
              </w:rPr>
              <w:t xml:space="preserve">Mois écoulé</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Période </w:t>
            </w:r>
            <w:r>
              <w:rPr>
                <w:rFonts w:ascii="Arial" w:cs="Arial" w:eastAsia="Arial" w:hAnsi="Arial"/>
                <w:b/>
                <w:bCs/>
                <w:sz w:val="19"/>
                <w:szCs w:val="19"/>
              </w:rPr>
              <w:t xml:space="preserve">Année</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Dates personnalisées</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Exporter (CSV)</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5</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Export complet (Excel)</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6</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Indicateur </w:t>
            </w:r>
            <w:r>
              <w:rPr>
                <w:rFonts w:ascii="Arial" w:cs="Arial" w:eastAsia="Arial" w:hAnsi="Arial"/>
                <w:b/>
                <w:bCs/>
                <w:sz w:val="19"/>
                <w:szCs w:val="19"/>
              </w:rPr>
              <w:t xml:space="preserve">Dossiers traités</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7</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Taux de réalisation des actions</w:t>
            </w:r>
            <w:r>
              <w:rPr>
                <w:rFonts w:ascii="Arial" w:cs="Arial" w:eastAsia="Arial" w:hAnsi="Arial"/>
                <w:sz w:val="19"/>
                <w:szCs w:val="19"/>
              </w:rPr>
              <w:t xml:space="preserve">.</w:t>
            </w:r>
          </w:p>
        </w:tc>
      </w:tr>
    </w:tbl>
    <w:p>
      <w:pPr>
        <w:spacing w:after="140"/>
      </w:pPr>
    </w:p>
    <w:p>
      <w:pPr>
        <w:keepNext/>
        <w:spacing w:after="60" w:before="120"/>
        <w:jc w:val="center"/>
      </w:pPr>
      <w:r>
        <w:drawing>
          <wp:inline distT="0" distB="0" distL="0" distR="0">
            <wp:extent cx="6096000" cy="4486275"/>
            <wp:effectExtent t="0" r="0" b="0" l="0"/>
            <wp:docPr id="1" name="38b-reporting-entites" descr="Reporting : détail" title="Reporting : dé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096000" cy="448627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51 — Reporting : détail</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Synthèse par entité</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Répartition </w:t>
            </w:r>
            <w:r>
              <w:rPr>
                <w:rFonts w:ascii="Arial" w:cs="Arial" w:eastAsia="Arial" w:hAnsi="Arial"/>
                <w:b/>
                <w:bCs/>
                <w:sz w:val="19"/>
                <w:szCs w:val="19"/>
              </w:rPr>
              <w:t xml:space="preserve">par secteur</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Dossiers anciens sans décision</w:t>
            </w:r>
            <w:r>
              <w:rPr>
                <w:rFonts w:ascii="Arial" w:cs="Arial" w:eastAsia="Arial" w:hAnsi="Arial"/>
                <w:sz w:val="19"/>
                <w:szCs w:val="19"/>
              </w:rPr>
              <w:t xml:space="preserve"> : dossiers à relancer.</w:t>
            </w:r>
          </w:p>
        </w:tc>
      </w:tr>
    </w:tbl>
    <w:p>
      <w:pPr>
        <w:spacing w:after="140"/>
      </w:pPr>
    </w:p>
    <w:p>
      <w:pPr>
        <w:pStyle w:val="Heading2"/>
        <w:keepNext/>
      </w:pPr>
      <w:bookmarkStart w:name="t39" w:id="1"/>
      <w:r>
        <w:rPr>
          <w:rFonts w:ascii="Arial" w:cs="Arial" w:eastAsia="Arial" w:hAnsi="Arial"/>
        </w:rPr>
        <w:t xml:space="preserve">5.7 Climat du portefeuille</w:t>
      </w:r>
      <w:bookmarkEnd w:id="1"/>
    </w:p>
    <w:p>
      <w:pPr>
        <w:spacing w:after="110" w:line="288"/>
        <w:jc w:val="left"/>
      </w:pPr>
      <w:r>
        <w:rPr>
          <w:rFonts w:ascii="Arial" w:cs="Arial" w:eastAsia="Arial" w:hAnsi="Arial"/>
        </w:rPr>
        <w:t xml:space="preserve">La page </w:t>
      </w:r>
      <w:r>
        <w:rPr>
          <w:rFonts w:ascii="Arial" w:cs="Arial" w:eastAsia="Arial" w:hAnsi="Arial"/>
          <w:b/>
          <w:bCs/>
        </w:rPr>
        <w:t xml:space="preserve">Climat</w:t>
      </w:r>
      <w:r>
        <w:rPr>
          <w:rFonts w:ascii="Arial" w:cs="Arial" w:eastAsia="Arial" w:hAnsi="Arial"/>
        </w:rPr>
        <w:t xml:space="preserve"> consolide les volets climat : répartition par niveau, par secteur, risques physique et de transition, et </w:t>
      </w:r>
      <w:r>
        <w:rPr>
          <w:rFonts w:ascii="Arial" w:cs="Arial" w:eastAsia="Arial" w:hAnsi="Arial"/>
          <w:b/>
          <w:bCs/>
        </w:rPr>
        <w:t xml:space="preserve">émissions financées</w:t>
      </w:r>
      <w:r>
        <w:rPr>
          <w:rFonts w:ascii="Arial" w:cs="Arial" w:eastAsia="Arial" w:hAnsi="Arial"/>
        </w:rPr>
        <w:t xml:space="preserve"> totales (méthode PCAF), pour le suivi de l'exposition aux risques climatiques demandé par la directive BAM 5/W/2021.</w:t>
      </w:r>
    </w:p>
    <w:p>
      <w:pPr>
        <w:keepNext/>
        <w:spacing w:after="60" w:before="120"/>
        <w:jc w:val="center"/>
      </w:pPr>
      <w:r>
        <w:drawing>
          <wp:inline distT="0" distB="0" distL="0" distR="0">
            <wp:extent cx="6096000" cy="4591050"/>
            <wp:effectExtent t="0" r="0" b="0" l="0"/>
            <wp:docPr id="1" name="39-climat-portefeuille" descr="Climat du portefeuille" title="Climat du portefeui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096000" cy="45910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52 — Climat du portefeuille</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Dossiers évalués</w:t>
            </w:r>
            <w:r>
              <w:rPr>
                <w:rFonts w:ascii="Arial" w:cs="Arial" w:eastAsia="Arial" w:hAnsi="Arial"/>
                <w:sz w:val="19"/>
                <w:szCs w:val="19"/>
              </w:rPr>
              <w:t xml:space="preserve"> sur le volet climat.</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Émissions financées totales</w:t>
            </w:r>
            <w:r>
              <w:rPr>
                <w:rFonts w:ascii="Arial" w:cs="Arial" w:eastAsia="Arial" w:hAnsi="Arial"/>
                <w:sz w:val="19"/>
                <w:szCs w:val="19"/>
              </w:rPr>
              <w:t xml:space="preserve"> (tCO2e).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Part verte des financements</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Encours exposés au CBAM</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5</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Répartition des niveaux de risque climat</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6</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Exposition physique par région</w:t>
            </w:r>
            <w:r>
              <w:rPr>
                <w:rFonts w:ascii="Arial" w:cs="Arial" w:eastAsia="Arial" w:hAnsi="Arial"/>
                <w:sz w:val="19"/>
                <w:szCs w:val="19"/>
              </w:rPr>
              <w:t xml:space="preserve">.</w:t>
            </w:r>
          </w:p>
        </w:tc>
      </w:tr>
    </w:tbl>
    <w:p>
      <w:pPr>
        <w:spacing w:after="140"/>
      </w:pPr>
    </w:p>
    <w:p>
      <w:pPr>
        <w:pStyle w:val="Heading2"/>
        <w:keepNext/>
      </w:pPr>
      <w:bookmarkStart w:name="t40" w:id="1"/>
      <w:r>
        <w:rPr>
          <w:rFonts w:ascii="Arial" w:cs="Arial" w:eastAsia="Arial" w:hAnsi="Arial"/>
        </w:rPr>
        <w:t xml:space="preserve">5.8 Cadre réglementaire</w:t>
      </w:r>
      <w:bookmarkEnd w:id="1"/>
    </w:p>
    <w:p>
      <w:pPr>
        <w:keepNext/>
        <w:spacing w:after="60" w:before="120"/>
        <w:jc w:val="center"/>
      </w:pPr>
      <w:r>
        <w:drawing>
          <wp:inline distT="0" distB="0" distL="0" distR="0">
            <wp:extent cx="6096000" cy="4152900"/>
            <wp:effectExtent t="0" r="0" b="0" l="0"/>
            <wp:docPr id="1" name="40-cadre-reglementaire" descr="Cadre réglementaire" title="Cadre réglement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096000" cy="41529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53 — Cadre réglementaire</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Textes de référence (circulaire CFD-537/01-24, procédure CFD12340876/0217, SFI, Principes de l'Équateur, BAM 5/W/2021).</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Rappel des règles appliquées par l'outil.</w:t>
            </w:r>
          </w:p>
        </w:tc>
      </w:tr>
    </w:tbl>
    <w:p>
      <w:pPr>
        <w:spacing w:after="140"/>
      </w:pPr>
    </w:p>
    <w:p>
      <w:pPr>
        <w:pStyle w:val="Heading2"/>
        <w:keepNext/>
      </w:pPr>
      <w:bookmarkStart w:name="t41" w:id="1"/>
      <w:r>
        <w:rPr>
          <w:rFonts w:ascii="Arial" w:cs="Arial" w:eastAsia="Arial" w:hAnsi="Arial"/>
        </w:rPr>
        <w:t xml:space="preserve">5.9 Journal d'audit</w:t>
      </w:r>
      <w:bookmarkEnd w:id="1"/>
    </w:p>
    <w:p>
      <w:pPr>
        <w:spacing w:after="110" w:line="288"/>
        <w:jc w:val="left"/>
      </w:pPr>
      <w:r>
        <w:rPr>
          <w:rFonts w:ascii="Arial" w:cs="Arial" w:eastAsia="Arial" w:hAnsi="Arial"/>
        </w:rPr>
        <w:t xml:space="preserve">Le </w:t>
      </w:r>
      <w:r>
        <w:rPr>
          <w:rFonts w:ascii="Arial" w:cs="Arial" w:eastAsia="Arial" w:hAnsi="Arial"/>
          <w:b/>
          <w:bCs/>
        </w:rPr>
        <w:t xml:space="preserve">journal d'audit</w:t>
      </w:r>
      <w:r>
        <w:rPr>
          <w:rFonts w:ascii="Arial" w:cs="Arial" w:eastAsia="Arial" w:hAnsi="Arial"/>
        </w:rPr>
        <w:t xml:space="preserve"> trace toutes les opérations sensibles : connexions, créations, modifications, changements de statut, reclassements, modifications de paramètres, exports. Filtrez par utilisateur, action ou période. Il est en lecture seule et réservé aux profils d'audit et d'administration.</w:t>
      </w:r>
    </w:p>
    <w:p>
      <w:pPr>
        <w:keepNext/>
        <w:spacing w:after="60" w:before="120"/>
        <w:jc w:val="center"/>
      </w:pPr>
      <w:r>
        <w:drawing>
          <wp:inline distT="0" distB="0" distL="0" distR="0">
            <wp:extent cx="6096000" cy="3171825"/>
            <wp:effectExtent t="0" r="0" b="0" l="0"/>
            <wp:docPr id="1" name="41-journal-audit" descr="Journal d'audit" title="Journal d'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096000" cy="317182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54 — Journal d'audit</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Recherche</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Adresse IP</w:t>
            </w:r>
            <w:r>
              <w:rPr>
                <w:rFonts w:ascii="Arial" w:cs="Arial" w:eastAsia="Arial" w:hAnsi="Arial"/>
                <w:sz w:val="19"/>
                <w:szCs w:val="19"/>
              </w:rPr>
              <w:t xml:space="preserve"> de l'opération.</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Ligne du journal : date, utilisateur, action et objet.</w:t>
            </w:r>
          </w:p>
        </w:tc>
      </w:tr>
    </w:tbl>
    <w:p>
      <w:pPr>
        <w:spacing w:after="140"/>
      </w:pPr>
    </w:p>
    <w:p>
      <w:pPr>
        <w:pStyle w:val="Heading1"/>
        <w:pageBreakBefore/>
      </w:pPr>
      <w:bookmarkStart w:name="t42" w:id="1"/>
      <w:r>
        <w:rPr>
          <w:rFonts w:ascii="Arial" w:cs="Arial" w:eastAsia="Arial" w:hAnsi="Arial"/>
        </w:rPr>
        <w:t xml:space="preserve">6. Le rôle du Responsable RSE</w:t>
      </w:r>
      <w:bookmarkEnd w:id="1"/>
    </w:p>
    <w:p>
      <w:pPr>
        <w:spacing w:after="110" w:line="288"/>
        <w:jc w:val="left"/>
      </w:pPr>
      <w:r>
        <w:rPr>
          <w:rFonts w:ascii="Arial" w:cs="Arial" w:eastAsia="Arial" w:hAnsi="Arial"/>
        </w:rPr>
        <w:t xml:space="preserve">Le </w:t>
      </w:r>
      <w:r>
        <w:rPr>
          <w:rFonts w:ascii="Arial" w:cs="Arial" w:eastAsia="Arial" w:hAnsi="Arial"/>
          <w:b/>
          <w:bCs/>
        </w:rPr>
        <w:t xml:space="preserve">Responsable RSE</w:t>
      </w:r>
      <w:r>
        <w:rPr>
          <w:rFonts w:ascii="Arial" w:cs="Arial" w:eastAsia="Arial" w:hAnsi="Arial"/>
        </w:rPr>
        <w:t xml:space="preserve"> supervise la qualité des évaluations E&amp;S. Il reçoit des notifications et dispose du pouvoir de reclasser un projet.</w:t>
      </w:r>
    </w:p>
    <w:p>
      <w:pPr>
        <w:pStyle w:val="Heading2"/>
        <w:keepNext/>
      </w:pPr>
      <w:bookmarkStart w:name="t43" w:id="1"/>
      <w:r>
        <w:rPr>
          <w:rFonts w:ascii="Arial" w:cs="Arial" w:eastAsia="Arial" w:hAnsi="Arial"/>
        </w:rPr>
        <w:t xml:space="preserve">6.1 Notifications</w:t>
      </w:r>
      <w:bookmarkEnd w:id="1"/>
    </w:p>
    <w:p>
      <w:pPr>
        <w:spacing w:after="110" w:line="288"/>
        <w:jc w:val="left"/>
      </w:pPr>
      <w:r>
        <w:rPr>
          <w:rFonts w:ascii="Arial" w:cs="Arial" w:eastAsia="Arial" w:hAnsi="Arial"/>
        </w:rPr>
        <w:t xml:space="preserve">La cloche de la barre supérieure indique le nombre de notifications non lues : dossier de catégorie A, inscription sur la liste d'exclusion, soumission à valider, reclassement, action en retard.</w:t>
      </w:r>
    </w:p>
    <w:p>
      <w:pPr>
        <w:keepNext/>
        <w:spacing w:after="60" w:before="120"/>
        <w:jc w:val="center"/>
      </w:pPr>
      <w:r>
        <w:drawing>
          <wp:inline distT="0" distB="0" distL="0" distR="0">
            <wp:extent cx="6096000" cy="3438525"/>
            <wp:effectExtent t="0" r="0" b="0" l="0"/>
            <wp:docPr id="1" name="05-notifications" descr="Notifications" title="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096000" cy="343852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55 — Notifications</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Titre de la page </w:t>
            </w:r>
            <w:r>
              <w:rPr>
                <w:rFonts w:ascii="Arial" w:cs="Arial" w:eastAsia="Arial" w:hAnsi="Arial"/>
                <w:b/>
                <w:bCs/>
                <w:sz w:val="19"/>
                <w:szCs w:val="19"/>
              </w:rPr>
              <w:t xml:space="preserve">Notifications</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Notification : cliquez pour ouvrir le dossier concerné.</w:t>
            </w:r>
          </w:p>
        </w:tc>
      </w:tr>
    </w:tbl>
    <w:p>
      <w:pPr>
        <w:spacing w:after="140"/>
      </w:pPr>
    </w:p>
    <w:p>
      <w:pPr>
        <w:pStyle w:val="Heading2"/>
        <w:keepNext/>
      </w:pPr>
      <w:bookmarkStart w:name="t44" w:id="1"/>
      <w:r>
        <w:rPr>
          <w:rFonts w:ascii="Arial" w:cs="Arial" w:eastAsia="Arial" w:hAnsi="Arial"/>
        </w:rPr>
        <w:t xml:space="preserve">6.2 Reclasser un projet</w:t>
      </w:r>
      <w:bookmarkEnd w:id="1"/>
    </w:p>
    <w:p>
      <w:pPr>
        <w:spacing w:after="110" w:line="288"/>
        <w:jc w:val="left"/>
      </w:pPr>
      <w:r>
        <w:rPr>
          <w:rFonts w:ascii="Arial" w:cs="Arial" w:eastAsia="Arial" w:hAnsi="Arial"/>
        </w:rPr>
        <w:t xml:space="preserve">Dans l'étape Catégorisation, le Responsable RSE peut retenir une catégorie </w:t>
      </w:r>
      <w:r>
        <w:rPr>
          <w:rFonts w:ascii="Arial" w:cs="Arial" w:eastAsia="Arial" w:hAnsi="Arial"/>
          <w:b/>
          <w:bCs/>
        </w:rPr>
        <w:t xml:space="preserve">différente de la catégorie calculée</w:t>
      </w:r>
      <w:r>
        <w:rPr>
          <w:rFonts w:ascii="Arial" w:cs="Arial" w:eastAsia="Arial" w:hAnsi="Arial"/>
        </w:rPr>
        <w:t xml:space="preserve"> (par exemple surclasser un B en A). Une </w:t>
      </w:r>
      <w:r>
        <w:rPr>
          <w:rFonts w:ascii="Arial" w:cs="Arial" w:eastAsia="Arial" w:hAnsi="Arial"/>
          <w:b/>
          <w:bCs/>
        </w:rPr>
        <w:t xml:space="preserve">justification est obligatoire</w:t>
      </w:r>
      <w:r>
        <w:rPr>
          <w:rFonts w:ascii="Arial" w:cs="Arial" w:eastAsia="Arial" w:hAnsi="Arial"/>
        </w:rPr>
        <w:t xml:space="preserve"> ; elle figure dans la fiche, l'historique et le journal d'audit, et la décision est notifiée.</w:t>
      </w:r>
    </w:p>
    <w:p>
      <w:pPr>
        <w:keepNext/>
        <w:spacing w:after="60" w:before="120"/>
        <w:jc w:val="center"/>
      </w:pPr>
      <w:r>
        <w:drawing>
          <wp:inline distT="0" distB="0" distL="0" distR="0">
            <wp:extent cx="6096000" cy="4286250"/>
            <wp:effectExtent t="0" r="0" b="0" l="0"/>
            <wp:docPr id="1" name="32-reclassement-rse" descr="Reclassement par le Responsable RSE" title="Reclassement par le Responsable 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0" cy="42862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56 — Reclassement par le Responsable RSE</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Catégorie calculée</w:t>
            </w:r>
            <w:r>
              <w:rPr>
                <w:rFonts w:ascii="Arial" w:cs="Arial" w:eastAsia="Arial" w:hAnsi="Arial"/>
                <w:sz w:val="19"/>
                <w:szCs w:val="19"/>
              </w:rPr>
              <w:t xml:space="preserve"> par l'outil à partir des réponses.</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Retenir une autre catégorie</w:t>
            </w:r>
            <w:r>
              <w:rPr>
                <w:rFonts w:ascii="Arial" w:cs="Arial" w:eastAsia="Arial" w:hAnsi="Arial"/>
                <w:sz w:val="19"/>
                <w:szCs w:val="19"/>
              </w:rPr>
              <w:t xml:space="preserve"> : case réservée au Responsable RSE ; une justification est alors obligatoire.</w:t>
            </w:r>
          </w:p>
        </w:tc>
      </w:tr>
    </w:tbl>
    <w:p>
      <w:pPr>
        <w:spacing w:after="140"/>
      </w:pPr>
    </w:p>
    <w:p>
      <w:pPr>
        <w:pStyle w:val="Heading1"/>
        <w:pageBreakBefore/>
      </w:pPr>
      <w:bookmarkStart w:name="t45" w:id="1"/>
      <w:r>
        <w:rPr>
          <w:rFonts w:ascii="Arial" w:cs="Arial" w:eastAsia="Arial" w:hAnsi="Arial"/>
        </w:rPr>
        <w:t xml:space="preserve">7. Administration et paramétrage</w:t>
      </w:r>
      <w:bookmarkEnd w:id="1"/>
    </w:p>
    <w:p>
      <w:pPr>
        <w:spacing w:after="110" w:line="288"/>
        <w:jc w:val="left"/>
      </w:pPr>
      <w:r>
        <w:rPr>
          <w:rFonts w:ascii="Arial" w:cs="Arial" w:eastAsia="Arial" w:hAnsi="Arial"/>
        </w:rPr>
        <w:t xml:space="preserve">Le menu </w:t>
      </w:r>
      <w:r>
        <w:rPr>
          <w:rFonts w:ascii="Arial" w:cs="Arial" w:eastAsia="Arial" w:hAnsi="Arial"/>
          <w:b/>
          <w:bCs/>
        </w:rPr>
        <w:t xml:space="preserve">Administration</w:t>
      </w:r>
      <w:r>
        <w:rPr>
          <w:rFonts w:ascii="Arial" w:cs="Arial" w:eastAsia="Arial" w:hAnsi="Arial"/>
        </w:rPr>
        <w:t xml:space="preserve"> est réservé à l'administrateur (et, pour certains écrans, aux profils habilités). Tout y est paramétrable </w:t>
      </w:r>
      <w:r>
        <w:rPr>
          <w:rFonts w:ascii="Arial" w:cs="Arial" w:eastAsia="Arial" w:hAnsi="Arial"/>
          <w:b/>
          <w:bCs/>
        </w:rPr>
        <w:t xml:space="preserve">sans modifier le code</w:t>
      </w:r>
      <w:r>
        <w:rPr>
          <w:rFonts w:ascii="Arial" w:cs="Arial" w:eastAsia="Arial" w:hAnsi="Arial"/>
        </w:rPr>
        <w:t xml:space="preserve"> : l'outil s'adapte à la banque, à chaque filiale, à chaque langue.</w:t>
      </w:r>
    </w:p>
    <w:p>
      <w:pPr>
        <w:keepNext/>
        <w:spacing w:after="60" w:before="120"/>
        <w:jc w:val="center"/>
      </w:pPr>
      <w:r>
        <w:drawing>
          <wp:inline distT="0" distB="0" distL="0" distR="0">
            <wp:extent cx="6096000" cy="5772150"/>
            <wp:effectExtent t="0" r="0" b="0" l="0"/>
            <wp:docPr id="1" name="50-parametrage" descr="Hub d'administration" title="Hub d'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6096000" cy="57721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57 — Hub d'administration</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Rubrique </w:t>
            </w:r>
            <w:r>
              <w:rPr>
                <w:rFonts w:ascii="Arial" w:cs="Arial" w:eastAsia="Arial" w:hAnsi="Arial"/>
                <w:b/>
                <w:bCs/>
                <w:sz w:val="19"/>
                <w:szCs w:val="19"/>
              </w:rPr>
              <w:t xml:space="preserve">Règles de gestion</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Paramètres généraux</w:t>
            </w:r>
            <w:r>
              <w:rPr>
                <w:rFonts w:ascii="Arial" w:cs="Arial" w:eastAsia="Arial" w:hAnsi="Arial"/>
                <w:sz w:val="19"/>
                <w:szCs w:val="19"/>
              </w:rPr>
              <w:t xml:space="preserve"> : seuils, règles, niveaux de risque, habillage, sécurité.</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Questionnaires E&amp;S</w:t>
            </w:r>
            <w:r>
              <w:rPr>
                <w:rFonts w:ascii="Arial" w:cs="Arial" w:eastAsia="Arial" w:hAnsi="Arial"/>
                <w:sz w:val="19"/>
                <w:szCs w:val="19"/>
              </w:rPr>
              <w:t xml:space="preserve"> : thématiques, questions, gravité, actions correctives.</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5</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Banques et filiales</w:t>
            </w:r>
            <w:r>
              <w:rPr>
                <w:rFonts w:ascii="Arial" w:cs="Arial" w:eastAsia="Arial" w:hAnsi="Arial"/>
                <w:sz w:val="19"/>
                <w:szCs w:val="19"/>
              </w:rPr>
              <w:t xml:space="preserve"> : organisation, devise et langue par entité.</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6</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Base de données</w:t>
            </w:r>
            <w:r>
              <w:rPr>
                <w:rFonts w:ascii="Arial" w:cs="Arial" w:eastAsia="Arial" w:hAnsi="Arial"/>
                <w:sz w:val="19"/>
                <w:szCs w:val="19"/>
              </w:rPr>
              <w:t xml:space="preserve"> : moteur, sauvegarde, volumes.</w:t>
            </w:r>
          </w:p>
        </w:tc>
      </w:tr>
    </w:tbl>
    <w:p>
      <w:pPr>
        <w:spacing w:after="140"/>
      </w:pPr>
    </w:p>
    <w:p>
      <w:pPr>
        <w:pStyle w:val="Heading2"/>
        <w:keepNext/>
      </w:pPr>
      <w:bookmarkStart w:name="t46" w:id="1"/>
      <w:r>
        <w:rPr>
          <w:rFonts w:ascii="Arial" w:cs="Arial" w:eastAsia="Arial" w:hAnsi="Arial"/>
        </w:rPr>
        <w:t xml:space="preserve">7.1 Paramètres généraux</w:t>
      </w:r>
      <w:bookmarkEnd w:id="1"/>
    </w:p>
    <w:p>
      <w:pPr>
        <w:spacing w:after="110" w:line="288"/>
        <w:jc w:val="left"/>
      </w:pPr>
      <w:r>
        <w:rPr>
          <w:rFonts w:ascii="Arial" w:cs="Arial" w:eastAsia="Arial" w:hAnsi="Arial"/>
        </w:rPr>
        <w:t xml:space="preserve">Les paramètres sont regroupés en onglets. Chaque modification est enregistrée avec </w:t>
      </w:r>
      <w:r>
        <w:rPr>
          <w:rFonts w:ascii="Arial" w:cs="Arial" w:eastAsia="Arial" w:hAnsi="Arial"/>
          <w:b/>
          <w:bCs/>
        </w:rPr>
        <w:t xml:space="preserve">Enregistrer</w:t>
      </w:r>
      <w:r>
        <w:rPr>
          <w:rFonts w:ascii="Arial" w:cs="Arial" w:eastAsia="Arial" w:hAnsi="Arial"/>
        </w:rPr>
        <w:t xml:space="preserve"> et journalisée.</w:t>
      </w:r>
    </w:p>
    <w:p>
      <w:pPr>
        <w:keepNext/>
        <w:spacing w:after="60" w:before="120"/>
        <w:jc w:val="center"/>
      </w:pPr>
      <w:r>
        <w:drawing>
          <wp:inline distT="0" distB="0" distL="0" distR="0">
            <wp:extent cx="6096000" cy="5391150"/>
            <wp:effectExtent t="0" r="0" b="0" l="0"/>
            <wp:docPr id="1" name="51-parametres-generaux" descr="Paramètres : habillage et règles" title="Paramètres : habillage et rè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096000" cy="53911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58 — Paramètres : habillage et règles</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Groupe </w:t>
            </w:r>
            <w:r>
              <w:rPr>
                <w:rFonts w:ascii="Arial" w:cs="Arial" w:eastAsia="Arial" w:hAnsi="Arial"/>
                <w:b/>
                <w:bCs/>
                <w:sz w:val="19"/>
                <w:szCs w:val="19"/>
              </w:rPr>
              <w:t xml:space="preserve">Habillage</w:t>
            </w:r>
            <w:r>
              <w:rPr>
                <w:rFonts w:ascii="Arial" w:cs="Arial" w:eastAsia="Arial" w:hAnsi="Arial"/>
                <w:sz w:val="19"/>
                <w:szCs w:val="19"/>
              </w:rPr>
              <w:t xml:space="preserve"> (nom, logo, couleur, thème).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Champ modifiable (ici le nom de l'application).</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Groupe </w:t>
            </w:r>
            <w:r>
              <w:rPr>
                <w:rFonts w:ascii="Arial" w:cs="Arial" w:eastAsia="Arial" w:hAnsi="Arial"/>
                <w:b/>
                <w:bCs/>
                <w:sz w:val="19"/>
                <w:szCs w:val="19"/>
              </w:rPr>
              <w:t xml:space="preserve">Règles de gestion</w:t>
            </w:r>
            <w:r>
              <w:rPr>
                <w:rFonts w:ascii="Arial" w:cs="Arial" w:eastAsia="Arial" w:hAnsi="Arial"/>
                <w:sz w:val="19"/>
                <w:szCs w:val="19"/>
              </w:rPr>
              <w:t xml:space="preserve">.</w:t>
            </w:r>
          </w:p>
        </w:tc>
      </w:tr>
    </w:tbl>
    <w:p>
      <w:pPr>
        <w:spacing w:after="140"/>
      </w:pPr>
    </w:p>
    <w:p>
      <w:pPr>
        <w:keepNext/>
        <w:spacing w:after="60" w:before="120"/>
        <w:jc w:val="center"/>
      </w:pPr>
      <w:r>
        <w:drawing>
          <wp:inline distT="0" distB="0" distL="0" distR="0">
            <wp:extent cx="6096000" cy="5267325"/>
            <wp:effectExtent t="0" r="0" b="0" l="0"/>
            <wp:docPr id="1" name="51b-parametres-regles" descr="Paramètres : évaluation et climat" title="Paramètres : évaluation et cli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6096000" cy="526732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59 — Paramètres : évaluation et climat</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Seuil de déclenchement</w:t>
            </w:r>
            <w:r>
              <w:rPr>
                <w:rFonts w:ascii="Arial" w:cs="Arial" w:eastAsia="Arial" w:hAnsi="Arial"/>
                <w:sz w:val="19"/>
                <w:szCs w:val="19"/>
              </w:rPr>
              <w:t xml:space="preserve"> de l'évaluation obligatoire.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Séparation des fonctions</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Notifier le Responsable RSE</w:t>
            </w:r>
            <w:r>
              <w:rPr>
                <w:rFonts w:ascii="Arial" w:cs="Arial" w:eastAsia="Arial" w:hAnsi="Arial"/>
                <w:sz w:val="19"/>
                <w:szCs w:val="19"/>
              </w:rPr>
              <w:t xml:space="preserve"> en cas d'exclusion ou de catégorie A.</w:t>
            </w:r>
          </w:p>
        </w:tc>
      </w:tr>
    </w:tbl>
    <w:p>
      <w:pPr>
        <w:spacing w:after="140"/>
      </w:pPr>
    </w:p>
    <w:p>
      <w:pPr>
        <w:keepNext/>
        <w:spacing w:after="60" w:before="120"/>
        <w:jc w:val="center"/>
      </w:pPr>
      <w:r>
        <w:drawing>
          <wp:inline distT="0" distB="0" distL="0" distR="0">
            <wp:extent cx="6096000" cy="5267325"/>
            <wp:effectExtent t="0" r="0" b="0" l="0"/>
            <wp:docPr id="1" name="51c-parametres-evaluation" descr="Paramètres : sécurité et intégration" title="Paramètres : sécurité et inté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6096000" cy="5267325"/>
                    </a:xfrm>
                    <a:prstGeom prst="rect">
                      <a:avLst/>
                    </a:prstGeom>
                  </pic:spPr>
                </pic:pic>
              </a:graphicData>
            </a:graphic>
          </wp:inline>
        </w:drawing>
      </w:r>
    </w:p>
    <w:p>
      <w:pPr>
        <w:keepNext w:val="false"/>
        <w:spacing w:after="100"/>
        <w:jc w:val="center"/>
      </w:pPr>
      <w:r>
        <w:rPr>
          <w:rFonts w:ascii="Arial" w:cs="Arial" w:eastAsia="Arial" w:hAnsi="Arial"/>
          <w:i/>
          <w:iCs/>
          <w:color w:val="5B6560"/>
          <w:sz w:val="18"/>
          <w:szCs w:val="18"/>
        </w:rPr>
        <w:t xml:space="preserve">Figure 60 — Paramètres : sécurité et intégration</w:t>
      </w:r>
    </w:p>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91"/>
        <w:gridCol w:w="1641"/>
        <w:gridCol w:w="4306"/>
      </w:tblGrid>
      <w:tr>
        <w:trPr>
          <w:cantSplit/>
          <w:tblHeader/>
        </w:trPr>
        <w:tc>
          <w:tcPr>
            <w:tcW w:type="dxa" w:w="3691"/>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Paramètre</w:t>
            </w:r>
          </w:p>
        </w:tc>
        <w:tc>
          <w:tcPr>
            <w:tcW w:type="dxa" w:w="1641"/>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Défaut</w:t>
            </w:r>
          </w:p>
        </w:tc>
        <w:tc>
          <w:tcPr>
            <w:tcW w:type="dxa" w:w="4306"/>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Rôle</w:t>
            </w:r>
          </w:p>
        </w:tc>
      </w:tr>
      <w:tr>
        <w:trPr>
          <w:cantSplit/>
        </w:trPr>
        <w:tc>
          <w:tcPr>
            <w:tcW w:type="dxa" w:w="369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APP_NOM, APP_SOUS_TITRE, APP_LOGO_URL, COULEUR_PRIMAIRE, THEME</w:t>
            </w:r>
          </w:p>
        </w:tc>
        <w:tc>
          <w:tcPr>
            <w:tcW w:type="dxa" w:w="164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SGES / clair</w:t>
            </w:r>
          </w:p>
        </w:tc>
        <w:tc>
          <w:tcPr>
            <w:tcW w:type="dxa" w:w="430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Habillage (nom, logo, couleur, thème clair ou sombre)</w:t>
            </w:r>
          </w:p>
        </w:tc>
      </w:tr>
      <w:tr>
        <w:trPr>
          <w:cantSplit/>
        </w:trPr>
        <w:tc>
          <w:tcPr>
            <w:tcW w:type="dxa" w:w="369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LANGUE_DEFAUT</w:t>
            </w:r>
          </w:p>
        </w:tc>
        <w:tc>
          <w:tcPr>
            <w:tcW w:type="dxa" w:w="164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fr</w:t>
            </w:r>
          </w:p>
        </w:tc>
        <w:tc>
          <w:tcPr>
            <w:tcW w:type="dxa" w:w="430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Langue proposée par défaut</w:t>
            </w:r>
          </w:p>
        </w:tc>
      </w:tr>
      <w:tr>
        <w:trPr>
          <w:cantSplit/>
        </w:trPr>
        <w:tc>
          <w:tcPr>
            <w:tcW w:type="dxa" w:w="369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DEVISE_REFERENCE</w:t>
            </w:r>
          </w:p>
        </w:tc>
        <w:tc>
          <w:tcPr>
            <w:tcW w:type="dxa" w:w="164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MAD</w:t>
            </w:r>
          </w:p>
        </w:tc>
        <w:tc>
          <w:tcPr>
            <w:tcW w:type="dxa" w:w="430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Devise de référence des contre-valeurs</w:t>
            </w:r>
          </w:p>
        </w:tc>
      </w:tr>
      <w:tr>
        <w:trPr>
          <w:cantSplit/>
        </w:trPr>
        <w:tc>
          <w:tcPr>
            <w:tcW w:type="dxa" w:w="369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SEUIL_DECLENCHEMENT</w:t>
            </w:r>
          </w:p>
        </w:tc>
        <w:tc>
          <w:tcPr>
            <w:tcW w:type="dxa" w:w="164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10 000 000</w:t>
            </w:r>
          </w:p>
        </w:tc>
        <w:tc>
          <w:tcPr>
            <w:tcW w:type="dxa" w:w="430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Seuil d'investissement déclenchant l'évaluation obligatoire</w:t>
            </w:r>
          </w:p>
        </w:tc>
      </w:tr>
      <w:tr>
        <w:trPr>
          <w:cantSplit/>
        </w:trPr>
        <w:tc>
          <w:tcPr>
            <w:tcW w:type="dxa" w:w="369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PREFIXE_REFERENCE</w:t>
            </w:r>
          </w:p>
        </w:tc>
        <w:tc>
          <w:tcPr>
            <w:tcW w:type="dxa" w:w="164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SGES</w:t>
            </w:r>
          </w:p>
        </w:tc>
        <w:tc>
          <w:tcPr>
            <w:tcW w:type="dxa" w:w="430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Préfixe des références de dossiers</w:t>
            </w:r>
          </w:p>
        </w:tc>
      </w:tr>
      <w:tr>
        <w:trPr>
          <w:cantSplit/>
        </w:trPr>
        <w:tc>
          <w:tcPr>
            <w:tcW w:type="dxa" w:w="369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SEPARATION_FONCTIONS</w:t>
            </w:r>
          </w:p>
        </w:tc>
        <w:tc>
          <w:tcPr>
            <w:tcW w:type="dxa" w:w="164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430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Le soumetteur ne peut pas valider</w:t>
            </w:r>
          </w:p>
        </w:tc>
      </w:tr>
      <w:tr>
        <w:trPr>
          <w:cantSplit/>
        </w:trPr>
        <w:tc>
          <w:tcPr>
            <w:tcW w:type="dxa" w:w="369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EXCLUSION_NOTIFIER_RSE / CATEGORIE_A_NOTIFIER_RSE</w:t>
            </w:r>
          </w:p>
        </w:tc>
        <w:tc>
          <w:tcPr>
            <w:tcW w:type="dxa" w:w="164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430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Notifier le Responsable RSE</w:t>
            </w:r>
          </w:p>
        </w:tc>
      </w:tr>
      <w:tr>
        <w:trPr>
          <w:cantSplit/>
        </w:trPr>
        <w:tc>
          <w:tcPr>
            <w:tcW w:type="dxa" w:w="369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EIE_OBLIGATOIRE_CATEGORIE_A</w:t>
            </w:r>
          </w:p>
        </w:tc>
        <w:tc>
          <w:tcPr>
            <w:tcW w:type="dxa" w:w="164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430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Étude d'impact exigée en catégorie A</w:t>
            </w:r>
          </w:p>
        </w:tc>
      </w:tr>
      <w:tr>
        <w:trPr>
          <w:cantSplit/>
        </w:trPr>
        <w:tc>
          <w:tcPr>
            <w:tcW w:type="dxa" w:w="369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PRESEANCE_CATEGORIES</w:t>
            </w:r>
          </w:p>
        </w:tc>
        <w:tc>
          <w:tcPr>
            <w:tcW w:type="dxa" w:w="164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A,B,FI,C</w:t>
            </w:r>
          </w:p>
        </w:tc>
        <w:tc>
          <w:tcPr>
            <w:tcW w:type="dxa" w:w="430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Ordre de préséance des catégories</w:t>
            </w:r>
          </w:p>
        </w:tc>
      </w:tr>
      <w:tr>
        <w:trPr>
          <w:cantSplit/>
        </w:trPr>
        <w:tc>
          <w:tcPr>
            <w:tcW w:type="dxa" w:w="369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DELAI_DECISION_JOURS</w:t>
            </w:r>
          </w:p>
        </w:tc>
        <w:tc>
          <w:tcPr>
            <w:tcW w:type="dxa" w:w="164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60</w:t>
            </w:r>
          </w:p>
        </w:tc>
        <w:tc>
          <w:tcPr>
            <w:tcW w:type="dxa" w:w="430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Délai de décision attendu</w:t>
            </w:r>
          </w:p>
        </w:tc>
      </w:tr>
      <w:tr>
        <w:trPr>
          <w:cantSplit/>
        </w:trPr>
        <w:tc>
          <w:tcPr>
            <w:tcW w:type="dxa" w:w="369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DELAI_VISITE_MOIS</w:t>
            </w:r>
          </w:p>
        </w:tc>
        <w:tc>
          <w:tcPr>
            <w:tcW w:type="dxa" w:w="164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12</w:t>
            </w:r>
          </w:p>
        </w:tc>
        <w:tc>
          <w:tcPr>
            <w:tcW w:type="dxa" w:w="430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Périodicité des visites de suivi</w:t>
            </w:r>
          </w:p>
        </w:tc>
      </w:tr>
      <w:tr>
        <w:trPr>
          <w:cantSplit/>
        </w:trPr>
        <w:tc>
          <w:tcPr>
            <w:tcW w:type="dxa" w:w="369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SEUILS_NIVEAU_RISQUE</w:t>
            </w:r>
          </w:p>
        </w:tc>
        <w:tc>
          <w:tcPr>
            <w:tcW w:type="dxa" w:w="164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15,35,60</w:t>
            </w:r>
          </w:p>
        </w:tc>
        <w:tc>
          <w:tcPr>
            <w:tcW w:type="dxa" w:w="430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Seuils faible / modéré / élevé / critique</w:t>
            </w:r>
          </w:p>
        </w:tc>
      </w:tr>
      <w:tr>
        <w:trPr>
          <w:cantSplit/>
        </w:trPr>
        <w:tc>
          <w:tcPr>
            <w:tcW w:type="dxa" w:w="369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RELEVER_NIVEAU_CATEGORIE_A</w:t>
            </w:r>
          </w:p>
        </w:tc>
        <w:tc>
          <w:tcPr>
            <w:tcW w:type="dxa" w:w="164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430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Relever d'un cran en catégorie A</w:t>
            </w:r>
          </w:p>
        </w:tc>
      </w:tr>
      <w:tr>
        <w:trPr>
          <w:cantSplit/>
        </w:trPr>
        <w:tc>
          <w:tcPr>
            <w:tcW w:type="dxa" w:w="369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COMMENTAIRE_EVALUATION_OBLIGATOIRE</w:t>
            </w:r>
          </w:p>
        </w:tc>
        <w:tc>
          <w:tcPr>
            <w:tcW w:type="dxa" w:w="164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430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Commentaire exigé avant soumission</w:t>
            </w:r>
          </w:p>
        </w:tc>
      </w:tr>
      <w:tr>
        <w:trPr>
          <w:cantSplit/>
        </w:trPr>
        <w:tc>
          <w:tcPr>
            <w:tcW w:type="dxa" w:w="369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VOLET_CLIMAT_ACTIF / OBLIGATOIRE</w:t>
            </w:r>
          </w:p>
        </w:tc>
        <w:tc>
          <w:tcPr>
            <w:tcW w:type="dxa" w:w="164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 / oui</w:t>
            </w:r>
          </w:p>
        </w:tc>
        <w:tc>
          <w:tcPr>
            <w:tcW w:type="dxa" w:w="430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Activation et caractère obligatoire du climat</w:t>
            </w:r>
          </w:p>
        </w:tc>
      </w:tr>
      <w:tr>
        <w:trPr>
          <w:cantSplit/>
        </w:trPr>
        <w:tc>
          <w:tcPr>
            <w:tcW w:type="dxa" w:w="369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SESSION_HEURES</w:t>
            </w:r>
          </w:p>
        </w:tc>
        <w:tc>
          <w:tcPr>
            <w:tcW w:type="dxa" w:w="164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10</w:t>
            </w:r>
          </w:p>
        </w:tc>
        <w:tc>
          <w:tcPr>
            <w:tcW w:type="dxa" w:w="430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Durée de la session</w:t>
            </w:r>
          </w:p>
        </w:tc>
      </w:tr>
      <w:tr>
        <w:trPr>
          <w:cantSplit/>
        </w:trPr>
        <w:tc>
          <w:tcPr>
            <w:tcW w:type="dxa" w:w="369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TENTATIVES_MAX / VERROUILLAGE_MINUTES</w:t>
            </w:r>
          </w:p>
        </w:tc>
        <w:tc>
          <w:tcPr>
            <w:tcW w:type="dxa" w:w="164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5 / 15</w:t>
            </w:r>
          </w:p>
        </w:tc>
        <w:tc>
          <w:tcPr>
            <w:tcW w:type="dxa" w:w="430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Verrouillage après échecs de connexion</w:t>
            </w:r>
          </w:p>
        </w:tc>
      </w:tr>
      <w:tr>
        <w:trPr>
          <w:cantSplit/>
        </w:trPr>
        <w:tc>
          <w:tcPr>
            <w:tcW w:type="dxa" w:w="369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SIGNALETIQUE_MODE</w:t>
            </w:r>
          </w:p>
        </w:tc>
        <w:tc>
          <w:tcPr>
            <w:tcW w:type="dxa" w:w="164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simulation</w:t>
            </w:r>
          </w:p>
        </w:tc>
        <w:tc>
          <w:tcPr>
            <w:tcW w:type="dxa" w:w="430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Source de la signalétique : simulation, api ou désactivé</w:t>
            </w:r>
          </w:p>
        </w:tc>
      </w:tr>
      <w:tr>
        <w:trPr>
          <w:cantSplit/>
        </w:trPr>
        <w:tc>
          <w:tcPr>
            <w:tcW w:type="dxa" w:w="369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IA_ACTIVE / IA_MODELE</w:t>
            </w:r>
          </w:p>
        </w:tc>
        <w:tc>
          <w:tcPr>
            <w:tcW w:type="dxa" w:w="164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non</w:t>
            </w:r>
          </w:p>
        </w:tc>
        <w:tc>
          <w:tcPr>
            <w:tcW w:type="dxa" w:w="430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Assistant IA (facultatif)</w:t>
            </w:r>
          </w:p>
        </w:tc>
      </w:tr>
    </w:tbl>
    <w:p>
      <w:pPr>
        <w:spacing w:after="80"/>
      </w:pPr>
    </w:p>
    <w:p>
      <w:pPr>
        <w:pStyle w:val="Heading2"/>
        <w:keepNext/>
      </w:pPr>
      <w:bookmarkStart w:name="t47" w:id="1"/>
      <w:r>
        <w:rPr>
          <w:rFonts w:ascii="Arial" w:cs="Arial" w:eastAsia="Arial" w:hAnsi="Arial"/>
        </w:rPr>
        <w:t xml:space="preserve">7.2 Entités (banque et filiales)</w:t>
      </w:r>
      <w:bookmarkEnd w:id="1"/>
    </w:p>
    <w:p>
      <w:pPr>
        <w:spacing w:after="110" w:line="288"/>
        <w:jc w:val="left"/>
      </w:pPr>
      <w:r>
        <w:rPr>
          <w:rFonts w:ascii="Arial" w:cs="Arial" w:eastAsia="Arial" w:hAnsi="Arial"/>
        </w:rPr>
        <w:t xml:space="preserve">L'outil est </w:t>
      </w:r>
      <w:r>
        <w:rPr>
          <w:rFonts w:ascii="Arial" w:cs="Arial" w:eastAsia="Arial" w:hAnsi="Arial"/>
          <w:b/>
          <w:bCs/>
        </w:rPr>
        <w:t xml:space="preserve">multi-entités</w:t>
      </w:r>
      <w:r>
        <w:rPr>
          <w:rFonts w:ascii="Arial" w:cs="Arial" w:eastAsia="Arial" w:hAnsi="Arial"/>
        </w:rPr>
        <w:t xml:space="preserve"> : la maison mère et chaque filiale ont leur propre entité, avec leur code, leur pays, leur devise et leur langue par défaut. Les entités sont organisées en arborescence ; un utilisateur voit les dossiers de son entité et de ses entités filles.</w:t>
      </w:r>
    </w:p>
    <w:p>
      <w:pPr>
        <w:keepNext/>
        <w:spacing w:after="60" w:before="120"/>
        <w:jc w:val="center"/>
      </w:pPr>
      <w:r>
        <w:drawing>
          <wp:inline distT="0" distB="0" distL="0" distR="0">
            <wp:extent cx="6096000" cy="3209925"/>
            <wp:effectExtent t="0" r="0" b="0" l="0"/>
            <wp:docPr id="1" name="52-entites" descr="Entités" title="Enti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6096000" cy="320992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61 — Entités</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Entité </w:t>
            </w:r>
            <w:r>
              <w:rPr>
                <w:rFonts w:ascii="Arial" w:cs="Arial" w:eastAsia="Arial" w:hAnsi="Arial"/>
                <w:b/>
                <w:bCs/>
                <w:sz w:val="19"/>
                <w:szCs w:val="19"/>
              </w:rPr>
              <w:t xml:space="preserve">tête de groupe</w:t>
            </w:r>
            <w:r>
              <w:rPr>
                <w:rFonts w:ascii="Arial" w:cs="Arial" w:eastAsia="Arial" w:hAnsi="Arial"/>
                <w:sz w:val="19"/>
                <w:szCs w:val="19"/>
              </w:rPr>
              <w:t xml:space="preserve"> et ses filiales en arborescence.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Ajouter</w:t>
            </w:r>
            <w:r>
              <w:rPr>
                <w:rFonts w:ascii="Arial" w:cs="Arial" w:eastAsia="Arial" w:hAnsi="Arial"/>
                <w:sz w:val="19"/>
                <w:szCs w:val="19"/>
              </w:rPr>
              <w:t xml:space="preserve"> une entité.</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Modifier</w:t>
            </w:r>
            <w:r>
              <w:rPr>
                <w:rFonts w:ascii="Arial" w:cs="Arial" w:eastAsia="Arial" w:hAnsi="Arial"/>
                <w:sz w:val="19"/>
                <w:szCs w:val="19"/>
              </w:rPr>
              <w:t xml:space="preserve"> une entité.</w:t>
            </w:r>
          </w:p>
        </w:tc>
      </w:tr>
    </w:tbl>
    <w:p>
      <w:pPr>
        <w:spacing w:after="140"/>
      </w:pPr>
    </w:p>
    <w:p>
      <w:pPr>
        <w:keepNext/>
        <w:spacing w:after="60" w:before="120"/>
        <w:jc w:val="center"/>
      </w:pPr>
      <w:r>
        <w:drawing>
          <wp:inline distT="0" distB="0" distL="0" distR="0">
            <wp:extent cx="6096000" cy="4657725"/>
            <wp:effectExtent t="0" r="0" b="0" l="0"/>
            <wp:docPr id="1" name="52b-entite-edition" descr="Création d'une entité" title="Création d'une ent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6096000" cy="465772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62 — Création d'une entité</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Code, nom, pays, devise, langue.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Entité parente.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Enregistrer</w:t>
            </w:r>
            <w:r>
              <w:rPr>
                <w:rFonts w:ascii="Arial" w:cs="Arial" w:eastAsia="Arial" w:hAnsi="Arial"/>
                <w:sz w:val="19"/>
                <w:szCs w:val="19"/>
              </w:rPr>
              <w:t xml:space="preserve">.</w:t>
            </w:r>
          </w:p>
        </w:tc>
      </w:tr>
    </w:tbl>
    <w:p>
      <w:pPr>
        <w:spacing w:after="140"/>
      </w:pPr>
    </w:p>
    <w:p>
      <w:pPr>
        <w:pStyle w:val="Heading2"/>
        <w:keepNext/>
      </w:pPr>
      <w:bookmarkStart w:name="t48" w:id="1"/>
      <w:r>
        <w:rPr>
          <w:rFonts w:ascii="Arial" w:cs="Arial" w:eastAsia="Arial" w:hAnsi="Arial"/>
        </w:rPr>
        <w:t xml:space="preserve">7.3 Utilisateurs</w:t>
      </w:r>
      <w:bookmarkEnd w:id="1"/>
    </w:p>
    <w:p>
      <w:pPr>
        <w:keepNext/>
        <w:spacing w:after="60" w:before="120"/>
        <w:jc w:val="center"/>
      </w:pPr>
      <w:r>
        <w:drawing>
          <wp:inline distT="0" distB="0" distL="0" distR="0">
            <wp:extent cx="6096000" cy="4105275"/>
            <wp:effectExtent t="0" r="0" b="0" l="0"/>
            <wp:docPr id="1" name="53-utilisateurs" descr="Utilisateurs" title="Utilisa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6096000" cy="410527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63 — Utilisateurs</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Recherche</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Mot de passe provisoire</w:t>
            </w:r>
            <w:r>
              <w:rPr>
                <w:rFonts w:ascii="Arial" w:cs="Arial" w:eastAsia="Arial" w:hAnsi="Arial"/>
                <w:sz w:val="19"/>
                <w:szCs w:val="19"/>
              </w:rPr>
              <w:t xml:space="preserve"> : à la création, l'utilisateur doit le changer à sa première connexion.</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Réinitialiser</w:t>
            </w:r>
            <w:r>
              <w:rPr>
                <w:rFonts w:ascii="Arial" w:cs="Arial" w:eastAsia="Arial" w:hAnsi="Arial"/>
                <w:sz w:val="19"/>
                <w:szCs w:val="19"/>
              </w:rPr>
              <w:t xml:space="preserve"> le mot de passe.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Ajouter</w:t>
            </w:r>
            <w:r>
              <w:rPr>
                <w:rFonts w:ascii="Arial" w:cs="Arial" w:eastAsia="Arial" w:hAnsi="Arial"/>
                <w:sz w:val="19"/>
                <w:szCs w:val="19"/>
              </w:rPr>
              <w:t xml:space="preserve"> un utilisateur.</w:t>
            </w:r>
          </w:p>
        </w:tc>
      </w:tr>
    </w:tbl>
    <w:p>
      <w:pPr>
        <w:spacing w:after="140"/>
      </w:pPr>
    </w:p>
    <w:p>
      <w:pPr>
        <w:keepNext/>
        <w:spacing w:after="60" w:before="120"/>
        <w:jc w:val="center"/>
      </w:pPr>
      <w:r>
        <w:drawing>
          <wp:inline distT="0" distB="0" distL="0" distR="0">
            <wp:extent cx="6096000" cy="4581525"/>
            <wp:effectExtent t="0" r="0" b="0" l="0"/>
            <wp:docPr id="1" name="53b-utilisateur-creation" descr="Création d'un utilisateur" title="Création d'un utilis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6096000" cy="458152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64 — Création d'un utilisateur</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Identité et courriel.</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Rôle et entité de rattachement.</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Mot de passe provisoire (changement obligatoire à la première connexion).</w:t>
            </w:r>
          </w:p>
        </w:tc>
      </w:tr>
    </w:tbl>
    <w:p>
      <w:pPr>
        <w:spacing w:after="140"/>
      </w:pPr>
    </w:p>
    <w:p>
      <w:pPr>
        <w:spacing w:after="110" w:line="288"/>
        <w:jc w:val="left"/>
      </w:pPr>
      <w:r>
        <w:rPr>
          <w:rFonts w:ascii="Arial" w:cs="Arial" w:eastAsia="Arial" w:hAnsi="Arial"/>
        </w:rPr>
        <w:t xml:space="preserve">Vous pouvez aussi </w:t>
      </w:r>
      <w:r>
        <w:rPr>
          <w:rFonts w:ascii="Arial" w:cs="Arial" w:eastAsia="Arial" w:hAnsi="Arial"/>
          <w:b/>
          <w:bCs/>
        </w:rPr>
        <w:t xml:space="preserve">désactiver</w:t>
      </w:r>
      <w:r>
        <w:rPr>
          <w:rFonts w:ascii="Arial" w:cs="Arial" w:eastAsia="Arial" w:hAnsi="Arial"/>
        </w:rPr>
        <w:t xml:space="preserve"> un compte, </w:t>
      </w:r>
      <w:r>
        <w:rPr>
          <w:rFonts w:ascii="Arial" w:cs="Arial" w:eastAsia="Arial" w:hAnsi="Arial"/>
          <w:b/>
          <w:bCs/>
        </w:rPr>
        <w:t xml:space="preserve">déverrouiller</w:t>
      </w:r>
      <w:r>
        <w:rPr>
          <w:rFonts w:ascii="Arial" w:cs="Arial" w:eastAsia="Arial" w:hAnsi="Arial"/>
        </w:rPr>
        <w:t xml:space="preserve"> un compte bloqué et </w:t>
      </w:r>
      <w:r>
        <w:rPr>
          <w:rFonts w:ascii="Arial" w:cs="Arial" w:eastAsia="Arial" w:hAnsi="Arial"/>
          <w:b/>
          <w:bCs/>
        </w:rPr>
        <w:t xml:space="preserve">réinitialiser</w:t>
      </w:r>
      <w:r>
        <w:rPr>
          <w:rFonts w:ascii="Arial" w:cs="Arial" w:eastAsia="Arial" w:hAnsi="Arial"/>
        </w:rPr>
        <w:t xml:space="preserve"> son mot de passe. Les règles : au moins 12 caractères avec majuscule, minuscule, chiffre et caractère spécial.</w:t>
      </w:r>
    </w:p>
    <w:p>
      <w:pPr>
        <w:pStyle w:val="Heading2"/>
        <w:keepNext/>
      </w:pPr>
      <w:bookmarkStart w:name="t49" w:id="1"/>
      <w:r>
        <w:rPr>
          <w:rFonts w:ascii="Arial" w:cs="Arial" w:eastAsia="Arial" w:hAnsi="Arial"/>
        </w:rPr>
        <w:t xml:space="preserve">7.4 Rôles et permissions</w:t>
      </w:r>
      <w:bookmarkEnd w:id="1"/>
    </w:p>
    <w:p>
      <w:pPr>
        <w:keepNext/>
        <w:spacing w:after="60" w:before="120"/>
        <w:jc w:val="center"/>
      </w:pPr>
      <w:r>
        <w:drawing>
          <wp:inline distT="0" distB="0" distL="0" distR="0">
            <wp:extent cx="6096000" cy="5391150"/>
            <wp:effectExtent t="0" r="0" b="0" l="0"/>
            <wp:docPr id="1" name="54-roles" descr="Rôles" title="Rô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6096000" cy="53911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65 — Rôles</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Rôle sélectionné (ici Chargé d'affaires).</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Permission à cocher ou décocher.</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Ajouter</w:t>
            </w:r>
            <w:r>
              <w:rPr>
                <w:rFonts w:ascii="Arial" w:cs="Arial" w:eastAsia="Arial" w:hAnsi="Arial"/>
                <w:sz w:val="19"/>
                <w:szCs w:val="19"/>
              </w:rPr>
              <w:t xml:space="preserve"> un rôle.</w:t>
            </w:r>
          </w:p>
        </w:tc>
      </w:tr>
    </w:tbl>
    <w:p>
      <w:pPr>
        <w:spacing w:after="140"/>
      </w:pPr>
    </w:p>
    <w:p>
      <w:pPr>
        <w:spacing w:after="110" w:line="288"/>
        <w:jc w:val="left"/>
      </w:pPr>
      <w:r>
        <w:rPr>
          <w:rFonts w:ascii="Arial" w:cs="Arial" w:eastAsia="Arial" w:hAnsi="Arial"/>
        </w:rPr>
        <w:t xml:space="preserve">Les rôles livrés sont : Administrateur, Responsable RSE, Directeur, Chargé d'affaires, Chargé de suivi et Auditeur. Vous pouvez en créer d'autres et ajuster les permissions (voir la matrice en annexe A).</w:t>
      </w:r>
    </w:p>
    <w:p>
      <w:pPr>
        <w:pStyle w:val="Heading2"/>
        <w:keepNext/>
      </w:pPr>
      <w:bookmarkStart w:name="t50" w:id="1"/>
      <w:r>
        <w:rPr>
          <w:rFonts w:ascii="Arial" w:cs="Arial" w:eastAsia="Arial" w:hAnsi="Arial"/>
        </w:rPr>
        <w:t xml:space="preserve">7.5 Questionnaires</w:t>
      </w:r>
      <w:bookmarkEnd w:id="1"/>
    </w:p>
    <w:p>
      <w:pPr>
        <w:spacing w:after="110" w:line="288"/>
        <w:jc w:val="left"/>
      </w:pPr>
      <w:r>
        <w:rPr>
          <w:rFonts w:ascii="Arial" w:cs="Arial" w:eastAsia="Arial" w:hAnsi="Arial"/>
        </w:rPr>
        <w:t xml:space="preserve">Les check-lists E&amp;S sont entièrement paramétrables : thématiques, questions, type de réponse, gravité, références réglementaires, applicabilité (catégorie, secteur), mesure de contrôle ou facteur de risque, actions types associées.</w:t>
      </w:r>
    </w:p>
    <w:p>
      <w:pPr>
        <w:keepNext/>
        <w:spacing w:after="60" w:before="120"/>
        <w:jc w:val="center"/>
      </w:pPr>
      <w:r>
        <w:drawing>
          <wp:inline distT="0" distB="0" distL="0" distR="0">
            <wp:extent cx="6096000" cy="5133975"/>
            <wp:effectExtent t="0" r="0" b="0" l="0"/>
            <wp:docPr id="1" name="55-questionnaires" descr="Éditeur de questionnaires" title="Éditeur de questionn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6096000" cy="513397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66 — Éditeur de questionnaires</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Filtre par catégorie (</w:t>
            </w:r>
            <w:r>
              <w:rPr>
                <w:rFonts w:ascii="Arial" w:cs="Arial" w:eastAsia="Arial" w:hAnsi="Arial"/>
                <w:b/>
                <w:bCs/>
                <w:sz w:val="19"/>
                <w:szCs w:val="19"/>
              </w:rPr>
              <w:t xml:space="preserve">Toutes</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Bloc</w:t>
            </w:r>
            <w:r>
              <w:rPr>
                <w:rFonts w:ascii="Arial" w:cs="Arial" w:eastAsia="Arial" w:hAnsi="Arial"/>
                <w:sz w:val="19"/>
                <w:szCs w:val="19"/>
              </w:rPr>
              <w:t xml:space="preserve"> (thématique) : modifier, déplacer.</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Question (ici </w:t>
            </w:r>
            <w:r>
              <w:rPr>
                <w:rFonts w:ascii="Arial" w:cs="Arial" w:eastAsia="Arial" w:hAnsi="Arial"/>
                <w:b/>
                <w:bCs/>
                <w:sz w:val="19"/>
                <w:szCs w:val="19"/>
              </w:rPr>
              <w:t xml:space="preserve">EFF01</w:t>
            </w:r>
            <w:r>
              <w:rPr>
                <w:rFonts w:ascii="Arial" w:cs="Arial" w:eastAsia="Arial" w:hAnsi="Arial"/>
                <w:sz w:val="19"/>
                <w:szCs w:val="19"/>
              </w:rPr>
              <w:t xml:space="preserve">) : cliquez pour l'éditer.</w:t>
            </w:r>
          </w:p>
        </w:tc>
      </w:tr>
    </w:tbl>
    <w:p>
      <w:pPr>
        <w:spacing w:after="140"/>
      </w:pPr>
    </w:p>
    <w:p>
      <w:pPr>
        <w:pStyle w:val="Heading2"/>
        <w:keepNext/>
      </w:pPr>
      <w:bookmarkStart w:name="t51" w:id="1"/>
      <w:r>
        <w:rPr>
          <w:rFonts w:ascii="Arial" w:cs="Arial" w:eastAsia="Arial" w:hAnsi="Arial"/>
        </w:rPr>
        <w:t xml:space="preserve">7.6 Référentiels</w:t>
      </w:r>
      <w:bookmarkEnd w:id="1"/>
    </w:p>
    <w:p>
      <w:pPr>
        <w:keepNext/>
        <w:spacing w:after="60" w:before="120"/>
        <w:jc w:val="center"/>
      </w:pPr>
      <w:r>
        <w:drawing>
          <wp:inline distT="0" distB="0" distL="0" distR="0">
            <wp:extent cx="6096000" cy="4105275"/>
            <wp:effectExtent t="0" r="0" b="0" l="0"/>
            <wp:docPr id="1" name="56-referentiel-exclusion" descr="Liste d'exclusion" title="Liste d'excl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6096000" cy="410527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67 — Liste d'exclusion</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Ajouter</w:t>
            </w:r>
            <w:r>
              <w:rPr>
                <w:rFonts w:ascii="Arial" w:cs="Arial" w:eastAsia="Arial" w:hAnsi="Arial"/>
                <w:sz w:val="19"/>
                <w:szCs w:val="19"/>
              </w:rPr>
              <w:t xml:space="preserve"> un critère.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Critère : code, libellé, source, bloquant, actif.</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Modifier</w:t>
            </w:r>
            <w:r>
              <w:rPr>
                <w:rFonts w:ascii="Arial" w:cs="Arial" w:eastAsia="Arial" w:hAnsi="Arial"/>
                <w:sz w:val="19"/>
                <w:szCs w:val="19"/>
              </w:rPr>
              <w:t xml:space="preserve"> un critère.</w:t>
            </w:r>
          </w:p>
        </w:tc>
      </w:tr>
    </w:tbl>
    <w:p>
      <w:pPr>
        <w:spacing w:after="140"/>
      </w:pPr>
    </w:p>
    <w:p>
      <w:pPr>
        <w:keepNext/>
        <w:spacing w:after="60" w:before="120"/>
        <w:jc w:val="center"/>
      </w:pPr>
      <w:r>
        <w:drawing>
          <wp:inline distT="0" distB="0" distL="0" distR="0">
            <wp:extent cx="6096000" cy="3724275"/>
            <wp:effectExtent t="0" r="0" b="0" l="0"/>
            <wp:docPr id="1" name="57-secteurs" descr="Secteurs d'activité" title="Secteurs d'activ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6096000" cy="372427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68 — Secteurs d'activité</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Secteur CITI et indication de catégorie.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Profil climatique du secteur.</w:t>
            </w:r>
          </w:p>
        </w:tc>
      </w:tr>
    </w:tbl>
    <w:p>
      <w:pPr>
        <w:spacing w:after="140"/>
      </w:pPr>
    </w:p>
    <w:p>
      <w:pPr>
        <w:keepNext/>
        <w:spacing w:after="60" w:before="120"/>
        <w:jc w:val="center"/>
      </w:pPr>
      <w:r>
        <w:drawing>
          <wp:inline distT="0" distB="0" distL="0" distR="0">
            <wp:extent cx="6096000" cy="3724275"/>
            <wp:effectExtent t="0" r="0" b="0" l="0"/>
            <wp:docPr id="1" name="58-regions-aleas" descr="Régions et aléas climatiques" title="Régions et aléas climat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6096000" cy="3724275"/>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69 — Régions et aléas climatiques</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Régions du Maroc.</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Niveaux d'aléas par région (0 à 4).</w:t>
            </w:r>
          </w:p>
        </w:tc>
      </w:tr>
    </w:tbl>
    <w:p>
      <w:pPr>
        <w:spacing w:after="140"/>
      </w:pPr>
    </w:p>
    <w:p>
      <w:pPr>
        <w:keepNext/>
        <w:spacing w:after="60" w:before="120"/>
        <w:jc w:val="center"/>
      </w:pPr>
      <w:r>
        <w:drawing>
          <wp:inline distT="0" distB="0" distL="0" distR="0">
            <wp:extent cx="6096000" cy="3467100"/>
            <wp:effectExtent t="0" r="0" b="0" l="0"/>
            <wp:docPr id="1" name="62-listes-valeurs" descr="Listes de valeurs" title="Listes de val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6096000" cy="34671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70 — Listes de valeurs</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Filtre par </w:t>
            </w:r>
            <w:r>
              <w:rPr>
                <w:rFonts w:ascii="Arial" w:cs="Arial" w:eastAsia="Arial" w:hAnsi="Arial"/>
                <w:b/>
                <w:bCs/>
                <w:sz w:val="19"/>
                <w:szCs w:val="19"/>
              </w:rPr>
              <w:t xml:space="preserve">liste</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Ajouter</w:t>
            </w:r>
            <w:r>
              <w:rPr>
                <w:rFonts w:ascii="Arial" w:cs="Arial" w:eastAsia="Arial" w:hAnsi="Arial"/>
                <w:sz w:val="19"/>
                <w:szCs w:val="19"/>
              </w:rPr>
              <w:t xml:space="preserve"> une valeur.</w:t>
            </w:r>
          </w:p>
        </w:tc>
      </w:tr>
    </w:tbl>
    <w:p>
      <w:pPr>
        <w:spacing w:after="140"/>
      </w:pPr>
    </w:p>
    <w:p>
      <w:pPr>
        <w:pStyle w:val="Heading2"/>
        <w:keepNext/>
      </w:pPr>
      <w:bookmarkStart w:name="t52" w:id="1"/>
      <w:r>
        <w:rPr>
          <w:rFonts w:ascii="Arial" w:cs="Arial" w:eastAsia="Arial" w:hAnsi="Arial"/>
        </w:rPr>
        <w:t xml:space="preserve">7.7 Devises et taux de change</w:t>
      </w:r>
      <w:bookmarkEnd w:id="1"/>
    </w:p>
    <w:p>
      <w:pPr>
        <w:keepNext/>
        <w:spacing w:after="60" w:before="120"/>
        <w:jc w:val="center"/>
      </w:pPr>
      <w:r>
        <w:drawing>
          <wp:inline distT="0" distB="0" distL="0" distR="0">
            <wp:extent cx="6096000" cy="3467100"/>
            <wp:effectExtent t="0" r="0" b="0" l="0"/>
            <wp:docPr id="1" name="59-devises" descr="Devises" title="Devi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6096000" cy="34671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71 — Devises</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Devises actives et devise de référence.</w:t>
            </w:r>
          </w:p>
        </w:tc>
      </w:tr>
    </w:tbl>
    <w:p>
      <w:pPr>
        <w:spacing w:after="140"/>
      </w:pPr>
    </w:p>
    <w:p>
      <w:pPr>
        <w:keepNext/>
        <w:spacing w:after="60" w:before="120"/>
        <w:jc w:val="center"/>
      </w:pPr>
      <w:r>
        <w:drawing>
          <wp:inline distT="0" distB="0" distL="0" distR="0">
            <wp:extent cx="6096000" cy="3467100"/>
            <wp:effectExtent t="0" r="0" b="0" l="0"/>
            <wp:docPr id="1" name="60-taux-de-change" descr="Taux de change" title="Taux de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6096000" cy="34671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72 — Taux de change</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Ajouter</w:t>
            </w:r>
            <w:r>
              <w:rPr>
                <w:rFonts w:ascii="Arial" w:cs="Arial" w:eastAsia="Arial" w:hAnsi="Arial"/>
                <w:sz w:val="19"/>
                <w:szCs w:val="19"/>
              </w:rPr>
              <w:t xml:space="preserve"> un taux de change.</w:t>
            </w:r>
          </w:p>
        </w:tc>
      </w:tr>
    </w:tbl>
    <w:p>
      <w:pPr>
        <w:spacing w:after="140"/>
      </w:pPr>
    </w:p>
    <w:p>
      <w:pPr>
        <w:spacing w:after="110" w:line="288"/>
        <w:jc w:val="left"/>
      </w:pPr>
      <w:r>
        <w:rPr>
          <w:rFonts w:ascii="Arial" w:cs="Arial" w:eastAsia="Arial" w:hAnsi="Arial"/>
        </w:rPr>
        <w:t xml:space="preserve">Le montant d'un dossier est saisi dans sa devise, avec sa </w:t>
      </w:r>
      <w:r>
        <w:rPr>
          <w:rFonts w:ascii="Arial" w:cs="Arial" w:eastAsia="Arial" w:hAnsi="Arial"/>
          <w:b/>
          <w:bCs/>
        </w:rPr>
        <w:t xml:space="preserve">contre-valeur en devise de référence figée au cours du jour</w:t>
      </w:r>
      <w:r>
        <w:rPr>
          <w:rFonts w:ascii="Arial" w:cs="Arial" w:eastAsia="Arial" w:hAnsi="Arial"/>
        </w:rPr>
        <w:t xml:space="preserve"> de la saisie.</w:t>
      </w:r>
    </w:p>
    <w:p>
      <w:pPr>
        <w:pStyle w:val="Heading2"/>
        <w:keepNext/>
      </w:pPr>
      <w:bookmarkStart w:name="t53" w:id="1"/>
      <w:r>
        <w:rPr>
          <w:rFonts w:ascii="Arial" w:cs="Arial" w:eastAsia="Arial" w:hAnsi="Arial"/>
        </w:rPr>
        <w:t xml:space="preserve">7.8 Langues et traductions</w:t>
      </w:r>
      <w:bookmarkEnd w:id="1"/>
    </w:p>
    <w:p>
      <w:pPr>
        <w:keepNext/>
        <w:spacing w:after="60" w:before="120"/>
        <w:jc w:val="center"/>
      </w:pPr>
      <w:r>
        <w:drawing>
          <wp:inline distT="0" distB="0" distL="0" distR="0">
            <wp:extent cx="6096000" cy="2571750"/>
            <wp:effectExtent t="0" r="0" b="0" l="0"/>
            <wp:docPr id="1" name="61-langues" descr="Langues" title="Lang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6096000" cy="25717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73 — Langues</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Écriture de droite à gauche</w:t>
            </w:r>
            <w:r>
              <w:rPr>
                <w:rFonts w:ascii="Arial" w:cs="Arial" w:eastAsia="Arial" w:hAnsi="Arial"/>
                <w:sz w:val="19"/>
                <w:szCs w:val="19"/>
              </w:rPr>
              <w:t xml:space="preserve"> (arabe).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Ajouter</w:t>
            </w:r>
            <w:r>
              <w:rPr>
                <w:rFonts w:ascii="Arial" w:cs="Arial" w:eastAsia="Arial" w:hAnsi="Arial"/>
                <w:sz w:val="19"/>
                <w:szCs w:val="19"/>
              </w:rPr>
              <w:t xml:space="preserve"> une langue.</w:t>
            </w:r>
          </w:p>
        </w:tc>
      </w:tr>
    </w:tbl>
    <w:p>
      <w:pPr>
        <w:spacing w:after="140"/>
      </w:pPr>
    </w:p>
    <w:p>
      <w:pPr>
        <w:pStyle w:val="Heading2"/>
        <w:keepNext/>
      </w:pPr>
      <w:bookmarkStart w:name="t54" w:id="1"/>
      <w:r>
        <w:rPr>
          <w:rFonts w:ascii="Arial" w:cs="Arial" w:eastAsia="Arial" w:hAnsi="Arial"/>
        </w:rPr>
        <w:t xml:space="preserve">7.9 Intégration : API et base de données</w:t>
      </w:r>
      <w:bookmarkEnd w:id="1"/>
    </w:p>
    <w:p>
      <w:pPr>
        <w:keepNext/>
        <w:spacing w:after="60" w:before="120"/>
        <w:jc w:val="center"/>
      </w:pPr>
      <w:r>
        <w:drawing>
          <wp:inline distT="0" distB="0" distL="0" distR="0">
            <wp:extent cx="6096000" cy="4876800"/>
            <wp:effectExtent t="0" r="0" b="0" l="0"/>
            <wp:docPr id="1" name="63-api-integration" descr="API et clés" title="API et cl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6096000" cy="487680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74 — API et clés</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Nouvelle clé d'accès</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API v1</w:t>
            </w:r>
            <w:r>
              <w:rPr>
                <w:rFonts w:ascii="Arial" w:cs="Arial" w:eastAsia="Arial" w:hAnsi="Arial"/>
                <w:sz w:val="19"/>
                <w:szCs w:val="19"/>
              </w:rPr>
              <w:t xml:space="preserve"> : documentation des points d'entrée.</w:t>
            </w:r>
          </w:p>
        </w:tc>
      </w:tr>
    </w:tbl>
    <w:p>
      <w:pPr>
        <w:spacing w:after="140"/>
      </w:pPr>
    </w:p>
    <w:p>
      <w:pPr>
        <w:keepNext/>
        <w:spacing w:after="60" w:before="120"/>
        <w:jc w:val="center"/>
      </w:pPr>
      <w:r>
        <w:drawing>
          <wp:inline distT="0" distB="0" distL="0" distR="0">
            <wp:extent cx="6096000" cy="4629150"/>
            <wp:effectExtent t="0" r="0" b="0" l="0"/>
            <wp:docPr id="1" name="64-base-de-donnees" descr="Base de données" title="Base de d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6096000" cy="46291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75 — Base de données</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Moteur de base de données</w:t>
            </w:r>
            <w:r>
              <w:rPr>
                <w:rFonts w:ascii="Arial" w:cs="Arial" w:eastAsia="Arial" w:hAnsi="Arial"/>
                <w:sz w:val="19"/>
                <w:szCs w:val="19"/>
              </w:rPr>
              <w:t xml:space="preserve"> en service.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Sauvegarde des données (JSON)</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3</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Changer de moteur</w:t>
            </w:r>
            <w:r>
              <w:rPr>
                <w:rFonts w:ascii="Arial" w:cs="Arial" w:eastAsia="Arial" w:hAnsi="Arial"/>
                <w:sz w:val="19"/>
                <w:szCs w:val="19"/>
              </w:rPr>
              <w:t xml:space="preserv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4</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b/>
                <w:bCs/>
                <w:sz w:val="19"/>
                <w:szCs w:val="19"/>
              </w:rPr>
              <w:t xml:space="preserve">Volumes</w:t>
            </w:r>
            <w:r>
              <w:rPr>
                <w:rFonts w:ascii="Arial" w:cs="Arial" w:eastAsia="Arial" w:hAnsi="Arial"/>
                <w:sz w:val="19"/>
                <w:szCs w:val="19"/>
              </w:rPr>
              <w:t xml:space="preserve"> par table.</w:t>
            </w:r>
          </w:p>
        </w:tc>
      </w:tr>
    </w:tbl>
    <w:p>
      <w:pPr>
        <w:spacing w:after="140"/>
      </w:pPr>
    </w:p>
    <w:p>
      <w:pPr>
        <w:spacing w:after="110" w:line="288"/>
        <w:jc w:val="left"/>
      </w:pPr>
      <w:r>
        <w:rPr>
          <w:rFonts w:ascii="Arial" w:cs="Arial" w:eastAsia="Arial" w:hAnsi="Arial"/>
        </w:rPr>
        <w:t xml:space="preserve">L'outil fonctionne avec </w:t>
      </w:r>
      <w:r>
        <w:rPr>
          <w:rFonts w:ascii="Arial" w:cs="Arial" w:eastAsia="Arial" w:hAnsi="Arial"/>
          <w:b/>
          <w:bCs/>
        </w:rPr>
        <w:t xml:space="preserve">PostgreSQL, SQL Server, MySQL ou SQLite</w:t>
      </w:r>
      <w:r>
        <w:rPr>
          <w:rFonts w:ascii="Arial" w:cs="Arial" w:eastAsia="Arial" w:hAnsi="Arial"/>
        </w:rPr>
        <w:t xml:space="preserve"> ; le moteur se choisit au déploiement.</w:t>
      </w:r>
    </w:p>
    <w:p>
      <w:pPr>
        <w:pStyle w:val="Heading1"/>
        <w:pageBreakBefore/>
      </w:pPr>
      <w:bookmarkStart w:name="t55" w:id="1"/>
      <w:r>
        <w:rPr>
          <w:rFonts w:ascii="Arial" w:cs="Arial" w:eastAsia="Arial" w:hAnsi="Arial"/>
        </w:rPr>
        <w:t xml:space="preserve">8. Langues, arabe et mobile</w:t>
      </w:r>
      <w:bookmarkEnd w:id="1"/>
    </w:p>
    <w:p>
      <w:pPr>
        <w:pStyle w:val="Heading2"/>
        <w:keepNext/>
      </w:pPr>
      <w:bookmarkStart w:name="t56" w:id="1"/>
      <w:r>
        <w:rPr>
          <w:rFonts w:ascii="Arial" w:cs="Arial" w:eastAsia="Arial" w:hAnsi="Arial"/>
        </w:rPr>
        <w:t xml:space="preserve">8.1 Changer de langue</w:t>
      </w:r>
      <w:bookmarkEnd w:id="1"/>
    </w:p>
    <w:p>
      <w:pPr>
        <w:spacing w:after="110" w:line="288"/>
        <w:jc w:val="left"/>
      </w:pPr>
      <w:r>
        <w:rPr>
          <w:rFonts w:ascii="Arial" w:cs="Arial" w:eastAsia="Arial" w:hAnsi="Arial"/>
        </w:rPr>
        <w:t xml:space="preserve">Le sélecteur de langue de la barre supérieure bascule instantanément entre </w:t>
      </w:r>
      <w:r>
        <w:rPr>
          <w:rFonts w:ascii="Arial" w:cs="Arial" w:eastAsia="Arial" w:hAnsi="Arial"/>
          <w:b/>
          <w:bCs/>
        </w:rPr>
        <w:t xml:space="preserve">français, anglais et arabe</w:t>
      </w:r>
      <w:r>
        <w:rPr>
          <w:rFonts w:ascii="Arial" w:cs="Arial" w:eastAsia="Arial" w:hAnsi="Arial"/>
        </w:rPr>
        <w:t xml:space="preserve">. La langue est mémorisée pour votre compte. Les référentiels (questions, critères, secteurs) sont également traduits.</w:t>
      </w:r>
    </w:p>
    <w:p>
      <w:pPr>
        <w:keepNext/>
        <w:spacing w:after="60" w:before="120"/>
        <w:jc w:val="center"/>
      </w:pPr>
      <w:r>
        <w:drawing>
          <wp:inline distT="0" distB="0" distL="0" distR="0">
            <wp:extent cx="6096000" cy="3905250"/>
            <wp:effectExtent t="0" r="0" b="0" l="0"/>
            <wp:docPr id="1" name="72-anglais-tableau-de-bord" descr="Interface en anglais" title="Interface en angl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6096000" cy="39052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76 — Interface en anglais</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Sélecteur de langue.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Menus et libellés traduits.</w:t>
            </w:r>
          </w:p>
        </w:tc>
      </w:tr>
    </w:tbl>
    <w:p>
      <w:pPr>
        <w:spacing w:after="140"/>
      </w:pPr>
    </w:p>
    <w:p>
      <w:pPr>
        <w:pStyle w:val="Heading2"/>
        <w:keepNext/>
      </w:pPr>
      <w:bookmarkStart w:name="t57" w:id="1"/>
      <w:r>
        <w:rPr>
          <w:rFonts w:ascii="Arial" w:cs="Arial" w:eastAsia="Arial" w:hAnsi="Arial"/>
        </w:rPr>
        <w:t xml:space="preserve">8.2 Arabe et écriture de droite à gauche</w:t>
      </w:r>
      <w:bookmarkEnd w:id="1"/>
    </w:p>
    <w:p>
      <w:pPr>
        <w:spacing w:after="110" w:line="288"/>
        <w:jc w:val="left"/>
      </w:pPr>
      <w:r>
        <w:rPr>
          <w:rFonts w:ascii="Arial" w:cs="Arial" w:eastAsia="Arial" w:hAnsi="Arial"/>
        </w:rPr>
        <w:t xml:space="preserve">En arabe, toute la mise en page s'inverse : le menu passe à droite, les tableaux et formulaires se lisent de droite à gauche.</w:t>
      </w:r>
    </w:p>
    <w:p>
      <w:pPr>
        <w:keepNext/>
        <w:spacing w:after="60" w:before="120"/>
        <w:jc w:val="center"/>
      </w:pPr>
      <w:r>
        <w:drawing>
          <wp:inline distT="0" distB="0" distL="0" distR="0">
            <wp:extent cx="6096000" cy="3905250"/>
            <wp:effectExtent t="0" r="0" b="0" l="0"/>
            <wp:docPr id="1" name="70-arabe-tableau-de-bord" descr="Interface en arabe" title="Interface en ar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6096000" cy="39052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77 — Interface en arabe</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Menu à droite.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2</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Texte aligné à droite.</w:t>
            </w:r>
          </w:p>
        </w:tc>
      </w:tr>
    </w:tbl>
    <w:p>
      <w:pPr>
        <w:spacing w:after="140"/>
      </w:pPr>
    </w:p>
    <w:p>
      <w:pPr>
        <w:keepNext/>
        <w:spacing w:after="60" w:before="120"/>
        <w:jc w:val="center"/>
      </w:pPr>
      <w:r>
        <w:drawing>
          <wp:inline distT="0" distB="0" distL="0" distR="0">
            <wp:extent cx="6096000" cy="4286250"/>
            <wp:effectExtent t="0" r="0" b="0" l="0"/>
            <wp:docPr id="1" name="71-arabe-evaluation" descr="Dossier en arabe" title="Dossier en ar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6096000" cy="4286250"/>
                    </a:xfrm>
                    <a:prstGeom prst="rect">
                      <a:avLst/>
                    </a:prstGeom>
                  </pic:spPr>
                </pic:pic>
              </a:graphicData>
            </a:graphic>
          </wp:inline>
        </w:drawing>
      </w:r>
    </w:p>
    <w:p>
      <w:pPr>
        <w:keepNext/>
        <w:spacing w:after="100"/>
        <w:jc w:val="center"/>
      </w:pPr>
      <w:r>
        <w:rPr>
          <w:rFonts w:ascii="Arial" w:cs="Arial" w:eastAsia="Arial" w:hAnsi="Arial"/>
          <w:i/>
          <w:iCs/>
          <w:color w:val="5B6560"/>
          <w:sz w:val="18"/>
          <w:szCs w:val="18"/>
        </w:rPr>
        <w:t xml:space="preserve">Figure 78 — Dossier en arabe</w:t>
      </w:r>
    </w:p>
    <w:tbl>
      <w:tblPr>
        <w:tblW w:type="dxa" w:w="9638"/>
        <w:tblBorders>
          <w:top w:val="none" w:color="FFFFFF" w:sz="0"/>
          <w:left w:val="none" w:color="FFFFFF" w:sz="0"/>
          <w:bottom w:val="single" w:color="E3E8E5" w:sz="2"/>
          <w:right w:val="none" w:color="FFFFFF" w:sz="0"/>
          <w:insideH w:val="single" w:color="E3E8E5" w:sz="2"/>
          <w:insideV w:val="none" w:color="FFFFFF" w:sz="0"/>
        </w:tblBorders>
        <w:tblLayout w:type="fixed"/>
      </w:tblPr>
      <w:tblGrid>
        <w:gridCol w:w="520"/>
        <w:gridCol w:w="9118"/>
      </w:tblGrid>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rPr>
                <w:rFonts w:ascii="Arial" w:cs="Arial" w:eastAsia="Arial" w:hAnsi="Arial"/>
                <w:b/>
                <w:bCs/>
                <w:color w:val="FFFFFF"/>
                <w:sz w:val="17"/>
                <w:szCs w:val="17"/>
                <w:shd w:fill="D92D20" w:color="auto" w:val="clear"/>
              </w:rPr>
              <w:t xml:space="preserve">1</w:t>
            </w:r>
          </w:p>
        </w:tc>
        <w:tc>
          <w:tcPr>
            <w:tcW w:type="dxa" w:w="9118"/>
            <w:tcBorders>
              <w:top w:val="none" w:color="FFFFFF" w:sz="0"/>
              <w:left w:val="none" w:color="FFFFFF" w:sz="0"/>
              <w:bottom w:val="single" w:color="E3E8E5" w:sz="2"/>
              <w:right w:val="none" w:color="FFFFFF" w:sz="0"/>
            </w:tcBorders>
            <w:tcMar>
              <w:top w:type="dxa" w:w="40"/>
              <w:left w:type="dxa" w:w="100"/>
              <w:bottom w:type="dxa" w:w="40"/>
              <w:right w:type="dxa" w:w="80"/>
            </w:tcMar>
            <w:vAlign w:val="center"/>
          </w:tcPr>
          <w:p>
            <w:pPr>
              <w:spacing w:line="252"/>
            </w:pPr>
            <w:r>
              <w:rPr>
                <w:rFonts w:ascii="Arial" w:cs="Arial" w:eastAsia="Arial" w:hAnsi="Arial"/>
                <w:sz w:val="19"/>
                <w:szCs w:val="19"/>
              </w:rPr>
              <w:t xml:space="preserve">Volet de travail en écriture RTL.</w:t>
            </w:r>
          </w:p>
        </w:tc>
      </w:tr>
    </w:tbl>
    <w:p>
      <w:pPr>
        <w:spacing w:after="140"/>
      </w:pPr>
    </w:p>
    <w:p>
      <w:pPr>
        <w:pStyle w:val="Heading2"/>
        <w:keepNext/>
      </w:pPr>
      <w:bookmarkStart w:name="t58" w:id="1"/>
      <w:r>
        <w:rPr>
          <w:rFonts w:ascii="Arial" w:cs="Arial" w:eastAsia="Arial" w:hAnsi="Arial"/>
        </w:rPr>
        <w:t xml:space="preserve">8.3 Utilisation sur mobile et tablette</w:t>
      </w:r>
      <w:bookmarkEnd w:id="1"/>
    </w:p>
    <w:p>
      <w:pPr>
        <w:spacing w:after="110" w:line="288"/>
        <w:jc w:val="left"/>
      </w:pPr>
      <w:r>
        <w:rPr>
          <w:rFonts w:ascii="Arial" w:cs="Arial" w:eastAsia="Arial" w:hAnsi="Arial"/>
        </w:rPr>
        <w:t xml:space="preserve">L'interface est </w:t>
      </w:r>
      <w:r>
        <w:rPr>
          <w:rFonts w:ascii="Arial" w:cs="Arial" w:eastAsia="Arial" w:hAnsi="Arial"/>
          <w:b/>
          <w:bCs/>
        </w:rPr>
        <w:t xml:space="preserve">adaptative</w:t>
      </w:r>
      <w:r>
        <w:rPr>
          <w:rFonts w:ascii="Arial" w:cs="Arial" w:eastAsia="Arial" w:hAnsi="Arial"/>
        </w:rPr>
        <w:t xml:space="preserve"> : le menu devient un tiroir, les tableaux deviennent des cartes, les barres d'action restent accessibles. Elle convient à la saisie sur tablette lors d'une visite chez le client.</w:t>
      </w:r>
    </w:p>
    <w:p>
      <w:pPr>
        <w:pStyle w:val="Heading1"/>
        <w:pageBreakBefore/>
      </w:pPr>
      <w:bookmarkStart w:name="t59" w:id="1"/>
      <w:r>
        <w:rPr>
          <w:rFonts w:ascii="Arial" w:cs="Arial" w:eastAsia="Arial" w:hAnsi="Arial"/>
        </w:rPr>
        <w:t xml:space="preserve">Annexe A — Matrice des droits par rôle</w:t>
      </w:r>
      <w:bookmarkEnd w:id="1"/>
    </w:p>
    <w:p>
      <w:pPr>
        <w:spacing w:after="110" w:line="288"/>
        <w:jc w:val="left"/>
      </w:pPr>
      <w:r>
        <w:rPr>
          <w:rFonts w:ascii="Arial" w:cs="Arial" w:eastAsia="Arial" w:hAnsi="Arial"/>
        </w:rPr>
        <w:t xml:space="preserve">Matrice indicative des rôles livrés (modifiable dans Administration → Rôles).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3"/>
        <w:gridCol w:w="1377"/>
        <w:gridCol w:w="1147"/>
        <w:gridCol w:w="1147"/>
        <w:gridCol w:w="1033"/>
        <w:gridCol w:w="918"/>
        <w:gridCol w:w="1033"/>
      </w:tblGrid>
      <w:tr>
        <w:trPr>
          <w:cantSplit/>
          <w:tblHeader/>
        </w:trPr>
        <w:tc>
          <w:tcPr>
            <w:tcW w:type="dxa" w:w="2983"/>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Fonction</w:t>
            </w:r>
          </w:p>
        </w:tc>
        <w:tc>
          <w:tcPr>
            <w:tcW w:type="dxa" w:w="1377"/>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Chargé d'affaires</w:t>
            </w:r>
          </w:p>
        </w:tc>
        <w:tc>
          <w:tcPr>
            <w:tcW w:type="dxa" w:w="1147"/>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Directeur</w:t>
            </w:r>
          </w:p>
        </w:tc>
        <w:tc>
          <w:tcPr>
            <w:tcW w:type="dxa" w:w="1147"/>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Resp. RSE</w:t>
            </w:r>
          </w:p>
        </w:tc>
        <w:tc>
          <w:tcPr>
            <w:tcW w:type="dxa" w:w="1033"/>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Suivi</w:t>
            </w:r>
          </w:p>
        </w:tc>
        <w:tc>
          <w:tcPr>
            <w:tcW w:type="dxa" w:w="918"/>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Audit</w:t>
            </w:r>
          </w:p>
        </w:tc>
        <w:tc>
          <w:tcPr>
            <w:tcW w:type="dxa" w:w="1033"/>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Admin</w:t>
            </w:r>
          </w:p>
        </w:tc>
      </w:tr>
      <w:tr>
        <w:trPr>
          <w:cantSplit/>
        </w:trPr>
        <w:tc>
          <w:tcPr>
            <w:tcW w:type="dxa" w:w="2983"/>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Créer / saisir une évaluation</w:t>
            </w:r>
          </w:p>
        </w:tc>
        <w:tc>
          <w:tcPr>
            <w:tcW w:type="dxa" w:w="1377"/>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1147"/>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1147"/>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1033"/>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918"/>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1033"/>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r>
      <w:tr>
        <w:trPr>
          <w:cantSplit/>
        </w:trPr>
        <w:tc>
          <w:tcPr>
            <w:tcW w:type="dxa" w:w="2983"/>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Soumettre</w:t>
            </w:r>
          </w:p>
        </w:tc>
        <w:tc>
          <w:tcPr>
            <w:tcW w:type="dxa" w:w="1377"/>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1147"/>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1147"/>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1033"/>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918"/>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1033"/>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r>
      <w:tr>
        <w:trPr>
          <w:cantSplit/>
        </w:trPr>
        <w:tc>
          <w:tcPr>
            <w:tcW w:type="dxa" w:w="2983"/>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Valider / retourner</w:t>
            </w:r>
          </w:p>
        </w:tc>
        <w:tc>
          <w:tcPr>
            <w:tcW w:type="dxa" w:w="1377"/>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1147"/>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1147"/>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1033"/>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918"/>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1033"/>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r>
      <w:tr>
        <w:trPr>
          <w:cantSplit/>
        </w:trPr>
        <w:tc>
          <w:tcPr>
            <w:tcW w:type="dxa" w:w="2983"/>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Décision du comité</w:t>
            </w:r>
          </w:p>
        </w:tc>
        <w:tc>
          <w:tcPr>
            <w:tcW w:type="dxa" w:w="1377"/>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1147"/>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1147"/>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1033"/>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918"/>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1033"/>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r>
      <w:tr>
        <w:trPr>
          <w:cantSplit/>
        </w:trPr>
        <w:tc>
          <w:tcPr>
            <w:tcW w:type="dxa" w:w="2983"/>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Reclasser la catégorie</w:t>
            </w:r>
          </w:p>
        </w:tc>
        <w:tc>
          <w:tcPr>
            <w:tcW w:type="dxa" w:w="1377"/>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1147"/>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1147"/>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1033"/>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918"/>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1033"/>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r>
      <w:tr>
        <w:trPr>
          <w:cantSplit/>
        </w:trPr>
        <w:tc>
          <w:tcPr>
            <w:tcW w:type="dxa" w:w="2983"/>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Suivi et visites</w:t>
            </w:r>
          </w:p>
        </w:tc>
        <w:tc>
          <w:tcPr>
            <w:tcW w:type="dxa" w:w="1377"/>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1147"/>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1147"/>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1033"/>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918"/>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1033"/>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r>
      <w:tr>
        <w:trPr>
          <w:cantSplit/>
        </w:trPr>
        <w:tc>
          <w:tcPr>
            <w:tcW w:type="dxa" w:w="2983"/>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Consulter / reporting</w:t>
            </w:r>
          </w:p>
        </w:tc>
        <w:tc>
          <w:tcPr>
            <w:tcW w:type="dxa" w:w="1377"/>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1147"/>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1147"/>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1033"/>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918"/>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1033"/>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r>
      <w:tr>
        <w:trPr>
          <w:cantSplit/>
        </w:trPr>
        <w:tc>
          <w:tcPr>
            <w:tcW w:type="dxa" w:w="2983"/>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Journal d'audit</w:t>
            </w:r>
          </w:p>
        </w:tc>
        <w:tc>
          <w:tcPr>
            <w:tcW w:type="dxa" w:w="1377"/>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1147"/>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1147"/>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1033"/>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918"/>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c>
          <w:tcPr>
            <w:tcW w:type="dxa" w:w="1033"/>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r>
      <w:tr>
        <w:trPr>
          <w:cantSplit/>
        </w:trPr>
        <w:tc>
          <w:tcPr>
            <w:tcW w:type="dxa" w:w="2983"/>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Administration</w:t>
            </w:r>
          </w:p>
        </w:tc>
        <w:tc>
          <w:tcPr>
            <w:tcW w:type="dxa" w:w="1377"/>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1147"/>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1147"/>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1033"/>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918"/>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w:t>
            </w:r>
          </w:p>
        </w:tc>
        <w:tc>
          <w:tcPr>
            <w:tcW w:type="dxa" w:w="1033"/>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Oui</w:t>
            </w:r>
          </w:p>
        </w:tc>
      </w:tr>
    </w:tbl>
    <w:p>
      <w:pPr>
        <w:spacing w:after="60"/>
      </w:pPr>
    </w:p>
    <w:tbl>
      <w:tblPr>
        <w:tblW w:type="dxa" w:w="9638"/>
        <w:tblBorders>
          <w:top w:val="none" w:color="FFFFFF" w:sz="0"/>
          <w:left w:val="single" w:color="2563A8"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563A8" w:sz="24"/>
              <w:bottom w:val="none" w:color="FFFFFF" w:sz="0"/>
              <w:right w:val="none" w:color="FFFFFF" w:sz="0"/>
            </w:tcBorders>
            <w:shd w:fill="EAF2FB" w:color="auto" w:val="clear"/>
            <w:tcMar>
              <w:top w:type="dxa" w:w="100"/>
              <w:left w:type="dxa" w:w="180"/>
              <w:bottom w:type="dxa" w:w="80"/>
              <w:right w:type="dxa" w:w="160"/>
            </w:tcMar>
          </w:tcPr>
          <w:p>
            <w:pPr>
              <w:keepNext/>
              <w:spacing w:after="40"/>
            </w:pPr>
            <w:r>
              <w:rPr>
                <w:rFonts w:ascii="Arial" w:cs="Arial" w:eastAsia="Arial" w:hAnsi="Arial"/>
                <w:b/>
                <w:bCs/>
                <w:color w:val="2563A8"/>
                <w:sz w:val="20"/>
                <w:szCs w:val="20"/>
              </w:rPr>
              <w:t xml:space="preserve">À vérifier</w:t>
            </w:r>
          </w:p>
          <w:p>
            <w:pPr>
              <w:spacing w:after="40" w:line="270"/>
            </w:pPr>
            <w:r>
              <w:rPr>
                <w:rFonts w:ascii="Arial" w:cs="Arial" w:eastAsia="Arial" w:hAnsi="Arial"/>
                <w:sz w:val="20"/>
                <w:szCs w:val="20"/>
              </w:rPr>
              <w:t xml:space="preserve">Les droits réels dépendent du paramétrage de votre déploiement ; consultez Administration → Rôles pour la matrice en vigueur.</w:t>
            </w:r>
          </w:p>
        </w:tc>
      </w:tr>
    </w:tbl>
    <w:p>
      <w:pPr>
        <w:pStyle w:val="Heading1"/>
        <w:pageBreakBefore/>
      </w:pPr>
      <w:bookmarkStart w:name="t60" w:id="1"/>
      <w:r>
        <w:rPr>
          <w:rFonts w:ascii="Arial" w:cs="Arial" w:eastAsia="Arial" w:hAnsi="Arial"/>
        </w:rPr>
        <w:t xml:space="preserve">Annexe B — Les 25 éléments de catégorisation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35"/>
        <w:gridCol w:w="1128"/>
        <w:gridCol w:w="7075"/>
      </w:tblGrid>
      <w:tr>
        <w:trPr>
          <w:cantSplit/>
          <w:tblHeader/>
        </w:trPr>
        <w:tc>
          <w:tcPr>
            <w:tcW w:type="dxa" w:w="1435"/>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Catégorie</w:t>
            </w:r>
          </w:p>
        </w:tc>
        <w:tc>
          <w:tcPr>
            <w:tcW w:type="dxa" w:w="1128"/>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Nombre</w:t>
            </w:r>
          </w:p>
        </w:tc>
        <w:tc>
          <w:tcPr>
            <w:tcW w:type="dxa" w:w="7075"/>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Exemples</w:t>
            </w:r>
          </w:p>
        </w:tc>
      </w:tr>
      <w:tr>
        <w:trPr>
          <w:cantSplit/>
        </w:trPr>
        <w:tc>
          <w:tcPr>
            <w:tcW w:type="dxa" w:w="1435"/>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A</w:t>
            </w:r>
          </w:p>
        </w:tc>
        <w:tc>
          <w:tcPr>
            <w:tcW w:type="dxa" w:w="1128"/>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11</w:t>
            </w:r>
          </w:p>
        </w:tc>
        <w:tc>
          <w:tcPr>
            <w:tcW w:type="dxa" w:w="7075"/>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Grande usine ou infrastructure, forêt vierge ou habitat protégé, patrimoine culturel, déplacement de populations, impacts irréversibles ou sans précédent</w:t>
            </w:r>
          </w:p>
        </w:tc>
      </w:tr>
      <w:tr>
        <w:trPr>
          <w:cantSplit/>
        </w:trPr>
        <w:tc>
          <w:tcPr>
            <w:tcW w:type="dxa" w:w="1435"/>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B</w:t>
            </w:r>
          </w:p>
        </w:tc>
        <w:tc>
          <w:tcPr>
            <w:tcW w:type="dxa" w:w="1128"/>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12</w:t>
            </w:r>
          </w:p>
        </w:tc>
        <w:tc>
          <w:tcPr>
            <w:tcW w:type="dxa" w:w="7075"/>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Déchets liquides ou solides, émissions dans l'air, substances toxiques, consommation d'eau et d'énergie, bruit, santé et sécurité, permis, sols pollués</w:t>
            </w:r>
          </w:p>
        </w:tc>
      </w:tr>
      <w:tr>
        <w:trPr>
          <w:cantSplit/>
        </w:trPr>
        <w:tc>
          <w:tcPr>
            <w:tcW w:type="dxa" w:w="1435"/>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w:t>
            </w:r>
          </w:p>
        </w:tc>
        <w:tc>
          <w:tcPr>
            <w:tcW w:type="dxa" w:w="1128"/>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1</w:t>
            </w:r>
          </w:p>
        </w:tc>
        <w:tc>
          <w:tcPr>
            <w:tcW w:type="dxa" w:w="7075"/>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Société de service à impact minime</w:t>
            </w:r>
          </w:p>
        </w:tc>
      </w:tr>
      <w:tr>
        <w:trPr>
          <w:cantSplit/>
        </w:trPr>
        <w:tc>
          <w:tcPr>
            <w:tcW w:type="dxa" w:w="1435"/>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FI</w:t>
            </w:r>
          </w:p>
        </w:tc>
        <w:tc>
          <w:tcPr>
            <w:tcW w:type="dxa" w:w="1128"/>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1</w:t>
            </w:r>
          </w:p>
        </w:tc>
        <w:tc>
          <w:tcPr>
            <w:tcW w:type="dxa" w:w="7075"/>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Investissement via un intermédiaire financier (sous-catégories FI-1, FI-2, FI-3)</w:t>
            </w:r>
          </w:p>
        </w:tc>
      </w:tr>
    </w:tbl>
    <w:p>
      <w:pPr>
        <w:spacing w:after="80"/>
      </w:pPr>
    </w:p>
    <w:p>
      <w:pPr>
        <w:pStyle w:val="Heading1"/>
        <w:pageBreakBefore/>
      </w:pPr>
      <w:bookmarkStart w:name="t61" w:id="1"/>
      <w:r>
        <w:rPr>
          <w:rFonts w:ascii="Arial" w:cs="Arial" w:eastAsia="Arial" w:hAnsi="Arial"/>
        </w:rPr>
        <w:t xml:space="preserve">Annexe C — Barèmes et seuils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972"/>
      </w:tblGrid>
      <w:tr>
        <w:trPr>
          <w:cantSplit/>
          <w:tblHeader/>
        </w:trPr>
        <w:tc>
          <w:tcPr>
            <w:tcW w:type="dxa" w:w="2666"/>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Élément</w:t>
            </w:r>
          </w:p>
        </w:tc>
        <w:tc>
          <w:tcPr>
            <w:tcW w:type="dxa" w:w="6972"/>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Règle</w:t>
            </w:r>
          </w:p>
        </w:tc>
      </w:tr>
      <w:tr>
        <w:trPr>
          <w:cantSplit/>
        </w:trPr>
        <w:tc>
          <w:tcPr>
            <w:tcW w:type="dxa" w:w="266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Déclenchement</w:t>
            </w:r>
          </w:p>
        </w:tc>
        <w:tc>
          <w:tcPr>
            <w:tcW w:type="dxa" w:w="6972"/>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Catégorie A, ou investissement supérieur au seuil (10 M MAD par défaut)</w:t>
            </w:r>
          </w:p>
        </w:tc>
      </w:tr>
      <w:tr>
        <w:trPr>
          <w:cantSplit/>
        </w:trPr>
        <w:tc>
          <w:tcPr>
            <w:tcW w:type="dxa" w:w="266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Score de risque E&amp;S</w:t>
            </w:r>
          </w:p>
        </w:tc>
        <w:tc>
          <w:tcPr>
            <w:tcW w:type="dxa" w:w="6972"/>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100 × Σ gravités des risques ÷ Σ gravités des questions répondues</w:t>
            </w:r>
          </w:p>
        </w:tc>
      </w:tr>
      <w:tr>
        <w:trPr>
          <w:cantSplit/>
        </w:trPr>
        <w:tc>
          <w:tcPr>
            <w:tcW w:type="dxa" w:w="266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Niveaux de risque</w:t>
            </w:r>
          </w:p>
        </w:tc>
        <w:tc>
          <w:tcPr>
            <w:tcW w:type="dxa" w:w="6972"/>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Faible &lt; 15 ≤ Modéré &lt; 35 ≤ Élevé &lt; 60 ≤ Critique</w:t>
            </w:r>
          </w:p>
        </w:tc>
      </w:tr>
      <w:tr>
        <w:trPr>
          <w:cantSplit/>
        </w:trPr>
        <w:tc>
          <w:tcPr>
            <w:tcW w:type="dxa" w:w="266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Catégorie A</w:t>
            </w:r>
          </w:p>
        </w:tc>
        <w:tc>
          <w:tcPr>
            <w:tcW w:type="dxa" w:w="6972"/>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Niveau relevé d'un cran dès qu'un risque est non maîtrisé</w:t>
            </w:r>
          </w:p>
        </w:tc>
      </w:tr>
      <w:tr>
        <w:trPr>
          <w:cantSplit/>
        </w:trPr>
        <w:tc>
          <w:tcPr>
            <w:tcW w:type="dxa" w:w="266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Risque critique</w:t>
            </w:r>
          </w:p>
        </w:tc>
        <w:tc>
          <w:tcPr>
            <w:tcW w:type="dxa" w:w="6972"/>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Un risque de gravité 4 non maîtrisé porte le niveau au moins à Élevé</w:t>
            </w:r>
          </w:p>
        </w:tc>
      </w:tr>
      <w:tr>
        <w:trPr>
          <w:cantSplit/>
        </w:trPr>
        <w:tc>
          <w:tcPr>
            <w:tcW w:type="dxa" w:w="266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Score climat</w:t>
            </w:r>
          </w:p>
        </w:tc>
        <w:tc>
          <w:tcPr>
            <w:tcW w:type="dxa" w:w="6972"/>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0,6 × max + 0,4 × min (physique, transition)</w:t>
            </w:r>
          </w:p>
        </w:tc>
      </w:tr>
      <w:tr>
        <w:trPr>
          <w:cantSplit/>
        </w:trPr>
        <w:tc>
          <w:tcPr>
            <w:tcW w:type="dxa" w:w="266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Niveaux climat</w:t>
            </w:r>
          </w:p>
        </w:tc>
        <w:tc>
          <w:tcPr>
            <w:tcW w:type="dxa" w:w="6972"/>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Faible &lt; 25 ≤ Modéré &lt; 50 ≤ Élevé &lt; 75 ≤ Très élevé</w:t>
            </w:r>
          </w:p>
        </w:tc>
      </w:tr>
      <w:tr>
        <w:trPr>
          <w:cantSplit/>
        </w:trPr>
        <w:tc>
          <w:tcPr>
            <w:tcW w:type="dxa" w:w="266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Mot de passe</w:t>
            </w:r>
          </w:p>
        </w:tc>
        <w:tc>
          <w:tcPr>
            <w:tcW w:type="dxa" w:w="6972"/>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12 caractères minimum, majuscule, minuscule, chiffre, caractère spécial</w:t>
            </w:r>
          </w:p>
        </w:tc>
      </w:tr>
      <w:tr>
        <w:trPr>
          <w:cantSplit/>
        </w:trPr>
        <w:tc>
          <w:tcPr>
            <w:tcW w:type="dxa" w:w="266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Verrouillage</w:t>
            </w:r>
          </w:p>
        </w:tc>
        <w:tc>
          <w:tcPr>
            <w:tcW w:type="dxa" w:w="6972"/>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5 échecs : compte bloqué 15 minutes</w:t>
            </w:r>
          </w:p>
        </w:tc>
      </w:tr>
      <w:tr>
        <w:trPr>
          <w:cantSplit/>
        </w:trPr>
        <w:tc>
          <w:tcPr>
            <w:tcW w:type="dxa" w:w="266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Session</w:t>
            </w:r>
          </w:p>
        </w:tc>
        <w:tc>
          <w:tcPr>
            <w:tcW w:type="dxa" w:w="6972"/>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10 heures</w:t>
            </w:r>
          </w:p>
        </w:tc>
      </w:tr>
    </w:tbl>
    <w:p>
      <w:pPr>
        <w:spacing w:after="80"/>
      </w:pPr>
    </w:p>
    <w:p>
      <w:pPr>
        <w:pStyle w:val="Heading1"/>
        <w:pageBreakBefore/>
      </w:pPr>
      <w:bookmarkStart w:name="t62" w:id="1"/>
      <w:r>
        <w:rPr>
          <w:rFonts w:ascii="Arial" w:cs="Arial" w:eastAsia="Arial" w:hAnsi="Arial"/>
        </w:rPr>
        <w:t xml:space="preserve">Annexe D — Glossaire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7382"/>
      </w:tblGrid>
      <w:tr>
        <w:trPr>
          <w:cantSplit/>
          <w:tblHeader/>
        </w:trPr>
        <w:tc>
          <w:tcPr>
            <w:tcW w:type="dxa" w:w="2256"/>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Terme</w:t>
            </w:r>
          </w:p>
        </w:tc>
        <w:tc>
          <w:tcPr>
            <w:tcW w:type="dxa" w:w="7382"/>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Définition</w:t>
            </w:r>
          </w:p>
        </w:tc>
      </w:tr>
      <w:tr>
        <w:trPr>
          <w:cantSplit/>
        </w:trPr>
        <w:tc>
          <w:tcPr>
            <w:tcW w:type="dxa" w:w="225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BAM</w:t>
            </w:r>
          </w:p>
        </w:tc>
        <w:tc>
          <w:tcPr>
            <w:tcW w:type="dxa" w:w="7382"/>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Bank Al-Maghrib, banque centrale du Maroc</w:t>
            </w:r>
          </w:p>
        </w:tc>
      </w:tr>
      <w:tr>
        <w:trPr>
          <w:cantSplit/>
        </w:trPr>
        <w:tc>
          <w:tcPr>
            <w:tcW w:type="dxa" w:w="225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CBAM</w:t>
            </w:r>
          </w:p>
        </w:tc>
        <w:tc>
          <w:tcPr>
            <w:tcW w:type="dxa" w:w="7382"/>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Mécanisme d'ajustement carbone aux frontières de l'UE</w:t>
            </w:r>
          </w:p>
        </w:tc>
      </w:tr>
      <w:tr>
        <w:trPr>
          <w:cantSplit/>
        </w:trPr>
        <w:tc>
          <w:tcPr>
            <w:tcW w:type="dxa" w:w="225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CITI</w:t>
            </w:r>
          </w:p>
        </w:tc>
        <w:tc>
          <w:tcPr>
            <w:tcW w:type="dxa" w:w="7382"/>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Classification internationale type par industrie</w:t>
            </w:r>
          </w:p>
        </w:tc>
      </w:tr>
      <w:tr>
        <w:trPr>
          <w:cantSplit/>
        </w:trPr>
        <w:tc>
          <w:tcPr>
            <w:tcW w:type="dxa" w:w="225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E&amp;S</w:t>
            </w:r>
          </w:p>
        </w:tc>
        <w:tc>
          <w:tcPr>
            <w:tcW w:type="dxa" w:w="7382"/>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Environnemental et social</w:t>
            </w:r>
          </w:p>
        </w:tc>
      </w:tr>
      <w:tr>
        <w:trPr>
          <w:cantSplit/>
        </w:trPr>
        <w:tc>
          <w:tcPr>
            <w:tcW w:type="dxa" w:w="225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EIES / EIE</w:t>
            </w:r>
          </w:p>
        </w:tc>
        <w:tc>
          <w:tcPr>
            <w:tcW w:type="dxa" w:w="7382"/>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Étude d'impact environnemental et social</w:t>
            </w:r>
          </w:p>
        </w:tc>
      </w:tr>
      <w:tr>
        <w:trPr>
          <w:cantSplit/>
        </w:trPr>
        <w:tc>
          <w:tcPr>
            <w:tcW w:type="dxa" w:w="225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PGES</w:t>
            </w:r>
          </w:p>
        </w:tc>
        <w:tc>
          <w:tcPr>
            <w:tcW w:type="dxa" w:w="7382"/>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Plan de gestion environnementale et sociale</w:t>
            </w:r>
          </w:p>
        </w:tc>
      </w:tr>
      <w:tr>
        <w:trPr>
          <w:cantSplit/>
        </w:trPr>
        <w:tc>
          <w:tcPr>
            <w:tcW w:type="dxa" w:w="225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PCAF</w:t>
            </w:r>
          </w:p>
        </w:tc>
        <w:tc>
          <w:tcPr>
            <w:tcW w:type="dxa" w:w="7382"/>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Partnership for Carbon Accounting Financials : comptabilisation des émissions financées</w:t>
            </w:r>
          </w:p>
        </w:tc>
      </w:tr>
      <w:tr>
        <w:trPr>
          <w:cantSplit/>
        </w:trPr>
        <w:tc>
          <w:tcPr>
            <w:tcW w:type="dxa" w:w="225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RSE</w:t>
            </w:r>
          </w:p>
        </w:tc>
        <w:tc>
          <w:tcPr>
            <w:tcW w:type="dxa" w:w="7382"/>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Responsabilité sociétale des entreprises</w:t>
            </w:r>
          </w:p>
        </w:tc>
      </w:tr>
      <w:tr>
        <w:trPr>
          <w:cantSplit/>
        </w:trPr>
        <w:tc>
          <w:tcPr>
            <w:tcW w:type="dxa" w:w="225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SFI</w:t>
            </w:r>
          </w:p>
        </w:tc>
        <w:tc>
          <w:tcPr>
            <w:tcW w:type="dxa" w:w="7382"/>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Société financière internationale (IFC)</w:t>
            </w:r>
          </w:p>
        </w:tc>
      </w:tr>
      <w:tr>
        <w:trPr>
          <w:cantSplit/>
        </w:trPr>
        <w:tc>
          <w:tcPr>
            <w:tcW w:type="dxa" w:w="2256"/>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TCFD / ISSB S2</w:t>
            </w:r>
          </w:p>
        </w:tc>
        <w:tc>
          <w:tcPr>
            <w:tcW w:type="dxa" w:w="7382"/>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Référentiels d'information sur les risques climatiques</w:t>
            </w:r>
          </w:p>
        </w:tc>
      </w:tr>
      <w:tr>
        <w:trPr>
          <w:cantSplit/>
        </w:trPr>
        <w:tc>
          <w:tcPr>
            <w:tcW w:type="dxa" w:w="2256"/>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Risque résiduel</w:t>
            </w:r>
          </w:p>
        </w:tc>
        <w:tc>
          <w:tcPr>
            <w:tcW w:type="dxa" w:w="7382"/>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Risque subsistant après prise en compte des mesures de contrôle en place</w:t>
            </w:r>
          </w:p>
        </w:tc>
      </w:tr>
    </w:tbl>
    <w:p>
      <w:pPr>
        <w:spacing w:after="80"/>
      </w:pPr>
    </w:p>
    <w:p>
      <w:pPr>
        <w:pStyle w:val="Heading1"/>
        <w:pageBreakBefore/>
      </w:pPr>
      <w:bookmarkStart w:name="t63" w:id="1"/>
      <w:r>
        <w:rPr>
          <w:rFonts w:ascii="Arial" w:cs="Arial" w:eastAsia="Arial" w:hAnsi="Arial"/>
        </w:rPr>
        <w:t xml:space="preserve">Annexe E — Questions fréquentes et dépannage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81"/>
        <w:gridCol w:w="6357"/>
      </w:tblGrid>
      <w:tr>
        <w:trPr>
          <w:cantSplit/>
          <w:tblHeader/>
        </w:trPr>
        <w:tc>
          <w:tcPr>
            <w:tcW w:type="dxa" w:w="3281"/>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Problème</w:t>
            </w:r>
          </w:p>
        </w:tc>
        <w:tc>
          <w:tcPr>
            <w:tcW w:type="dxa" w:w="6357"/>
            <w:tcBorders>
              <w:top w:val="single" w:color="CBD5D0" w:sz="4"/>
              <w:left w:val="single" w:color="CBD5D0" w:sz="4"/>
              <w:bottom w:val="single" w:color="CBD5D0" w:sz="4"/>
              <w:right w:val="single" w:color="CBD5D0" w:sz="4"/>
            </w:tcBorders>
            <w:shd w:fill="115E4A" w:color="auto" w:val="clear"/>
            <w:tcMar>
              <w:top w:type="dxa" w:w="60"/>
              <w:left w:type="dxa" w:w="100"/>
              <w:bottom w:type="dxa" w:w="60"/>
              <w:right w:type="dxa" w:w="100"/>
            </w:tcMar>
            <w:vAlign w:val="center"/>
          </w:tcPr>
          <w:p>
            <w:pPr>
              <w:spacing w:after="20" w:line="258"/>
            </w:pPr>
            <w:r>
              <w:rPr>
                <w:rFonts w:ascii="Arial" w:cs="Arial" w:eastAsia="Arial" w:hAnsi="Arial"/>
                <w:b/>
                <w:bCs/>
                <w:color w:val="FFFFFF"/>
                <w:sz w:val="19"/>
                <w:szCs w:val="19"/>
              </w:rPr>
              <w:t xml:space="preserve">Solution</w:t>
            </w:r>
          </w:p>
        </w:tc>
      </w:tr>
      <w:tr>
        <w:trPr>
          <w:cantSplit/>
        </w:trPr>
        <w:tc>
          <w:tcPr>
            <w:tcW w:type="dxa" w:w="328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Je ne peux pas me connecter</w:t>
            </w:r>
          </w:p>
        </w:tc>
        <w:tc>
          <w:tcPr>
            <w:tcW w:type="dxa" w:w="6357"/>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Vérifiez l'identifiant et le mot de passe. Après 5 échecs, le compte est bloqué 15 minutes ; sinon contactez l'administrateur.</w:t>
            </w:r>
          </w:p>
        </w:tc>
      </w:tr>
      <w:tr>
        <w:trPr>
          <w:cantSplit/>
        </w:trPr>
        <w:tc>
          <w:tcPr>
            <w:tcW w:type="dxa" w:w="328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Le bouton « Soumettre à validation » est grisé</w:t>
            </w:r>
          </w:p>
        </w:tc>
        <w:tc>
          <w:tcPr>
            <w:tcW w:type="dxa" w:w="6357"/>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Ouvrez Fiche &amp; validation : la liste « Avant de soumettre » indique ce qui manque.</w:t>
            </w:r>
          </w:p>
        </w:tc>
      </w:tr>
      <w:tr>
        <w:trPr>
          <w:cantSplit/>
        </w:trPr>
        <w:tc>
          <w:tcPr>
            <w:tcW w:type="dxa" w:w="328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Je ne trouve pas un dossier</w:t>
            </w:r>
          </w:p>
        </w:tc>
        <w:tc>
          <w:tcPr>
            <w:tcW w:type="dxa" w:w="6357"/>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Votre périmètre est limité à votre entité et ses filiales ; vérifiez les filtres.</w:t>
            </w:r>
          </w:p>
        </w:tc>
      </w:tr>
      <w:tr>
        <w:trPr>
          <w:cantSplit/>
        </w:trPr>
        <w:tc>
          <w:tcPr>
            <w:tcW w:type="dxa" w:w="328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L'import de la signalétique est indisponible</w:t>
            </w:r>
          </w:p>
        </w:tc>
        <w:tc>
          <w:tcPr>
            <w:tcW w:type="dxa" w:w="6357"/>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Il faut saisir les 20 chiffres du compte ; le mode (simulation, api) est fixé par l'administrateur.</w:t>
            </w:r>
          </w:p>
        </w:tc>
      </w:tr>
      <w:tr>
        <w:trPr>
          <w:cantSplit/>
        </w:trPr>
        <w:tc>
          <w:tcPr>
            <w:tcW w:type="dxa" w:w="328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Je ne peux pas changer la catégorie</w:t>
            </w:r>
          </w:p>
        </w:tc>
        <w:tc>
          <w:tcPr>
            <w:tcW w:type="dxa" w:w="6357"/>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Seul le Responsable RSE peut reclasser.</w:t>
            </w:r>
          </w:p>
        </w:tc>
      </w:tr>
      <w:tr>
        <w:trPr>
          <w:cantSplit/>
        </w:trPr>
        <w:tc>
          <w:tcPr>
            <w:tcW w:type="dxa" w:w="328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Un fichier est refusé</w:t>
            </w:r>
          </w:p>
        </w:tc>
        <w:tc>
          <w:tcPr>
            <w:tcW w:type="dxa" w:w="6357"/>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Formats autorisés : PDF, images, Word, Excel, texte ; 10 Mo maximum.</w:t>
            </w:r>
          </w:p>
        </w:tc>
      </w:tr>
      <w:tr>
        <w:trPr>
          <w:cantSplit/>
        </w:trPr>
        <w:tc>
          <w:tcPr>
            <w:tcW w:type="dxa" w:w="3281"/>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Message « modifications non enregistrées »</w:t>
            </w:r>
          </w:p>
        </w:tc>
        <w:tc>
          <w:tcPr>
            <w:tcW w:type="dxa" w:w="6357"/>
            <w:tcBorders>
              <w:top w:val="single" w:color="CBD5D0" w:sz="4"/>
              <w:left w:val="single" w:color="CBD5D0" w:sz="4"/>
              <w:bottom w:val="single" w:color="CBD5D0" w:sz="4"/>
              <w:right w:val="single" w:color="CBD5D0" w:sz="4"/>
            </w:tcBorders>
            <w:shd w:fill="FFFFFF"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Cliquez sur Enregistrer avant de changer de volet.</w:t>
            </w:r>
          </w:p>
        </w:tc>
      </w:tr>
      <w:tr>
        <w:trPr>
          <w:cantSplit/>
        </w:trPr>
        <w:tc>
          <w:tcPr>
            <w:tcW w:type="dxa" w:w="3281"/>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La date s'affiche mal</w:t>
            </w:r>
          </w:p>
        </w:tc>
        <w:tc>
          <w:tcPr>
            <w:tcW w:type="dxa" w:w="6357"/>
            <w:tcBorders>
              <w:top w:val="single" w:color="CBD5D0" w:sz="4"/>
              <w:left w:val="single" w:color="CBD5D0" w:sz="4"/>
              <w:bottom w:val="single" w:color="CBD5D0" w:sz="4"/>
              <w:right w:val="single" w:color="CBD5D0" w:sz="4"/>
            </w:tcBorders>
            <w:shd w:fill="F4F8F6" w:color="auto" w:val="clear"/>
            <w:tcMar>
              <w:top w:type="dxa" w:w="60"/>
              <w:left w:type="dxa" w:w="100"/>
              <w:bottom w:type="dxa" w:w="60"/>
              <w:right w:type="dxa" w:w="100"/>
            </w:tcMar>
            <w:vAlign w:val="center"/>
          </w:tcPr>
          <w:p>
            <w:pPr>
              <w:spacing w:after="20" w:line="258"/>
            </w:pPr>
            <w:r>
              <w:rPr>
                <w:rFonts w:ascii="Arial" w:cs="Arial" w:eastAsia="Arial" w:hAnsi="Arial"/>
                <w:sz w:val="19"/>
                <w:szCs w:val="19"/>
              </w:rPr>
              <w:t xml:space="preserve">Elle suit la langue du navigateur ; vérifiez sa langue.</w:t>
            </w:r>
          </w:p>
        </w:tc>
      </w:tr>
    </w:tbl>
    <w:p>
      <w:pPr>
        <w:spacing w:after="80"/>
      </w:pPr>
    </w:p>
    <w:p>
      <w:pPr>
        <w:pStyle w:val="Heading1"/>
        <w:pageBreakBefore/>
      </w:pPr>
      <w:bookmarkStart w:name="t64" w:id="1"/>
      <w:r>
        <w:rPr>
          <w:rFonts w:ascii="Arial" w:cs="Arial" w:eastAsia="Arial" w:hAnsi="Arial"/>
        </w:rPr>
        <w:t xml:space="preserve">Annexe F — Fiches mémo par rôle</w:t>
      </w:r>
      <w:bookmarkEnd w:id="1"/>
    </w:p>
    <w:p>
      <w:pPr>
        <w:pStyle w:val="Heading3"/>
        <w:keepNext/>
      </w:pPr>
      <w:r>
        <w:rPr>
          <w:rFonts w:ascii="Arial" w:cs="Arial" w:eastAsia="Arial" w:hAnsi="Arial"/>
        </w:rPr>
        <w:t xml:space="preserve">Chargé d'affaires</w:t>
      </w:r>
    </w:p>
    <w:p>
      <w:pPr>
        <w:pStyle w:val="ListParagraph"/>
        <w:numPr>
          <w:ilvl w:val="0"/>
          <w:numId w:val="3"/>
        </w:numPr>
        <w:spacing w:after="60" w:line="276"/>
      </w:pPr>
      <w:r>
        <w:rPr>
          <w:rFonts w:ascii="Arial" w:cs="Arial" w:eastAsia="Arial" w:hAnsi="Arial"/>
        </w:rPr>
        <w:t xml:space="preserve">Créer l'évaluation : client, type de crédit, secteur, montants, région.</w:t>
      </w:r>
    </w:p>
    <w:p>
      <w:pPr>
        <w:pStyle w:val="ListParagraph"/>
        <w:numPr>
          <w:ilvl w:val="0"/>
          <w:numId w:val="3"/>
        </w:numPr>
        <w:spacing w:after="60" w:line="276"/>
      </w:pPr>
      <w:r>
        <w:rPr>
          <w:rFonts w:ascii="Arial" w:cs="Arial" w:eastAsia="Arial" w:hAnsi="Arial"/>
        </w:rPr>
        <w:t xml:space="preserve">Liste d'exclusion : répondre à tous les critères.</w:t>
      </w:r>
    </w:p>
    <w:p>
      <w:pPr>
        <w:pStyle w:val="ListParagraph"/>
        <w:numPr>
          <w:ilvl w:val="0"/>
          <w:numId w:val="3"/>
        </w:numPr>
        <w:spacing w:after="60" w:line="276"/>
      </w:pPr>
      <w:r>
        <w:rPr>
          <w:rFonts w:ascii="Arial" w:cs="Arial" w:eastAsia="Arial" w:hAnsi="Arial"/>
        </w:rPr>
        <w:t xml:space="preserve">Catégorisation : répondre aux 25 éléments.</w:t>
      </w:r>
    </w:p>
    <w:p>
      <w:pPr>
        <w:pStyle w:val="ListParagraph"/>
        <w:numPr>
          <w:ilvl w:val="0"/>
          <w:numId w:val="3"/>
        </w:numPr>
        <w:spacing w:after="60" w:line="276"/>
      </w:pPr>
      <w:r>
        <w:rPr>
          <w:rFonts w:ascii="Arial" w:cs="Arial" w:eastAsia="Arial" w:hAnsi="Arial"/>
        </w:rPr>
        <w:t xml:space="preserve">Check-list E&amp;S : répondre, commenter, enregistrer.</w:t>
      </w:r>
    </w:p>
    <w:p>
      <w:pPr>
        <w:pStyle w:val="ListParagraph"/>
        <w:numPr>
          <w:ilvl w:val="0"/>
          <w:numId w:val="3"/>
        </w:numPr>
        <w:spacing w:after="60" w:line="276"/>
      </w:pPr>
      <w:r>
        <w:rPr>
          <w:rFonts w:ascii="Arial" w:cs="Arial" w:eastAsia="Arial" w:hAnsi="Arial"/>
        </w:rPr>
        <w:t xml:space="preserve">Climat : ajuster les aléas, sensibilité, transition.</w:t>
      </w:r>
    </w:p>
    <w:p>
      <w:pPr>
        <w:pStyle w:val="ListParagraph"/>
        <w:numPr>
          <w:ilvl w:val="0"/>
          <w:numId w:val="3"/>
        </w:numPr>
        <w:spacing w:after="60" w:line="276"/>
      </w:pPr>
      <w:r>
        <w:rPr>
          <w:rFonts w:ascii="Arial" w:cs="Arial" w:eastAsia="Arial" w:hAnsi="Arial"/>
        </w:rPr>
        <w:t xml:space="preserve">Plan d'actions : négocier chaque action avec le client.</w:t>
      </w:r>
    </w:p>
    <w:p>
      <w:pPr>
        <w:pStyle w:val="ListParagraph"/>
        <w:numPr>
          <w:ilvl w:val="0"/>
          <w:numId w:val="3"/>
        </w:numPr>
        <w:spacing w:after="60" w:line="276"/>
      </w:pPr>
      <w:r>
        <w:rPr>
          <w:rFonts w:ascii="Arial" w:cs="Arial" w:eastAsia="Arial" w:hAnsi="Arial"/>
        </w:rPr>
        <w:t xml:space="preserve">Joindre les pièces (EIES en catégorie A).</w:t>
      </w:r>
    </w:p>
    <w:p>
      <w:pPr>
        <w:pStyle w:val="ListParagraph"/>
        <w:numPr>
          <w:ilvl w:val="0"/>
          <w:numId w:val="3"/>
        </w:numPr>
        <w:spacing w:after="60" w:line="276"/>
      </w:pPr>
      <w:r>
        <w:rPr>
          <w:rFonts w:ascii="Arial" w:cs="Arial" w:eastAsia="Arial" w:hAnsi="Arial"/>
        </w:rPr>
        <w:t xml:space="preserve">Fiche &amp; validation : traiter la liste, puis soumettre.</w:t>
      </w:r>
    </w:p>
    <w:p>
      <w:pPr>
        <w:pStyle w:val="Heading3"/>
        <w:keepNext/>
      </w:pPr>
      <w:r>
        <w:rPr>
          <w:rFonts w:ascii="Arial" w:cs="Arial" w:eastAsia="Arial" w:hAnsi="Arial"/>
        </w:rPr>
        <w:t xml:space="preserve">Directeur</w:t>
      </w:r>
    </w:p>
    <w:p>
      <w:pPr>
        <w:pStyle w:val="ListParagraph"/>
        <w:numPr>
          <w:ilvl w:val="0"/>
          <w:numId w:val="4"/>
        </w:numPr>
        <w:spacing w:after="60" w:line="276"/>
      </w:pPr>
      <w:r>
        <w:rPr>
          <w:rFonts w:ascii="Arial" w:cs="Arial" w:eastAsia="Arial" w:hAnsi="Arial"/>
        </w:rPr>
        <w:t xml:space="preserve">Ouvrir le dossier « À valider ».</w:t>
      </w:r>
    </w:p>
    <w:p>
      <w:pPr>
        <w:pStyle w:val="ListParagraph"/>
        <w:numPr>
          <w:ilvl w:val="0"/>
          <w:numId w:val="4"/>
        </w:numPr>
        <w:spacing w:after="60" w:line="276"/>
      </w:pPr>
      <w:r>
        <w:rPr>
          <w:rFonts w:ascii="Arial" w:cs="Arial" w:eastAsia="Arial" w:hAnsi="Arial"/>
        </w:rPr>
        <w:t xml:space="preserve">Relire la fiche et les risques non maîtrisés.</w:t>
      </w:r>
    </w:p>
    <w:p>
      <w:pPr>
        <w:pStyle w:val="ListParagraph"/>
        <w:numPr>
          <w:ilvl w:val="0"/>
          <w:numId w:val="4"/>
        </w:numPr>
        <w:spacing w:after="60" w:line="276"/>
      </w:pPr>
      <w:r>
        <w:rPr>
          <w:rFonts w:ascii="Arial" w:cs="Arial" w:eastAsia="Arial" w:hAnsi="Arial"/>
        </w:rPr>
        <w:t xml:space="preserve">Valider ou retourner avec un motif.</w:t>
      </w:r>
    </w:p>
    <w:p>
      <w:pPr>
        <w:pStyle w:val="ListParagraph"/>
        <w:numPr>
          <w:ilvl w:val="0"/>
          <w:numId w:val="4"/>
        </w:numPr>
        <w:spacing w:after="60" w:line="276"/>
      </w:pPr>
      <w:r>
        <w:rPr>
          <w:rFonts w:ascii="Arial" w:cs="Arial" w:eastAsia="Arial" w:hAnsi="Arial"/>
        </w:rPr>
        <w:t xml:space="preserve">Faire enregistrer la décision du comité.</w:t>
      </w:r>
    </w:p>
    <w:p>
      <w:pPr>
        <w:pStyle w:val="Heading3"/>
        <w:keepNext/>
      </w:pPr>
      <w:r>
        <w:rPr>
          <w:rFonts w:ascii="Arial" w:cs="Arial" w:eastAsia="Arial" w:hAnsi="Arial"/>
        </w:rPr>
        <w:t xml:space="preserve">Responsable RSE</w:t>
      </w:r>
    </w:p>
    <w:p>
      <w:pPr>
        <w:pStyle w:val="ListParagraph"/>
        <w:numPr>
          <w:ilvl w:val="0"/>
          <w:numId w:val="5"/>
        </w:numPr>
        <w:spacing w:after="60" w:line="276"/>
      </w:pPr>
      <w:r>
        <w:rPr>
          <w:rFonts w:ascii="Arial" w:cs="Arial" w:eastAsia="Arial" w:hAnsi="Arial"/>
        </w:rPr>
        <w:t xml:space="preserve">Consulter les notifications (catégorie A, exclusion).</w:t>
      </w:r>
    </w:p>
    <w:p>
      <w:pPr>
        <w:pStyle w:val="ListParagraph"/>
        <w:numPr>
          <w:ilvl w:val="0"/>
          <w:numId w:val="5"/>
        </w:numPr>
        <w:spacing w:after="60" w:line="276"/>
      </w:pPr>
      <w:r>
        <w:rPr>
          <w:rFonts w:ascii="Arial" w:cs="Arial" w:eastAsia="Arial" w:hAnsi="Arial"/>
        </w:rPr>
        <w:t xml:space="preserve">Contrôler la catégorie et reclasser si nécessaire, avec justification.</w:t>
      </w:r>
    </w:p>
    <w:p>
      <w:pPr>
        <w:pStyle w:val="ListParagraph"/>
        <w:numPr>
          <w:ilvl w:val="0"/>
          <w:numId w:val="5"/>
        </w:numPr>
        <w:spacing w:after="60" w:line="276"/>
      </w:pPr>
      <w:r>
        <w:rPr>
          <w:rFonts w:ascii="Arial" w:cs="Arial" w:eastAsia="Arial" w:hAnsi="Arial"/>
        </w:rPr>
        <w:t xml:space="preserve">Suivre le reporting et le climat du portefeuille.</w:t>
      </w:r>
    </w:p>
    <w:p>
      <w:pPr>
        <w:pStyle w:val="Heading3"/>
        <w:keepNext/>
      </w:pPr>
      <w:r>
        <w:rPr>
          <w:rFonts w:ascii="Arial" w:cs="Arial" w:eastAsia="Arial" w:hAnsi="Arial"/>
        </w:rPr>
        <w:t xml:space="preserve">Administrateur</w:t>
      </w:r>
    </w:p>
    <w:p>
      <w:pPr>
        <w:pStyle w:val="ListParagraph"/>
        <w:numPr>
          <w:ilvl w:val="0"/>
          <w:numId w:val="6"/>
        </w:numPr>
        <w:spacing w:after="60" w:line="276"/>
      </w:pPr>
      <w:r>
        <w:rPr>
          <w:rFonts w:ascii="Arial" w:cs="Arial" w:eastAsia="Arial" w:hAnsi="Arial"/>
        </w:rPr>
        <w:t xml:space="preserve">Créer les entités et les utilisateurs.</w:t>
      </w:r>
    </w:p>
    <w:p>
      <w:pPr>
        <w:pStyle w:val="ListParagraph"/>
        <w:numPr>
          <w:ilvl w:val="0"/>
          <w:numId w:val="6"/>
        </w:numPr>
        <w:spacing w:after="60" w:line="276"/>
      </w:pPr>
      <w:r>
        <w:rPr>
          <w:rFonts w:ascii="Arial" w:cs="Arial" w:eastAsia="Arial" w:hAnsi="Arial"/>
        </w:rPr>
        <w:t xml:space="preserve">Ajuster les rôles et les paramètres.</w:t>
      </w:r>
    </w:p>
    <w:p>
      <w:pPr>
        <w:pStyle w:val="ListParagraph"/>
        <w:numPr>
          <w:ilvl w:val="0"/>
          <w:numId w:val="6"/>
        </w:numPr>
        <w:spacing w:after="60" w:line="276"/>
      </w:pPr>
      <w:r>
        <w:rPr>
          <w:rFonts w:ascii="Arial" w:cs="Arial" w:eastAsia="Arial" w:hAnsi="Arial"/>
        </w:rPr>
        <w:t xml:space="preserve">Maintenir les questionnaires, référentiels, devises et taux.</w:t>
      </w:r>
    </w:p>
    <w:p>
      <w:pPr>
        <w:pStyle w:val="ListParagraph"/>
        <w:numPr>
          <w:ilvl w:val="0"/>
          <w:numId w:val="6"/>
        </w:numPr>
        <w:spacing w:after="60" w:line="276"/>
      </w:pPr>
      <w:r>
        <w:rPr>
          <w:rFonts w:ascii="Arial" w:cs="Arial" w:eastAsia="Arial" w:hAnsi="Arial"/>
        </w:rPr>
        <w:t xml:space="preserve">Surveiller le journal d'audit.</w:t>
      </w:r>
    </w:p>
    <w:sectPr>
      <w:headerReference w:type="default" r:id="rId7"/>
      <w:footerReference w:type="default" r:id="rId8"/>
      <w:pgSz w:w="11906" w:h="16838" w:orient="portrait"/>
      <w:pgMar w:top="1300" w:right="1134" w:bottom="1200" w:left="1134" w:header="60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5B6560"/>
        <w:sz w:val="17"/>
        <w:szCs w:val="17"/>
      </w:rPr>
      <w:t xml:space="preserve">Document interne · Octobre 2026</w:t>
    </w:r>
    <w:r>
      <w:rPr>
        <w:rFonts w:ascii="Arial" w:cs="Arial" w:eastAsia="Arial" w:hAnsi="Arial"/>
        <w:color w:val="5B6560"/>
        <w:sz w:val="17"/>
        <w:szCs w:val="17"/>
      </w:rPr>
      <w:t xml:space="preserve">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D0" w:sz="6" w:space="4"/>
      </w:pBdr>
    </w:pPr>
    <w:r>
      <w:rPr>
        <w:rFonts w:ascii="Arial" w:cs="Arial" w:eastAsia="Arial" w:hAnsi="Arial"/>
        <w:color w:val="5B6560"/>
        <w:sz w:val="17"/>
        <w:szCs w:val="17"/>
      </w:rPr>
      <w:t xml:space="preserve">SGES — Guide 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115E4A"/>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rPr>
        <w:b/>
        <w:bCs/>
        <w:color w:val="115E4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15E4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2A26"/>
      <w:sz w:val="27"/>
      <w:szCs w:val="27"/>
    </w:rPr>
  </w:style>
  <w:style w:type="paragraph" w:styleId="Heading3">
    <w:name w:val="Heading 3"/>
    <w:basedOn w:val="Normal"/>
    <w:next w:val="Normal"/>
    <w:qFormat/>
    <w:pPr>
      <w:spacing w:after="80" w:before="200"/>
      <w:outlineLvl w:val="2"/>
    </w:pPr>
    <w:rPr>
      <w:rFonts w:ascii="Arial" w:cs="Arial" w:eastAsia="Arial" w:hAnsi="Arial"/>
      <w:b/>
      <w:bCs/>
      <w:color w:val="115E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d3ba27ce6b947b44b55b7c47f250661e8647c1.png"/><Relationship Id="rId10" Type="http://schemas.openxmlformats.org/officeDocument/2006/relationships/image" Target="media/d1fe0441880fafc5b201ec1c1376e680698f444b.png"/><Relationship Id="rId11" Type="http://schemas.openxmlformats.org/officeDocument/2006/relationships/image" Target="media/0bf11da7ed663c9b5dd44f2ceef78d1b67f71672.png"/><Relationship Id="rId12" Type="http://schemas.openxmlformats.org/officeDocument/2006/relationships/image" Target="media/8ed2c250a5c9a2a1b2391a524e28c81c0f59df29.png"/><Relationship Id="rId13" Type="http://schemas.openxmlformats.org/officeDocument/2006/relationships/image" Target="media/f95d6c8d5bbbf46fd2ad3ab2046dfb4122857de1.png"/><Relationship Id="rId14" Type="http://schemas.openxmlformats.org/officeDocument/2006/relationships/image" Target="media/b0d1a46fcc459f5224eca67455740151d0c9201d.png"/><Relationship Id="rId15" Type="http://schemas.openxmlformats.org/officeDocument/2006/relationships/image" Target="media/fc7625354211bd6c2831af7457ea1e79c44776b2.png"/><Relationship Id="rId16" Type="http://schemas.openxmlformats.org/officeDocument/2006/relationships/image" Target="media/d31c89a106728adaa45f0d39613c2aca8f87fd41.png"/><Relationship Id="rId17" Type="http://schemas.openxmlformats.org/officeDocument/2006/relationships/image" Target="media/f2fda6b0e5430dda106f3026c7feef6d364eca01.png"/><Relationship Id="rId18" Type="http://schemas.openxmlformats.org/officeDocument/2006/relationships/image" Target="media/1e613c73daa0cbb3dc49f27fbf4ad0c37ec9aea4.png"/><Relationship Id="rId19" Type="http://schemas.openxmlformats.org/officeDocument/2006/relationships/image" Target="media/02fd8658de5479ccb424b63a7bf878d2b816c257.png"/><Relationship Id="rId20" Type="http://schemas.openxmlformats.org/officeDocument/2006/relationships/image" Target="media/1ab4372c02e236b9db859e9d9bd9797890dd6eb1.png"/><Relationship Id="rId21" Type="http://schemas.openxmlformats.org/officeDocument/2006/relationships/image" Target="media/38d594aec451eebc2c38e52bfc38cb8ef07b9270.png"/><Relationship Id="rId22" Type="http://schemas.openxmlformats.org/officeDocument/2006/relationships/image" Target="media/9f3aab122b10ce8827bc7db9c3f2fe85a9032324.png"/><Relationship Id="rId23" Type="http://schemas.openxmlformats.org/officeDocument/2006/relationships/image" Target="media/d39e55856d66b5d143ffe69f3ea9419f81c600ab.png"/><Relationship Id="rId24" Type="http://schemas.openxmlformats.org/officeDocument/2006/relationships/image" Target="media/cd16caf74a7b41286fcc2c388082dbe67a8b33b3.png"/><Relationship Id="rId25" Type="http://schemas.openxmlformats.org/officeDocument/2006/relationships/image" Target="media/ccd78a3502b8ef72a61fe4156cfd390b40d9501b.png"/><Relationship Id="rId26" Type="http://schemas.openxmlformats.org/officeDocument/2006/relationships/image" Target="media/64a17811df6beb82d655b3eec96c7043a29f80b7.png"/><Relationship Id="rId27" Type="http://schemas.openxmlformats.org/officeDocument/2006/relationships/image" Target="media/467811072e46d999fd2d0893d5c335c9a6fd9984.png"/><Relationship Id="rId28" Type="http://schemas.openxmlformats.org/officeDocument/2006/relationships/image" Target="media/29a1dd145305f592a89e904db9b03f3e454d55bd.png"/><Relationship Id="rId29" Type="http://schemas.openxmlformats.org/officeDocument/2006/relationships/image" Target="media/ae86fedcbf89b75c27e7c4d5f73fd2b89e27caef.png"/><Relationship Id="rId30" Type="http://schemas.openxmlformats.org/officeDocument/2006/relationships/image" Target="media/dbeef210293f9df8f2106d07ef6c996a3e95f79d.png"/><Relationship Id="rId31" Type="http://schemas.openxmlformats.org/officeDocument/2006/relationships/image" Target="media/f841f2b70e5a1414c541fe0ae69c697dd5708201.png"/><Relationship Id="rId32" Type="http://schemas.openxmlformats.org/officeDocument/2006/relationships/image" Target="media/f0b7f06d09a02a8f1c4becd35f8f963e5b152bd4.png"/><Relationship Id="rId33" Type="http://schemas.openxmlformats.org/officeDocument/2006/relationships/image" Target="media/e826fe8ff267c073f9adce76d8f26705342ebab4.png"/><Relationship Id="rId34" Type="http://schemas.openxmlformats.org/officeDocument/2006/relationships/image" Target="media/b075623f3c1b915b356b524f882432e23733eb32.png"/><Relationship Id="rId35" Type="http://schemas.openxmlformats.org/officeDocument/2006/relationships/image" Target="media/983948423b6db47f456e95e60f4880d7f03f633d.png"/><Relationship Id="rId36" Type="http://schemas.openxmlformats.org/officeDocument/2006/relationships/image" Target="media/7eeb5f98da10f6e0457aa54ff3fab3b6c04eaccf.png"/><Relationship Id="rId37" Type="http://schemas.openxmlformats.org/officeDocument/2006/relationships/image" Target="media/c4452a5a44cb8136bf4f2b64cb3c9cef288c5ced.png"/><Relationship Id="rId38" Type="http://schemas.openxmlformats.org/officeDocument/2006/relationships/image" Target="media/1e1cf2c0b78f333ba0c0ab00a5ce89bdb1d71aeb.png"/><Relationship Id="rId39" Type="http://schemas.openxmlformats.org/officeDocument/2006/relationships/image" Target="media/896382cb1ad0ac0e5ce32b35168d8f06c2107a50.png"/><Relationship Id="rId40" Type="http://schemas.openxmlformats.org/officeDocument/2006/relationships/image" Target="media/eee3597485b3fd3e7d02e5c0c27c211d1ca5febe.png"/><Relationship Id="rId41" Type="http://schemas.openxmlformats.org/officeDocument/2006/relationships/image" Target="media/e99a7deaaa3d7d3078faa508e906699835e7f01d.png"/><Relationship Id="rId42" Type="http://schemas.openxmlformats.org/officeDocument/2006/relationships/image" Target="media/5f5b4cdf393d8f552bc2c38d44fe9d939ab64739.png"/><Relationship Id="rId43" Type="http://schemas.openxmlformats.org/officeDocument/2006/relationships/image" Target="media/caffee018f74760a4867e2413a804f603f71b0a9.png"/><Relationship Id="rId44" Type="http://schemas.openxmlformats.org/officeDocument/2006/relationships/image" Target="media/76e9881ff10c25b4acc568305a87365b84ea4ec5.png"/><Relationship Id="rId45" Type="http://schemas.openxmlformats.org/officeDocument/2006/relationships/image" Target="media/3b38f377c092027990d0d0b60ef3889ef5906393.png"/><Relationship Id="rId46" Type="http://schemas.openxmlformats.org/officeDocument/2006/relationships/image" Target="media/0b73811da9609c725adb321fb469387cc292fb8f.png"/><Relationship Id="rId47" Type="http://schemas.openxmlformats.org/officeDocument/2006/relationships/image" Target="media/82dec7ba6d9e0b1a918c4674dbef7fcee5203b19.png"/><Relationship Id="rId48" Type="http://schemas.openxmlformats.org/officeDocument/2006/relationships/image" Target="media/868fc2751bd08684eea2f7742c7643da332251c5.png"/><Relationship Id="rId49" Type="http://schemas.openxmlformats.org/officeDocument/2006/relationships/image" Target="media/0bdab175469df4b4d68504e29badc5e6f7b2bb6b.png"/><Relationship Id="rId50" Type="http://schemas.openxmlformats.org/officeDocument/2006/relationships/image" Target="media/6097205f0aedaba727c5e8bae18df517322e4931.png"/><Relationship Id="rId51" Type="http://schemas.openxmlformats.org/officeDocument/2006/relationships/image" Target="media/dc3928e305522e764208b73ce1e59efc91233d17.png"/><Relationship Id="rId52" Type="http://schemas.openxmlformats.org/officeDocument/2006/relationships/image" Target="media/9fb6f9274a591410140b943d3c5f3367c1a9fbad.png"/><Relationship Id="rId53" Type="http://schemas.openxmlformats.org/officeDocument/2006/relationships/image" Target="media/f6fccbcea033e3115a347f36e0144a6cb98df2d1.png"/><Relationship Id="rId54" Type="http://schemas.openxmlformats.org/officeDocument/2006/relationships/image" Target="media/7baaba05e6b4b6e49e93aea66bac7e633174b18a.png"/><Relationship Id="rId55" Type="http://schemas.openxmlformats.org/officeDocument/2006/relationships/image" Target="media/608a5128365ccaf73bfe931f6522c30e4201b8e9.png"/><Relationship Id="rId56" Type="http://schemas.openxmlformats.org/officeDocument/2006/relationships/image" Target="media/4df67d1b60ffe737eb86957d1701c56866406b44.png"/><Relationship Id="rId57" Type="http://schemas.openxmlformats.org/officeDocument/2006/relationships/image" Target="media/498b5360e391cf8e14876ef3837cab4c9a171070.png"/><Relationship Id="rId58" Type="http://schemas.openxmlformats.org/officeDocument/2006/relationships/image" Target="media/b3723a70067025f65c307bc24db3ec8ce70d74db.png"/><Relationship Id="rId59" Type="http://schemas.openxmlformats.org/officeDocument/2006/relationships/image" Target="media/4d9145ce0d270603efe617d23e2f66f592683a30.png"/><Relationship Id="rId60" Type="http://schemas.openxmlformats.org/officeDocument/2006/relationships/image" Target="media/ac0876ba30123849584e0214f1d537f3b4d5b8c5.png"/><Relationship Id="rId61" Type="http://schemas.openxmlformats.org/officeDocument/2006/relationships/image" Target="media/de67ae559d39e9ad93ba14651eb0272f8d483676.png"/><Relationship Id="rId62" Type="http://schemas.openxmlformats.org/officeDocument/2006/relationships/image" Target="media/876c45f634d41064e176a03ebda45a8e644bdd71.png"/><Relationship Id="rId63" Type="http://schemas.openxmlformats.org/officeDocument/2006/relationships/image" Target="media/a36de3fae9bfe832355e4205d3e1105c128a3c8a.png"/><Relationship Id="rId64" Type="http://schemas.openxmlformats.org/officeDocument/2006/relationships/image" Target="media/b7721a0b1f90aa730f3a744060489d73d1425aa5.png"/><Relationship Id="rId65" Type="http://schemas.openxmlformats.org/officeDocument/2006/relationships/image" Target="media/8a3200087605a46646e67fe227bb9d0e10cb0c16.png"/><Relationship Id="rId66" Type="http://schemas.openxmlformats.org/officeDocument/2006/relationships/image" Target="media/8a86b89779638f39945d8c17d0fecd1530e9980a.png"/><Relationship Id="rId67" Type="http://schemas.openxmlformats.org/officeDocument/2006/relationships/image" Target="media/d0794b38e3ea45eee77228881925ed4dcabfe970.png"/><Relationship Id="rId68" Type="http://schemas.openxmlformats.org/officeDocument/2006/relationships/image" Target="media/0d5d562f8f1435b4ff2113aea5035d01e9229947.png"/><Relationship Id="rId69" Type="http://schemas.openxmlformats.org/officeDocument/2006/relationships/image" Target="media/de08e9a75b95f5f9104f86d6253499b6869d7173.png"/><Relationship Id="rId70" Type="http://schemas.openxmlformats.org/officeDocument/2006/relationships/image" Target="media/24821ce1ab1abd97eb68d97254d3bbbdb823ae93.png"/><Relationship Id="rId71" Type="http://schemas.openxmlformats.org/officeDocument/2006/relationships/image" Target="media/b6a2c416135561f2d3a01b60556af9956523db59.png"/><Relationship Id="rId72" Type="http://schemas.openxmlformats.org/officeDocument/2006/relationships/image" Target="media/af6e718330250afb8311b92bb923f9b7b65ac98d.png"/><Relationship Id="rId73" Type="http://schemas.openxmlformats.org/officeDocument/2006/relationships/image" Target="media/cb94e31bc0d8a8a1f9d0c378b3694ffd8048ecc9.png"/><Relationship Id="rId74" Type="http://schemas.openxmlformats.org/officeDocument/2006/relationships/image" Target="media/a5e03dcd5dbb8044fab73b8d0491643be95e78af.png"/><Relationship Id="rId75" Type="http://schemas.openxmlformats.org/officeDocument/2006/relationships/image" Target="media/1907b8aff106afd90fc89e1f63b4e3db437231a3.png"/><Relationship Id="rId76" Type="http://schemas.openxmlformats.org/officeDocument/2006/relationships/image" Target="media/f717e3f2d0ae186e7229ada9c7ec36312e7f9bd2.png"/><Relationship Id="rId77" Type="http://schemas.openxmlformats.org/officeDocument/2006/relationships/image" Target="media/1b2a8c1f5f153f88f0024da94d2fa869b16b731e.png"/><Relationship Id="rId78" Type="http://schemas.openxmlformats.org/officeDocument/2006/relationships/image" Target="media/55dea0f72db20f1f65e72450c08c31e5197afe3c.png"/><Relationship Id="rId79" Type="http://schemas.openxmlformats.org/officeDocument/2006/relationships/image" Target="media/29638cf31229ea78ecf98e323e8971a1d04312e6.png"/><Relationship Id="rId80" Type="http://schemas.openxmlformats.org/officeDocument/2006/relationships/image" Target="media/1062ddbd56b51f0abbfcafa0403d144a7ec0d62b.png"/><Relationship Id="rId81" Type="http://schemas.openxmlformats.org/officeDocument/2006/relationships/image" Target="media/29426da8007f38357eeda3755cf226a6f101773d.png"/><Relationship Id="rId82" Type="http://schemas.openxmlformats.org/officeDocument/2006/relationships/image" Target="media/767a0c4595f68bec32a36d586565730203d722c3.png"/><Relationship Id="rId83" Type="http://schemas.openxmlformats.org/officeDocument/2006/relationships/image" Target="media/3a15dd33062ffa0c93066593230ea4cafb2fc854.png"/><Relationship Id="rId84" Type="http://schemas.openxmlformats.org/officeDocument/2006/relationships/image" Target="media/619f888d6133a9a6560c61f2e721b8c34720d8c0.png"/><Relationship Id="rId85" Type="http://schemas.openxmlformats.org/officeDocument/2006/relationships/image" Target="media/4d3b9ba9e832e69e4b04df890ac59cc1d6e561b2.png"/><Relationship Id="rId86" Type="http://schemas.openxmlformats.org/officeDocument/2006/relationships/image" Target="media/ca60e9b5cb38a6a5f4eee34722e6d6050d753f93.png"/><Relationship Id="rId87" Type="http://schemas.openxmlformats.org/officeDocument/2006/relationships/image" Target="media/ba769a1d59b5acea76e2ac107f5de3e47f44870f.png"/><Relationship Id="rId88" Type="http://schemas.openxmlformats.org/officeDocument/2006/relationships/image" Target="media/34e90de821ae7709135dd12165d3f5199c7b80de.png"/><Relationship Id="rId89" Type="http://schemas.openxmlformats.org/officeDocument/2006/relationships/image" Target="media/bb99a2df0061bd0953516f21c77d6748ddc4d38b.png"/><Relationship Id="rId9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SGES — Guide utilisateur</dc:title>
  <dc:creator>SGES</dc:creator>
  <dc:description>Guide utilisateur du Système de Gestion Environnementale, Sociale et Climatique</dc:description>
  <cp:lastModifiedBy>Un-named</cp:lastModifiedBy>
  <cp:revision>1</cp:revision>
  <dcterms:created xsi:type="dcterms:W3CDTF">2026-10-25T13:56:35.507Z</dcterms:created>
  <dcterms:modified xsi:type="dcterms:W3CDTF">2026-10-25T13:56:35.507Z</dcterms:modified>
</cp:coreProperties>
</file>

<file path=docProps/custom.xml><?xml version="1.0" encoding="utf-8"?>
<Properties xmlns="http://schemas.openxmlformats.org/officeDocument/2006/custom-properties" xmlns:vt="http://schemas.openxmlformats.org/officeDocument/2006/docPropsVTypes"/>
</file>