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200"/>
        <w:jc w:val="left"/>
      </w:pPr>
      <w:r>
        <w:rPr>
          <w:rFonts w:ascii="Cambria" w:cs="Cambria" w:eastAsia="Cambria" w:hAnsi="Cambria"/>
          <w:b/>
          <w:bCs/>
          <w:color w:val="14213D"/>
          <w:sz w:val="48"/>
          <w:szCs w:val="48"/>
        </w:rPr>
        <w:t xml:space="preserve">Modèle de scoring Project Finance</w:t>
      </w:r>
    </w:p>
    <w:p>
      <w:pPr>
        <w:spacing w:after="600"/>
      </w:pPr>
      <w:r>
        <w:rPr>
          <w:color w:val="3D4A5C"/>
          <w:sz w:val="28"/>
          <w:szCs w:val="28"/>
        </w:rPr>
        <w:t xml:space="preserve">Discours de présentation — 7 diapositives, environ 15 minutes</w:t>
      </w:r>
    </w:p>
    <w:p>
      <w:pPr>
        <w:spacing w:after="140" w:line="300"/>
      </w:pPr>
      <w:r>
        <w:t xml:space="preserve">Ce document accompagne le support PowerPoint. Pour chaque diapositive, il donne le texte à dire, les points à retenir et la phrase de transition. Le texte est écrit pour l’oral : il se lit à voix haute, mais il gagne à être dit avec vos propres mots.</w:t>
      </w:r>
    </w:p>
    <w:p>
      <w:pPr>
        <w:spacing w:after="140" w:line="300"/>
      </w:pPr>
      <w:r>
        <w:rPr>
          <w:b/>
          <w:bCs/>
        </w:rPr>
        <w:t xml:space="preserve">Conseils de présentation. </w:t>
      </w:r>
      <w:r>
        <w:t xml:space="preserve">Comptez environ deux minutes par diapositive et gardez du temps pour les questions. Les chiffres présentés (poids, seuils, plafonds) sont les paramètres candidats du modèle : dites-le, pour que la discussion porte sur leur calibrage plutôt que sur leur caractère définitif.</w:t>
      </w:r>
    </w:p>
    <w:p>
      <w:pPr>
        <w:pStyle w:val="Heading1"/>
      </w:pPr>
      <w:r>
        <w:t xml:space="preserve">1. Ouverture</w:t>
      </w:r>
    </w:p>
    <w:p>
      <w:pPr>
        <w:spacing w:after="100"/>
      </w:pPr>
      <w:r>
        <w:rPr>
          <w:b/>
          <w:bCs/>
          <w:color w:val="B8862E"/>
        </w:rPr>
        <w:t xml:space="preserve">Diapositive 1</w:t>
      </w:r>
      <w:r>
        <w:rPr>
          <w:i/>
          <w:iCs/>
          <w:color w:val="3D4A5C"/>
        </w:rPr>
        <w:t xml:space="preserve">   ·   environ 1 minute</w:t>
      </w:r>
    </w:p>
    <w:p>
      <w:pPr>
        <w:spacing w:after="140" w:line="300"/>
      </w:pPr>
      <w:r>
        <w:t xml:space="preserve">Bonjour à toutes et à tous, et merci de votre présence.</w:t>
      </w:r>
    </w:p>
    <w:p>
      <w:pPr>
        <w:spacing w:after="140" w:line="300"/>
      </w:pPr>
      <w:r>
        <w:t xml:space="preserve">Je vais vous présenter aujourd’hui le modèle de scoring que nous proposons pour nos financements de projet. Son objet est simple à énoncer : donner à chaque dossier de project finance une note de 1 à 10, traduite en grade de AAA à D, fondée sur ce qui compte vraiment dans ce type de financement, c’est-à-dire les flux du projet et les protections dont dispose la banque.</w:t>
      </w:r>
    </w:p>
    <w:p>
      <w:pPr>
        <w:spacing w:after="140" w:line="300"/>
      </w:pPr>
      <w:r>
        <w:t xml:space="preserve">Ce modèle n’a pas été construit dans le vide. Il s’appuie sur trois références que vous connaissez : les critères bâlois de notation du financement de projet, les normes environnementales et sociales de la SFI et de la BERD, et les textes de Bank Al-Maghrib.</w:t>
      </w:r>
    </w:p>
    <w:p>
      <w:pPr>
        <w:spacing w:after="140" w:line="300"/>
      </w:pPr>
      <w:r>
        <w:t xml:space="preserve">Je commencerai par la question de fond : pourquoi noter un financement de projet est un exercice à part, en particulier au Maroc. Je dirai ensuite ce que le modèle apporte concrètement, avant d’entrer dans son fonctionnement.</w:t>
      </w:r>
    </w:p>
    <w:p>
      <w:pPr>
        <w:pBdr>
          <w:left w:val="single" w:color="B8862E" w:sz="12" w:space="8"/>
        </w:pBdr>
        <w:spacing w:after="240" w:before="120"/>
        <w:ind w:left="160"/>
      </w:pPr>
      <w:r>
        <w:rPr>
          <w:b/>
          <w:bCs/>
          <w:color w:val="B8862E"/>
        </w:rPr>
        <w:t xml:space="preserve">Transition — </w:t>
      </w:r>
      <w:r>
        <w:rPr>
          <w:i/>
          <w:iCs/>
        </w:rPr>
        <w:t xml:space="preserve">Commençons donc par le problème que nous cherchons à résoudre.</w:t>
      </w:r>
    </w:p>
    <w:p>
      <w:pPr>
        <w:pStyle w:val="Heading1"/>
      </w:pPr>
      <w:r>
        <w:t xml:space="preserve">2. La problématique : noter un financement de projet au Maroc</w:t>
      </w:r>
    </w:p>
    <w:p>
      <w:pPr>
        <w:spacing w:after="100"/>
      </w:pPr>
      <w:r>
        <w:rPr>
          <w:b/>
          <w:bCs/>
          <w:color w:val="B8862E"/>
        </w:rPr>
        <w:t xml:space="preserve">Diapositive 2</w:t>
      </w:r>
      <w:r>
        <w:rPr>
          <w:i/>
          <w:iCs/>
          <w:color w:val="3D4A5C"/>
        </w:rPr>
        <w:t xml:space="preserve">   ·   environ 3 minutes</w:t>
      </w:r>
    </w:p>
    <w:p>
      <w:pPr>
        <w:spacing w:after="140" w:line="300"/>
      </w:pPr>
      <w:r>
        <w:t xml:space="preserve">Le contexte d’abord. Le Maroc multiplie les grands projets : énergies renouvelables, dessalement de l’eau de mer, infrastructures de transport et portuaires, partenariats public-privé dans la santé ou l’éducation. Ces projets sont de plus en plus souvent financés en project finance, et les montants que les banques y engagent augmentent avec eux.</w:t>
      </w:r>
    </w:p>
    <w:p>
      <w:pPr>
        <w:spacing w:after="140" w:line="300"/>
      </w:pPr>
      <w:r>
        <w:rPr>
          <w:b/>
          <w:bCs/>
        </w:rPr>
        <w:t xml:space="preserve">Or un financement de projet est difficile à noter, pour trois raisons. </w:t>
      </w:r>
      <w:r>
        <w:t xml:space="preserve">La première : l’emprunteur est une société de projet créée pour l’occasion. Elle n’a ni historique ni bilan ; les ratios habituels d’une analyse d’entreprise n’ont pas de prise sur elle. La deuxième : la banque est remboursée par les seuls flux du projet, sur quinze ou vingt ans, et non par la solidité d’un groupe. La troisième : les risques changent avec la vie du projet. En construction, la question est de savoir si l’ouvrage sera livré à temps et au coût prévu ; en exploitation, elle devient celle des recettes, de la performance et des contreparties.</w:t>
      </w:r>
    </w:p>
    <w:p>
      <w:pPr>
        <w:spacing w:after="140" w:line="300"/>
      </w:pPr>
      <w:r>
        <w:rPr>
          <w:b/>
          <w:bCs/>
        </w:rPr>
        <w:t xml:space="preserve">Nos pratiques, ensuite, gagnent à être consolidées. </w:t>
      </w:r>
      <w:r>
        <w:t xml:space="preserve">Nous utilisons souvent des grilles conçues pour des entreprises, peu adaptées à ces dossiers. Le jugement d’expert reste central, et c’est une force, mais il est peu standardisé : deux analystes peuvent aboutir à deux notes différentes sur le même dossier, et il devient difficile de comparer une centrale solaire à une autoroute ou à un hôpital. Enfin, la justification de la note et sa traçabilité varient d’un dossier à l’autre.</w:t>
      </w:r>
    </w:p>
    <w:p>
      <w:pPr>
        <w:spacing w:after="140" w:line="300"/>
      </w:pPr>
      <w:r>
        <w:rPr>
          <w:b/>
          <w:bCs/>
        </w:rPr>
        <w:t xml:space="preserve">Enfin, les exigences montent. </w:t>
      </w:r>
      <w:r>
        <w:t xml:space="preserve">Le cadre bâlois fixe des critères précis pour la notation du financement de projet. Bank Al-Maghrib a publié des textes récents qui concernent directement ces dossiers, notamment sur la consortialisation des crédits et sur les risques climatiques des grands emprunteurs ; leur portée exacte est à confirmer avec la Conformité. Et les bailleurs internationaux qui cofinancent nos projets attendent le respect des normes environnementales et sociales de la SFI et de la BERD.</w:t>
      </w:r>
    </w:p>
    <w:p>
      <w:pPr>
        <w:spacing w:after="60" w:before="120"/>
      </w:pPr>
      <w:r>
        <w:rPr>
          <w:b/>
          <w:bCs/>
          <w:color w:val="14213D"/>
        </w:rPr>
        <w:t xml:space="preserve">À retenir</w:t>
      </w:r>
    </w:p>
    <w:p>
      <w:pPr>
        <w:pStyle w:val="ListParagraph"/>
        <w:numPr>
          <w:ilvl w:val="0"/>
          <w:numId w:val="2"/>
        </w:numPr>
        <w:spacing w:after="60"/>
      </w:pPr>
      <w:r>
        <w:t xml:space="preserve">Un financement de projet ne se note pas comme une entreprise : pas d’historique, remboursement par les seuls flux, risques qui changent avec la phase.</w:t>
      </w:r>
    </w:p>
    <w:p>
      <w:pPr>
        <w:pStyle w:val="ListParagraph"/>
        <w:numPr>
          <w:ilvl w:val="0"/>
          <w:numId w:val="2"/>
        </w:numPr>
        <w:spacing w:after="60"/>
      </w:pPr>
      <w:r>
        <w:t xml:space="preserve">Le jugement d’expert est indispensable mais doit être outillé pour être homogène et traçable.</w:t>
      </w:r>
    </w:p>
    <w:p>
      <w:pPr>
        <w:pStyle w:val="ListParagraph"/>
        <w:numPr>
          <w:ilvl w:val="0"/>
          <w:numId w:val="2"/>
        </w:numPr>
        <w:spacing w:after="60"/>
      </w:pPr>
      <w:r>
        <w:t xml:space="preserve">Les exigences réglementaires et des bailleurs rendent cette homogénéité nécessaire.</w:t>
      </w:r>
    </w:p>
    <w:p>
      <w:pPr>
        <w:pBdr>
          <w:left w:val="single" w:color="B8862E" w:sz="12" w:space="8"/>
        </w:pBdr>
        <w:spacing w:after="240" w:before="120"/>
        <w:ind w:left="160"/>
      </w:pPr>
      <w:r>
        <w:rPr>
          <w:b/>
          <w:bCs/>
          <w:color w:val="B8862E"/>
        </w:rPr>
        <w:t xml:space="preserve">Transition — </w:t>
      </w:r>
      <w:r>
        <w:rPr>
          <w:i/>
          <w:iCs/>
        </w:rPr>
        <w:t xml:space="preserve">Voyons maintenant ce que le modèle apporte concrètement face à ces difficultés.</w:t>
      </w:r>
    </w:p>
    <w:p>
      <w:pPr>
        <w:pStyle w:val="Heading1"/>
      </w:pPr>
      <w:r>
        <w:t xml:space="preserve">3. Ce que le modèle apporte concrètement</w:t>
      </w:r>
    </w:p>
    <w:p>
      <w:pPr>
        <w:spacing w:after="100"/>
      </w:pPr>
      <w:r>
        <w:rPr>
          <w:b/>
          <w:bCs/>
          <w:color w:val="B8862E"/>
        </w:rPr>
        <w:t xml:space="preserve">Diapositive 3</w:t>
      </w:r>
      <w:r>
        <w:rPr>
          <w:i/>
          <w:iCs/>
          <w:color w:val="3D4A5C"/>
        </w:rPr>
        <w:t xml:space="preserve">   ·   environ 3 minutes</w:t>
      </w:r>
    </w:p>
    <w:p>
      <w:pPr>
        <w:spacing w:after="140" w:line="300"/>
      </w:pPr>
      <w:r>
        <w:rPr>
          <w:b/>
          <w:bCs/>
        </w:rPr>
        <w:t xml:space="preserve">Premier apport : une note reproductible. </w:t>
      </w:r>
      <w:r>
        <w:t xml:space="preserve">Pour chaque critère, le modèle décrit quatre situations, de très favorable à critique, avec les pièces à vérifier. L’analyste ne note plus « à l’impression » : il choisit la situation qui décrit le dossier, preuves à l’appui. Deux analystes face au même dossier aboutissent ainsi à la même note.</w:t>
      </w:r>
    </w:p>
    <w:p>
      <w:pPr>
        <w:spacing w:after="140" w:line="300"/>
      </w:pPr>
      <w:r>
        <w:rPr>
          <w:b/>
          <w:bCs/>
        </w:rPr>
        <w:t xml:space="preserve">Deuxième apport : un modèle pensé pour le project finance. </w:t>
      </w:r>
      <w:r>
        <w:t xml:space="preserve">Il tient compte de la phase du projet, du régime de ses recettes — un contrat ferme n’expose pas la banque comme des recettes de marché — et de douze secteurs, dont ceux qui comptent au Maroc : renouvelables, dessalement, transport, ports, santé, industrie, agro-industrie, tourisme, mines.</w:t>
      </w:r>
    </w:p>
    <w:p>
      <w:pPr>
        <w:spacing w:after="140" w:line="300"/>
      </w:pPr>
      <w:r>
        <w:rPr>
          <w:b/>
          <w:bCs/>
        </w:rPr>
        <w:t xml:space="preserve">Troisième apport : des garde-fous objectifs. </w:t>
      </w:r>
      <w:r>
        <w:t xml:space="preserve">Quinze plafonds et douze verrous empêchent qu’une moyenne flatteuse masque un point de rupture. Un projet excellent sur le papier, mais dont la couverture de la dette tombe sous 1 en scénario défavorable, ne peut pas être bien noté.</w:t>
      </w:r>
    </w:p>
    <w:p>
      <w:pPr>
        <w:spacing w:after="140" w:line="300"/>
      </w:pPr>
      <w:r>
        <w:rPr>
          <w:b/>
          <w:bCs/>
        </w:rPr>
        <w:t xml:space="preserve">Quatrième apport : une analyse proportionnée. </w:t>
      </w:r>
      <w:r>
        <w:t xml:space="preserve">Le modèle distingue trois régimes d’analyse — simplifié, standard, approfondi — selon la taille et la complexité du dossier. Un petit projet simple n’exige pas le même effort qu’une opération consortiale de plusieurs milliards.</w:t>
      </w:r>
    </w:p>
    <w:p>
      <w:pPr>
        <w:spacing w:after="140" w:line="300"/>
      </w:pPr>
      <w:r>
        <w:rPr>
          <w:b/>
          <w:bCs/>
        </w:rPr>
        <w:t xml:space="preserve">Cinquième apport : une décision traçable. </w:t>
      </w:r>
      <w:r>
        <w:t xml:space="preserve">Chaque note se justifie par ses pièces et par les règles appliquées. Elle est auditable, et alignée sur Bâle, Bank Al-Maghrib, la SFI et la BERD.</w:t>
      </w:r>
    </w:p>
    <w:p>
      <w:pPr>
        <w:spacing w:after="140" w:line="300"/>
      </w:pPr>
      <w:r>
        <w:rPr>
          <w:b/>
          <w:bCs/>
        </w:rPr>
        <w:t xml:space="preserve">Sixième apport : un langage commun. </w:t>
      </w:r>
      <w:r>
        <w:t xml:space="preserve">Le comité reçoit un grade sur l’échelle de la banque, avec les forces, les faiblesses et les conditions proposées. La discussion porte alors sur le fond du dossier, plus sur la façon dont la note a été obtenue.</w:t>
      </w:r>
    </w:p>
    <w:p>
      <w:pPr>
        <w:spacing w:after="60" w:before="120"/>
      </w:pPr>
      <w:r>
        <w:rPr>
          <w:b/>
          <w:bCs/>
          <w:color w:val="14213D"/>
        </w:rPr>
        <w:t xml:space="preserve">À retenir</w:t>
      </w:r>
    </w:p>
    <w:p>
      <w:pPr>
        <w:pStyle w:val="ListParagraph"/>
        <w:numPr>
          <w:ilvl w:val="0"/>
          <w:numId w:val="2"/>
        </w:numPr>
        <w:spacing w:after="60"/>
      </w:pPr>
      <w:r>
        <w:t xml:space="preserve">Homogénéité : même dossier, même note.</w:t>
      </w:r>
    </w:p>
    <w:p>
      <w:pPr>
        <w:pStyle w:val="ListParagraph"/>
        <w:numPr>
          <w:ilvl w:val="0"/>
          <w:numId w:val="2"/>
        </w:numPr>
        <w:spacing w:after="60"/>
      </w:pPr>
      <w:r>
        <w:t xml:space="preserve">Spécificité : la phase, le régime de recettes et le secteur sont pris en compte.</w:t>
      </w:r>
    </w:p>
    <w:p>
      <w:pPr>
        <w:pStyle w:val="ListParagraph"/>
        <w:numPr>
          <w:ilvl w:val="0"/>
          <w:numId w:val="2"/>
        </w:numPr>
        <w:spacing w:after="60"/>
      </w:pPr>
      <w:r>
        <w:t xml:space="preserve">Prudence : une faiblesse objective n’est jamais compensée par une moyenne.</w:t>
      </w:r>
    </w:p>
    <w:p>
      <w:pPr>
        <w:pStyle w:val="ListParagraph"/>
        <w:numPr>
          <w:ilvl w:val="0"/>
          <w:numId w:val="2"/>
        </w:numPr>
        <w:spacing w:after="60"/>
      </w:pPr>
      <w:r>
        <w:t xml:space="preserve">Traçabilité : chaque note est justifiée et auditable.</w:t>
      </w:r>
    </w:p>
    <w:p>
      <w:pPr>
        <w:pBdr>
          <w:left w:val="single" w:color="B8862E" w:sz="12" w:space="8"/>
        </w:pBdr>
        <w:spacing w:after="240" w:before="120"/>
        <w:ind w:left="160"/>
      </w:pPr>
      <w:r>
        <w:rPr>
          <w:b/>
          <w:bCs/>
          <w:color w:val="B8862E"/>
        </w:rPr>
        <w:t xml:space="preserve">Transition — </w:t>
      </w:r>
      <w:r>
        <w:rPr>
          <w:i/>
          <w:iCs/>
        </w:rPr>
        <w:t xml:space="preserve">Entrons maintenant dans le fonctionnement du modèle, en commençant par la façon dont la note se construit.</w:t>
      </w:r>
    </w:p>
    <w:p>
      <w:pPr>
        <w:pStyle w:val="Heading1"/>
      </w:pPr>
      <w:r>
        <w:t xml:space="preserve">4. La note se construit en cinq étapes</w:t>
      </w:r>
    </w:p>
    <w:p>
      <w:pPr>
        <w:spacing w:after="100"/>
      </w:pPr>
      <w:r>
        <w:rPr>
          <w:b/>
          <w:bCs/>
          <w:color w:val="B8862E"/>
        </w:rPr>
        <w:t xml:space="preserve">Diapositive 4</w:t>
      </w:r>
      <w:r>
        <w:rPr>
          <w:i/>
          <w:iCs/>
          <w:color w:val="3D4A5C"/>
        </w:rPr>
        <w:t xml:space="preserve">   ·   environ 2 minutes</w:t>
      </w:r>
    </w:p>
    <w:p>
      <w:pPr>
        <w:spacing w:after="140" w:line="300"/>
      </w:pPr>
      <w:r>
        <w:t xml:space="preserve">La note se construit en cinq étapes.</w:t>
      </w:r>
    </w:p>
    <w:p>
      <w:pPr>
        <w:spacing w:after="140" w:line="300"/>
      </w:pPr>
      <w:r>
        <w:t xml:space="preserve">Le routage, d’abord : le régime de recettes, le secteur et la phase du projet fixent les seuils de couverture de la dette et le poids de chaque domaine. On ne juge pas une centrale vendant toute sa production sous contrat comme un hôtel exposé à la fréquentation.</w:t>
      </w:r>
    </w:p>
    <w:p>
      <w:pPr>
        <w:spacing w:after="140" w:line="300"/>
      </w:pPr>
      <w:r>
        <w:t xml:space="preserve">Viennent ensuite le noyau financier, six indicateurs centrés sur la dette, puis la grille qualitative : vingt-cinq critères, pour lesquels l’analyste choisit une situation. L’ensemble donne un score sur 100, converti en note de 1 à 10 puis en grade.</w:t>
      </w:r>
    </w:p>
    <w:p>
      <w:pPr>
        <w:spacing w:after="140" w:line="300"/>
      </w:pPr>
      <w:r>
        <w:rPr>
          <w:b/>
          <w:bCs/>
        </w:rPr>
        <w:t xml:space="preserve">La cinquième étape est essentielle : les plafonds et les verrous. </w:t>
      </w:r>
      <w:r>
        <w:t xml:space="preserve">La note approuvée est la plus basse entre la note calculée et les plafonds actifs. Une exclusion — par exemple une contrepartie sous sanctions — ne produit aucune note ; un blocage, comme un contrat de construction non signé, rend la note provisoire.</w:t>
      </w:r>
    </w:p>
    <w:p>
      <w:pPr>
        <w:spacing w:after="140" w:line="300"/>
      </w:pPr>
      <w:r>
        <w:t xml:space="preserve">Un mot sur l’échelle des situations : 100, 80, 50 et 20 points. L’écart n’est pas régulier, et c’est voulu : on perd 20 points en passant de très favorable à favorable, mais 30 en passant à vigilance. Une pièce manquante compte comme une situation critique : on ne note pas ce qu’on n’a pas vu.</w:t>
      </w:r>
    </w:p>
    <w:p>
      <w:pPr>
        <w:pBdr>
          <w:left w:val="single" w:color="B8862E" w:sz="12" w:space="8"/>
        </w:pBdr>
        <w:spacing w:after="240" w:before="120"/>
        <w:ind w:left="160"/>
      </w:pPr>
      <w:r>
        <w:rPr>
          <w:b/>
          <w:bCs/>
          <w:color w:val="B8862E"/>
        </w:rPr>
        <w:t xml:space="preserve">Transition — </w:t>
      </w:r>
      <w:r>
        <w:rPr>
          <w:i/>
          <w:iCs/>
        </w:rPr>
        <w:t xml:space="preserve">Regardons ce que mesurent les neuf domaines.</w:t>
      </w:r>
    </w:p>
    <w:p>
      <w:pPr>
        <w:pStyle w:val="Heading1"/>
      </w:pPr>
      <w:r>
        <w:t xml:space="preserve">5. Neuf domaines, pondérés selon la phase</w:t>
      </w:r>
    </w:p>
    <w:p>
      <w:pPr>
        <w:spacing w:after="100"/>
      </w:pPr>
      <w:r>
        <w:rPr>
          <w:b/>
          <w:bCs/>
          <w:color w:val="B8862E"/>
        </w:rPr>
        <w:t xml:space="preserve">Diapositive 5</w:t>
      </w:r>
      <w:r>
        <w:rPr>
          <w:i/>
          <w:iCs/>
          <w:color w:val="3D4A5C"/>
        </w:rPr>
        <w:t xml:space="preserve">   ·   environ 2 minutes</w:t>
      </w:r>
    </w:p>
    <w:p>
      <w:pPr>
        <w:spacing w:after="140" w:line="300"/>
      </w:pPr>
      <w:r>
        <w:t xml:space="preserve">Le modèle découpe le risque en neuf domaines, qui répondent chacun à une question : qui porte le projet, est-il réalisable, sera-t-il livré, d’où viennent ses recettes, peut-il être exploité, qui paie et qui fournit, les flux couvrent-ils la dette, la banque est-elle protégée juridiquement, et quels risques environnementaux, sociaux et climatiques demeurent.</w:t>
      </w:r>
    </w:p>
    <w:p>
      <w:pPr>
        <w:spacing w:after="140" w:line="300"/>
      </w:pPr>
      <w:r>
        <w:rPr>
          <w:b/>
          <w:bCs/>
        </w:rPr>
        <w:t xml:space="preserve">Le point clé est que les poids changent avec la phase. </w:t>
      </w:r>
      <w:r>
        <w:t xml:space="preserve">En construction, l’achèvement pèse 20 % de la note. En exploitation, ce risque a disparu : son poids tombe à zéro, et ce sont les recettes, l’exploitation et les contreparties qui prennent le relais, à 15 % chacune.</w:t>
      </w:r>
    </w:p>
    <w:p>
      <w:pPr>
        <w:spacing w:after="140" w:line="300"/>
      </w:pPr>
      <w:r>
        <w:t xml:space="preserve">Le domaine financier, le noyau, est le plus lourd : de 25 à 30 % selon la phase. C’est logique : en project finance, c’est la capacité des flux à rembourser qui fonde la décision.</w:t>
      </w:r>
    </w:p>
    <w:p>
      <w:pPr>
        <w:spacing w:after="140" w:line="300"/>
      </w:pPr>
      <w:r>
        <w:t xml:space="preserve">Les neuf domaines regroupent vingt-cinq critères, chacun avec son poids et la liste des pièces à vérifier. Quatre d’entre eux ont une version adaptée à chaque secteur : la technologie, la structure des recettes, le marché et la performance technique.</w:t>
      </w:r>
    </w:p>
    <w:p>
      <w:pPr>
        <w:pBdr>
          <w:left w:val="single" w:color="B8862E" w:sz="12" w:space="8"/>
        </w:pBdr>
        <w:spacing w:after="240" w:before="120"/>
        <w:ind w:left="160"/>
      </w:pPr>
      <w:r>
        <w:rPr>
          <w:b/>
          <w:bCs/>
          <w:color w:val="B8862E"/>
        </w:rPr>
        <w:t xml:space="preserve">Transition — </w:t>
      </w:r>
      <w:r>
        <w:rPr>
          <w:i/>
          <w:iCs/>
        </w:rPr>
        <w:t xml:space="preserve">Le noyau financier mérite qu’on s’y arrête, car c’est le cœur de la note.</w:t>
      </w:r>
    </w:p>
    <w:p>
      <w:pPr>
        <w:pStyle w:val="Heading1"/>
      </w:pPr>
      <w:r>
        <w:t xml:space="preserve">6. Le noyau financier, cœur de la note</w:t>
      </w:r>
    </w:p>
    <w:p>
      <w:pPr>
        <w:spacing w:after="100"/>
      </w:pPr>
      <w:r>
        <w:rPr>
          <w:b/>
          <w:bCs/>
          <w:color w:val="B8862E"/>
        </w:rPr>
        <w:t xml:space="preserve">Diapositive 6</w:t>
      </w:r>
      <w:r>
        <w:rPr>
          <w:i/>
          <w:iCs/>
          <w:color w:val="3D4A5C"/>
        </w:rPr>
        <w:t xml:space="preserve">   ·   environ 2 minutes 30</w:t>
      </w:r>
    </w:p>
    <w:p>
      <w:pPr>
        <w:spacing w:after="140" w:line="300"/>
      </w:pPr>
      <w:r>
        <w:t xml:space="preserve">Le noyau compte six indicateurs. Les trois premiers sont calculés à partir de l’échéancier du projet : le ratio de couverture du service de la dette, le DSCR, dans le scénario central puis dans un scénario défavorable ; et le ratio de couverture sur la durée du prêt, le LLCR. Pendant la construction, ce troisième indicateur est remplacé par le financement à terminaison : les ressources engagées couvrent-elles tout le besoin jusqu’à la mise en service ?</w:t>
      </w:r>
    </w:p>
    <w:p>
      <w:pPr>
        <w:spacing w:after="140" w:line="300"/>
      </w:pPr>
      <w:r>
        <w:t xml:space="preserve">Les trois autres indicateurs sont appréciés sur pièces : la liquidité, avec notamment le compte de réserve du service de la dette ; le levier ; et l’exposition résiduelle aux taux, au change et au refinancement.</w:t>
      </w:r>
    </w:p>
    <w:p>
      <w:pPr>
        <w:spacing w:after="140" w:line="300"/>
      </w:pPr>
      <w:r>
        <w:rPr>
          <w:b/>
          <w:bCs/>
        </w:rPr>
        <w:t xml:space="preserve">Un choix important : on retient le DSCR minimum, pas la moyenne. </w:t>
      </w:r>
      <w:r>
        <w:t xml:space="preserve">Un seul semestre trop faible suffit à mettre la banque en difficulté.</w:t>
      </w:r>
    </w:p>
    <w:p>
      <w:pPr>
        <w:spacing w:after="140" w:line="300"/>
      </w:pPr>
      <w:r>
        <w:rPr>
          <w:b/>
          <w:bCs/>
        </w:rPr>
        <w:t xml:space="preserve">Les seuils dépendent du régime de recettes. </w:t>
      </w:r>
      <w:r>
        <w:t xml:space="preserve">Un projet sous contrat ferme est jugé satisfaisant à partir de 1,30 ; un projet exposé au marché doit atteindre 1,80. On ajoute un écart propre au secteur, de −0,05 pour les renouvelables à +0,25 pour les mines, et une majoration de 0,05 pendant la montée en charge. Pour un hôtel en montée en charge, le seuil critique est ainsi de 1,35 + 0,20 + 0,05, soit 1,60.</w:t>
      </w:r>
    </w:p>
    <w:p>
      <w:pPr>
        <w:pBdr>
          <w:left w:val="single" w:color="B8862E" w:sz="12" w:space="8"/>
        </w:pBdr>
        <w:spacing w:after="240" w:before="120"/>
        <w:ind w:left="160"/>
      </w:pPr>
      <w:r>
        <w:rPr>
          <w:b/>
          <w:bCs/>
          <w:color w:val="B8862E"/>
        </w:rPr>
        <w:t xml:space="preserve">Transition — </w:t>
      </w:r>
      <w:r>
        <w:rPr>
          <w:i/>
          <w:iCs/>
        </w:rPr>
        <w:t xml:space="preserve">Reste à voir comment les garde-fous encadrent la note finale.</w:t>
      </w:r>
    </w:p>
    <w:p>
      <w:pPr>
        <w:pStyle w:val="Heading1"/>
      </w:pPr>
      <w:r>
        <w:t xml:space="preserve">7. Des garde-fous encadrent la note finale</w:t>
      </w:r>
    </w:p>
    <w:p>
      <w:pPr>
        <w:spacing w:after="100"/>
      </w:pPr>
      <w:r>
        <w:rPr>
          <w:b/>
          <w:bCs/>
          <w:color w:val="B8862E"/>
        </w:rPr>
        <w:t xml:space="preserve">Diapositive 7</w:t>
      </w:r>
      <w:r>
        <w:rPr>
          <w:i/>
          <w:iCs/>
          <w:color w:val="3D4A5C"/>
        </w:rPr>
        <w:t xml:space="preserve">   ·   environ 2 minutes</w:t>
      </w:r>
    </w:p>
    <w:p>
      <w:pPr>
        <w:spacing w:after="140" w:line="300"/>
      </w:pPr>
      <w:r>
        <w:t xml:space="preserve">Les plafonds sont quinze faits objectifs qui limitent la note, quelle que soit la moyenne. Un DSCR inférieur à 1,05 sur une seule échéance limite la note à 3 ; un DSCR inférieur à 1 en scénario défavorable, ou un LLCR inférieur à 1,10, la limite à 4 ; une dette dépassant 85 % du financement, à 5 ; une réserve de service de la dette inférieure à trois mois, à 6.</w:t>
      </w:r>
    </w:p>
    <w:p>
      <w:pPr>
        <w:spacing w:after="140" w:line="300"/>
      </w:pPr>
      <w:r>
        <w:t xml:space="preserve">L’analyste ne choisit pas ces plafonds : ils se déclenchent à partir des données saisies. C’est ce qui rend la note robuste et difficile à contester.</w:t>
      </w:r>
    </w:p>
    <w:p>
      <w:pPr>
        <w:spacing w:after="140" w:line="300"/>
      </w:pPr>
      <w:r>
        <w:t xml:space="preserve">Les verrous vont plus loin. Les exclusions — activité interdite, contrepartie sous sanctions, défaut avéré — empêchent toute note. Les blocages laissent la note provisoire et indiquent le stade bloqué : l’octroi, le décaissement ou la validation de la notation.</w:t>
      </w:r>
    </w:p>
    <w:p>
      <w:pPr>
        <w:spacing w:after="140" w:line="300"/>
      </w:pPr>
      <w:r>
        <w:t xml:space="preserve">Enfin, le score se convertit en note puis en grade : de 92 points et plus pour une note de 10, soit AAA, jusqu’à moins de 32 points pour une note de 1, soit D. Cette correspondance un pour un reste à confirmer avec l’échelle interne de la banque.</w:t>
      </w:r>
    </w:p>
    <w:p>
      <w:pPr>
        <w:pBdr>
          <w:left w:val="single" w:color="B8862E" w:sz="12" w:space="8"/>
        </w:pBdr>
        <w:spacing w:after="240" w:before="120"/>
        <w:ind w:left="160"/>
      </w:pPr>
      <w:r>
        <w:rPr>
          <w:b/>
          <w:bCs/>
          <w:color w:val="B8862E"/>
        </w:rPr>
        <w:t xml:space="preserve">Transition — </w:t>
      </w:r>
      <w:r>
        <w:rPr>
          <w:i/>
          <w:iCs/>
        </w:rPr>
        <w:t xml:space="preserve">Pour conclure…</w:t>
      </w:r>
    </w:p>
    <w:p>
      <w:pPr>
        <w:pStyle w:val="Heading1"/>
      </w:pPr>
      <w:r>
        <w:t xml:space="preserve">Conclusion</w:t>
      </w:r>
    </w:p>
    <w:p>
      <w:pPr>
        <w:spacing w:after="100"/>
      </w:pPr>
      <w:r>
        <w:rPr>
          <w:b/>
          <w:bCs/>
          <w:color w:val="B8862E"/>
        </w:rPr>
        <w:t xml:space="preserve">Diapositive 7 (suite)</w:t>
      </w:r>
      <w:r>
        <w:rPr>
          <w:i/>
          <w:iCs/>
          <w:color w:val="3D4A5C"/>
        </w:rPr>
        <w:t xml:space="preserve">   ·   environ 1 minute</w:t>
      </w:r>
    </w:p>
    <w:p>
      <w:pPr>
        <w:spacing w:after="140" w:line="300"/>
      </w:pPr>
      <w:r>
        <w:t xml:space="preserve">En résumé, ce modèle répond à un besoin concret : noter nos financements de projet de façon homogène, adaptée à leur nature et traçable, dans un cadre réglementaire qui se renforce.</w:t>
      </w:r>
    </w:p>
    <w:p>
      <w:pPr>
        <w:spacing w:after="140" w:line="300"/>
      </w:pPr>
      <w:r>
        <w:t xml:space="preserve">Il ne remplace pas le jugement de l’analyste ni celui du comité : il le structure. Il dit ce qu’il faut regarder, avec quelles preuves, et il empêche qu’une faiblesse majeure passe inaperçue.</w:t>
      </w:r>
    </w:p>
    <w:p>
      <w:pPr>
        <w:spacing w:after="140" w:line="300"/>
      </w:pPr>
      <w:r>
        <w:t xml:space="preserve">Les paramètres que je vous ai présentés sont des propositions. Votre expérience est précieuse pour les calibrer : c’est l’objet de la discussion qui suit. Je vous remercie de votre attention et je suis à votre disposition pour vos questions.</w:t>
      </w:r>
    </w:p>
    <w:sectPr>
      <w:footerReference w:type="default" r:id="rId7"/>
      <w:pgSz w:w="11906" w:h="16838" w:orient="portrait"/>
      <w:pgMar w:top="1300" w:right="1300" w:bottom="1300" w:left="13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B7280"/>
        <w:sz w:val="18"/>
        <w:szCs w:val="18"/>
      </w:rPr>
      <w:t xml:space="preserve">Discours — modèle de scoring Project Finance · page </w:t>
    </w:r>
    <w:r>
      <w:rPr>
        <w:color w:val="6B7280"/>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F2937"/>
        <w:sz w:val="23"/>
        <w:szCs w:val="23"/>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spacing w:after="120" w:before="360"/>
      <w:outlineLvl w:val="0"/>
    </w:pPr>
    <w:rPr>
      <w:rFonts w:ascii="Cambria" w:cs="Cambria" w:eastAsia="Cambria" w:hAnsi="Cambria"/>
      <w:b/>
      <w:bCs/>
      <w:color w:val="14213D"/>
      <w:sz w:val="30"/>
      <w:szCs w:val="30"/>
    </w:rPr>
  </w:style>
  <w:style w:type="paragraph" w:styleId="Heading2">
    <w:name w:val="Heading 2"/>
    <w:basedOn w:val="Normal"/>
    <w:next w:val="Normal"/>
    <w:qFormat/>
    <w:pPr>
      <w:spacing w:after="100" w:before="240"/>
      <w:outlineLvl w:val="1"/>
    </w:pPr>
    <w:rPr>
      <w:rFonts w:ascii="Cambria" w:cs="Cambria" w:eastAsia="Cambria" w:hAnsi="Cambria"/>
      <w:b/>
      <w:bCs/>
      <w:color w:val="14213D"/>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Discours — modèle de scoring Project Finance</dc:title>
  <dc:creator>Direction des risques</dc:creator>
  <cp:lastModifiedBy>Un-named</cp:lastModifiedBy>
  <cp:revision>1</cp:revision>
  <dcterms:created xsi:type="dcterms:W3CDTF">2026-10-20T07:47:36.961Z</dcterms:created>
  <dcterms:modified xsi:type="dcterms:W3CDTF">2026-10-20T07:47:36.962Z</dcterms:modified>
</cp:coreProperties>
</file>

<file path=docProps/custom.xml><?xml version="1.0" encoding="utf-8"?>
<Properties xmlns="http://schemas.openxmlformats.org/officeDocument/2006/custom-properties" xmlns:vt="http://schemas.openxmlformats.org/officeDocument/2006/docPropsVTypes"/>
</file>