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3864"/>
          <w:sz w:val="48"/>
          <w:szCs w:val="48"/>
        </w:rPr>
        <w:t xml:space="preserve">Modèle de scoring Project Finance V8</w:t>
      </w:r>
    </w:p>
    <w:p>
      <w:pPr>
        <w:spacing w:after="400"/>
      </w:pPr>
      <w:r>
        <w:rPr>
          <w:color w:val="2E5C8A"/>
          <w:sz w:val="28"/>
          <w:szCs w:val="28"/>
        </w:rPr>
        <w:t xml:space="preserve">Discours de présentation, diapositive par diapositive, avec les termes techniques expliqués</w:t>
      </w:r>
    </w:p>
    <w:p>
      <w:pPr>
        <w:spacing w:after="120"/>
      </w:pPr>
      <w:r>
        <w:t xml:space="preserve">Public : équipes expertes en financement de projet. Durée : 30 à 35 minutes de présentation, puis 15 minutes de discussion.</w:t>
      </w:r>
    </w:p>
    <w:p>
      <w:pPr>
        <w:spacing w:after="120"/>
      </w:pPr>
      <w:r>
        <w:t xml:space="preserve">Documents associés : la présentation (18 diapositives), l'outil Excel version 3 et la grille de scoring expliquée (Excel).</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CED8" w:sz="4"/>
              <w:left w:val="single" w:color="C6CED8" w:sz="4"/>
              <w:bottom w:val="single" w:color="C6CED8" w:sz="4"/>
              <w:right w:val="single" w:color="C6CED8" w:sz="4"/>
            </w:tcBorders>
            <w:shd w:fill="FFF2CC" w:color="auto" w:val="clear"/>
            <w:tcMar>
              <w:top w:type="dxa" w:w="120"/>
              <w:left w:type="dxa" w:w="160"/>
              <w:bottom w:type="dxa" w:w="120"/>
              <w:right w:type="dxa" w:w="160"/>
            </w:tcMar>
          </w:tcPr>
          <w:p>
            <w:pPr>
              <w:spacing w:after="80"/>
            </w:pPr>
            <w:r>
              <w:rPr>
                <w:b/>
                <w:bCs/>
                <w:color w:val="1F3864"/>
              </w:rPr>
              <w:t xml:space="preserve">Comment utiliser ce document</w:t>
            </w:r>
          </w:p>
          <w:p>
            <w:pPr>
              <w:spacing w:after="60"/>
            </w:pPr>
            <w:r>
              <w:t xml:space="preserve">Chaque diapositive comporte : le texte à dire (encadré d'un trait bleu), les termes techniques avec une explication simple et un exemple, et les questions que des experts pourraient poser, avec une réponse.</w:t>
            </w:r>
          </w:p>
          <w:p>
            <w:pPr>
              <w:spacing w:after="60"/>
            </w:pPr>
            <w:r>
              <w:t xml:space="preserve">Conseil : ne lisez pas le texte mot à mot ; retenez les idées et les exemples chiffrés. Face à une question pointue, il est légitime de répondre « c'est un paramètre candidat, c'est justement votre avis que nous cherchons ».</w:t>
            </w:r>
          </w:p>
          <w:p>
            <w:pPr>
              <w:spacing w:after="60"/>
            </w:pPr>
            <w:r>
              <w:t xml:space="preserve">Tous les cas et chiffres sont fictifs.</w:t>
            </w:r>
          </w:p>
        </w:tc>
      </w:tr>
    </w:tbl>
    <w:p>
      <w:r>
        <w:br w:type="page"/>
      </w:r>
    </w:p>
    <w:p>
      <w:pPr>
        <w:pStyle w:val="Heading1"/>
        <w:spacing w:after="160" w:before="36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Le discours, diapositive par diapositive</w:t>
      </w:r>
    </w:p>
    <w:p>
      <w:pPr>
        <w:pStyle w:val="Heading2"/>
        <w:spacing w:after="120" w:before="240"/>
      </w:pPr>
      <w:r>
        <w:t xml:space="preserve">Diapositive 1 — Couverture — Modèle de scoring Project Finance V8</w:t>
      </w:r>
    </w:p>
    <w:p>
      <w:pPr>
        <w:spacing w:after="120"/>
        <w:rPr>
          <w:i/>
          <w:iCs/>
          <w:color w:val="666666"/>
        </w:rPr>
      </w:pPr>
      <w:r>
        <w:rPr>
          <w:i/>
          <w:iCs/>
          <w:color w:val="666666"/>
        </w:rPr>
        <w:t xml:space="preserve">Durée indicative : 1 min</w:t>
      </w:r>
    </w:p>
    <w:p>
      <w:pPr>
        <w:pStyle w:val="Heading3"/>
        <w:spacing w:after="80" w:before="160"/>
      </w:pPr>
      <w:r>
        <w:t xml:space="preserve">À dire</w:t>
      </w:r>
    </w:p>
    <w:p>
      <w:pPr>
        <w:pBdr>
          <w:left w:val="single" w:color="2E5C8A" w:sz="12" w:space="8"/>
        </w:pBdr>
        <w:spacing w:after="120"/>
        <w:ind w:left="284"/>
      </w:pPr>
      <w:r>
        <w:rPr>
          <w:i w:val="false"/>
          <w:iCs w:val="false"/>
        </w:rPr>
        <w:t xml:space="preserve">Bonjour à tous, et merci d'avoir pris ce temps. Je vais vous présenter le modèle V8 de notation des financements de projet et l'outil Excel qui l'applique.</w:t>
      </w:r>
    </w:p>
    <w:p>
      <w:pPr>
        <w:pBdr>
          <w:left w:val="single" w:color="2E5C8A" w:sz="12" w:space="8"/>
        </w:pBdr>
        <w:spacing w:after="120"/>
        <w:ind w:left="284"/>
      </w:pPr>
      <w:r>
        <w:rPr>
          <w:i w:val="false"/>
          <w:iCs w:val="false"/>
        </w:rPr>
        <w:t xml:space="preserve">Je le dis d'emblée : vous êtes les experts du Project Finance dans cette salle. Ce que nous attendons de vous, c'est un regard critique. Tous les seuils, les poids et les descriptions que vous allez voir sont des paramètres candidats : ils seront ajustés avec vos retours avant validation par le Comité.</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Project Finance (financement de projet)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d'un projet porté par une société créée pour lui seul ; la banque est remboursée par les flux du projet, pas par le bilan de l'actionnaire.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centrale solaire est logée dans « Solaris SA » ; la dette est remboursée par la vente de l'électricité.</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Bâle, Bank Al-Maghrib, IFC, EBRD</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Bâle : normes internationales de fonds propres des banques. Bank Al-Maghrib : le régulateur marocain. IFC (Banque mondiale) et EBRD (BERD) : références pour les normes environnementales et sociales.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Les « normes de performance IFC » servent à noter le domaine D9.</w:t>
            </w:r>
          </w:p>
        </w:tc>
      </w:tr>
    </w:tbl>
    <w:p>
      <w:pPr>
        <w:pStyle w:val="Heading3"/>
        <w:spacing w:after="80" w:before="160"/>
      </w:pPr>
      <w:r>
        <w:t xml:space="preserve">Questions possibles des experts</w:t>
      </w:r>
    </w:p>
    <w:p>
      <w:pPr>
        <w:spacing w:after="40"/>
      </w:pPr>
      <w:r>
        <w:rPr>
          <w:b/>
          <w:bCs/>
        </w:rPr>
        <w:t xml:space="preserve">Q : Pourquoi un modèle spécifique au Project Finance ?</w:t>
      </w:r>
    </w:p>
    <w:p>
      <w:pPr>
        <w:spacing w:after="120"/>
      </w:pPr>
      <w:r>
        <w:t xml:space="preserve">R : Parce que le risque est celui du projet : une notation « entreprise » fondée sur le bilan ne voit ni le risque de construction, ni la dépendance à un contrat, ni la couverture échéance par échéance.</w:t>
      </w:r>
    </w:p>
    <w:p>
      <w:pPr>
        <w:pStyle w:val="Heading2"/>
        <w:spacing w:after="120" w:before="240"/>
      </w:pPr>
      <w:r>
        <w:t xml:space="preserve">Diapositive 2 — Trois exigences qu'une note de projet doit tenir</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modèle répond à trois exigences.</w:t>
      </w:r>
    </w:p>
    <w:p>
      <w:pPr>
        <w:pBdr>
          <w:left w:val="single" w:color="2E5C8A" w:sz="12" w:space="8"/>
        </w:pBdr>
        <w:spacing w:after="120"/>
        <w:ind w:left="284"/>
      </w:pPr>
      <w:r>
        <w:rPr>
          <w:i w:val="false"/>
          <w:iCs w:val="false"/>
        </w:rPr>
        <w:t xml:space="preserve">Comparable : un 6 dans l'éolien doit valoir un 6 dans l'hôtellerie. On garde la même grille pour tous les secteurs ; le secteur n'ajuste que les seuils.</w:t>
      </w:r>
    </w:p>
    <w:p>
      <w:pPr>
        <w:pBdr>
          <w:left w:val="single" w:color="2E5C8A" w:sz="12" w:space="8"/>
        </w:pBdr>
        <w:spacing w:after="120"/>
        <w:ind w:left="284"/>
      </w:pPr>
      <w:r>
        <w:rPr>
          <w:i w:val="false"/>
          <w:iCs w:val="false"/>
        </w:rPr>
        <w:t xml:space="preserve">Sans compensation : dans un financement de projet, un seul point faible peut provoquer un défaut. Un excellent sponsor ne compense pas une dette mal couverte. D'où des plafonds de note.</w:t>
      </w:r>
    </w:p>
    <w:p>
      <w:pPr>
        <w:pBdr>
          <w:left w:val="single" w:color="2E5C8A" w:sz="12" w:space="8"/>
        </w:pBdr>
        <w:spacing w:after="120"/>
        <w:ind w:left="284"/>
      </w:pPr>
      <w:r>
        <w:rPr>
          <w:i w:val="false"/>
          <w:iCs w:val="false"/>
        </w:rPr>
        <w:t xml:space="preserve">Traçable : chaque note doit pouvoir être expliquée à un auditeur ou au régulateur : d'où vient-elle, quelle pièce la justifie, qui l'a modifiée.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Compensation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Effet d'une moyenne : de bonnes notes cachent une mauvaise.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Neuf critères à 100 et le DSCR à 20 donnent une moyenne flatteuse alors que le projet ne peut pas payer.</w:t>
            </w:r>
          </w:p>
        </w:tc>
      </w:tr>
    </w:tbl>
    <w:p>
      <w:pPr>
        <w:pStyle w:val="Heading3"/>
        <w:spacing w:after="80" w:before="160"/>
      </w:pPr>
      <w:r>
        <w:t xml:space="preserve">Questions possibles des experts</w:t>
      </w:r>
    </w:p>
    <w:p>
      <w:pPr>
        <w:spacing w:after="40"/>
      </w:pPr>
      <w:r>
        <w:rPr>
          <w:b/>
          <w:bCs/>
        </w:rPr>
        <w:t xml:space="preserve">Q : Le refus de la compensation ne rend-il pas le modèle trop sévère ?</w:t>
      </w:r>
    </w:p>
    <w:p>
      <w:pPr>
        <w:spacing w:after="120"/>
      </w:pPr>
      <w:r>
        <w:t xml:space="preserve">R : Seuls des faits objectifs et graves plafonnent la note (DSCR sous 1, LLCR sous 1,10, dette au-delà de 85 %…). Le reste suit la moyenne normale.</w:t>
      </w:r>
    </w:p>
    <w:p>
      <w:pPr>
        <w:pStyle w:val="Heading2"/>
        <w:spacing w:after="120" w:before="240"/>
      </w:pPr>
      <w:r>
        <w:t xml:space="preserve">Diapositive 3 — Cinq étapes, de la donnée à la note approuvée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Voici la mécanique en cinq étapes.</w:t>
      </w:r>
    </w:p>
    <w:p>
      <w:pPr>
        <w:pBdr>
          <w:left w:val="single" w:color="2E5C8A" w:sz="12" w:space="8"/>
        </w:pBdr>
        <w:spacing w:after="120"/>
        <w:ind w:left="284"/>
      </w:pPr>
      <w:r>
        <w:rPr>
          <w:i w:val="false"/>
          <w:iCs w:val="false"/>
        </w:rPr>
        <w:t xml:space="preserve">Un, le routage : on décrit le type de recettes, le secteur et la phase du projet. Cela fixe le niveau d'exigence.</w:t>
      </w:r>
    </w:p>
    <w:p>
      <w:pPr>
        <w:pBdr>
          <w:left w:val="single" w:color="2E5C8A" w:sz="12" w:space="8"/>
        </w:pBdr>
        <w:spacing w:after="120"/>
        <w:ind w:left="284"/>
      </w:pPr>
      <w:r>
        <w:rPr>
          <w:i w:val="false"/>
          <w:iCs w:val="false"/>
        </w:rPr>
        <w:t xml:space="preserve">Deux, le noyau financier : six indicateurs, dont trois calculés automatiquement.</w:t>
      </w:r>
    </w:p>
    <w:p>
      <w:pPr>
        <w:pBdr>
          <w:left w:val="single" w:color="2E5C8A" w:sz="12" w:space="8"/>
        </w:pBdr>
        <w:spacing w:after="120"/>
        <w:ind w:left="284"/>
      </w:pPr>
      <w:r>
        <w:rPr>
          <w:i w:val="false"/>
          <w:iCs w:val="false"/>
        </w:rPr>
        <w:t xml:space="preserve">Trois, la grille qualitative : huit domaines, 25 sous-critères.</w:t>
      </w:r>
    </w:p>
    <w:p>
      <w:pPr>
        <w:pBdr>
          <w:left w:val="single" w:color="2E5C8A" w:sz="12" w:space="8"/>
        </w:pBdr>
        <w:spacing w:after="120"/>
        <w:ind w:left="284"/>
      </w:pPr>
      <w:r>
        <w:rPr>
          <w:i w:val="false"/>
          <w:iCs w:val="false"/>
        </w:rPr>
        <w:t xml:space="preserve">Quatre, on agrège en un score sur 100, converti en note de 1 à 10.</w:t>
      </w:r>
    </w:p>
    <w:p>
      <w:pPr>
        <w:pBdr>
          <w:left w:val="single" w:color="2E5C8A" w:sz="12" w:space="8"/>
        </w:pBdr>
        <w:spacing w:after="120"/>
        <w:ind w:left="284"/>
      </w:pPr>
      <w:r>
        <w:rPr>
          <w:i w:val="false"/>
          <w:iCs w:val="false"/>
        </w:rPr>
        <w:t xml:space="preserve">Cinq, les garde-fous : plafonds et verrous. La note approuvée est le minimum entre la note calculée et les plafonds actifs.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calculée / note approuvée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note calculée vient du score ; la note approuvée est celle qui reste après plafonds et verrous.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Score 73,7 → note calculée 7 ; un plafond à 4 → note approuvée 4.</w:t>
            </w:r>
          </w:p>
        </w:tc>
      </w:tr>
    </w:tbl>
    <w:p>
      <w:pPr>
        <w:pStyle w:val="Heading2"/>
        <w:spacing w:after="120" w:before="240"/>
      </w:pPr>
      <w:r>
        <w:t xml:space="preserve">Diapositive 4 — Qui porte le risque de recettes fixe l'exigence (routage)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Première question pour tout dossier : qui supporte le risque que les recettes n'arrivent pas ?</w:t>
      </w:r>
    </w:p>
    <w:p>
      <w:pPr>
        <w:pBdr>
          <w:left w:val="single" w:color="2E5C8A" w:sz="12" w:space="8"/>
        </w:pBdr>
        <w:spacing w:after="120"/>
        <w:ind w:left="284"/>
      </w:pPr>
      <w:r>
        <w:rPr>
          <w:i w:val="false"/>
          <w:iCs w:val="false"/>
        </w:rPr>
        <w:t xml:space="preserve">En R1, un acheteur s'engage à payer une quantité garantie : c'est le plus sûr. En R2, le projet est payé s'il est disponible. En R3, une partie du volume est garantie. En R4, tout dépend du marché.</w:t>
      </w:r>
    </w:p>
    <w:p>
      <w:pPr>
        <w:pBdr>
          <w:left w:val="single" w:color="2E5C8A" w:sz="12" w:space="8"/>
        </w:pBdr>
        <w:spacing w:after="120"/>
        <w:ind w:left="284"/>
      </w:pPr>
      <w:r>
        <w:rPr>
          <w:i w:val="false"/>
          <w:iCs w:val="false"/>
        </w:rPr>
        <w:t xml:space="preserve">Plus le projet est exposé, plus on exige de marge. Le secteur affine ce niveau, et la phase dit ce qui pèse le plus : en construction, l'achèvement ; en exploitation, les recettes et la performance.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Take-or-pay</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L'acheteur paie une quantité garantie, qu'il la prenne ou non.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L'office public paie 152 GWh par an même s'il n'en utilise que 140.</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Paiement à la disponibilité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L'autorité paie un loyer si l'ouvrage est disponible et conforme, quel que soit l'usage.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hôpital en partenariat public-privé est payé s'il est ouvert et aux normes.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Risque de volume / de marché</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Les recettes dépendent des quantités vendues (R3) ou des prix et quantités du marché (R4).</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autoroute à péage dépend du trafic ; un hôtel, du taux d'occupation et du prix.</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Phases P1, P2, P3</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P1 construction ; P2 montée en charge (les premiers mois d'exploitation) ; P3 exploitation stabilisée.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Une usine livrée il y a 6 mois et qui n'a pas atteint sa capacité est en P2.</w:t>
            </w:r>
          </w:p>
        </w:tc>
      </w:tr>
    </w:tbl>
    <w:p>
      <w:pPr>
        <w:pStyle w:val="Heading3"/>
        <w:spacing w:after="80" w:before="160"/>
      </w:pPr>
      <w:r>
        <w:t xml:space="preserve">Questions possibles des experts</w:t>
      </w:r>
    </w:p>
    <w:p>
      <w:pPr>
        <w:spacing w:after="40"/>
      </w:pPr>
      <w:r>
        <w:rPr>
          <w:b/>
          <w:bCs/>
        </w:rPr>
        <w:t xml:space="preserve">Q : Où classer un contrat avec une part fixe et une part variable ?</w:t>
      </w:r>
    </w:p>
    <w:p>
      <w:pPr>
        <w:spacing w:after="120"/>
      </w:pPr>
      <w:r>
        <w:t xml:space="preserve">R : Selon la part qui couvre le service de la dette : si la redevance fixe le couvre, R2 ; sinon R3. En cas de doute, le régime le plus exposé.</w:t>
      </w:r>
    </w:p>
    <w:p>
      <w:pPr>
        <w:pStyle w:val="Heading2"/>
        <w:spacing w:after="120" w:before="240"/>
      </w:pPr>
      <w:r>
        <w:t xml:space="preserve">Diapositive 5 — Seuil applicable = base du régime + Δ secteur + phase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ratio central est le DSCR : combien de fois la trésorerie disponible couvre l'échéance de dette.</w:t>
      </w:r>
    </w:p>
    <w:p>
      <w:pPr>
        <w:pBdr>
          <w:left w:val="single" w:color="2E5C8A" w:sz="12" w:space="8"/>
        </w:pBdr>
        <w:spacing w:after="120"/>
        <w:ind w:left="284"/>
      </w:pPr>
      <w:r>
        <w:rPr>
          <w:i w:val="false"/>
          <w:iCs w:val="false"/>
        </w:rPr>
        <w:t xml:space="preserve">Chaque régime a trois seuils : en dessous du premier, c'est critique. On ajoute un écart propre au secteur, et une majoration en montée en charge.</w:t>
      </w:r>
    </w:p>
    <w:p>
      <w:pPr>
        <w:pBdr>
          <w:left w:val="single" w:color="2E5C8A" w:sz="12" w:space="8"/>
        </w:pBdr>
        <w:spacing w:after="120"/>
        <w:ind w:left="284"/>
      </w:pPr>
      <w:r>
        <w:rPr>
          <w:i w:val="false"/>
          <w:iCs w:val="false"/>
        </w:rPr>
        <w:t xml:space="preserve">Exemple : un hôtel, régime R4, tourisme, en montée en charge : 1,35 plus 0,20 plus 0,05 donne 1,60. Si son DSCR est de 1,06, il est en zone critique.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Cash Flow Available for Debt Service : trésorerie disponible pour payer la dette, après charges d'exploitation, impôts et investissements de maintien.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Chiffre d'affaires 73 − charges 11 − impôts et maintien 8 = CFADS 54 MMAD.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DSCR</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CFADS de la période ÷ service de la dette de la période (intérêts + capital).</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CFADS 25,9 ÷ échéance 19,45 = 1,33 : le flux couvre 1,33 fois l'échéance.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Δ (delta) sectoriel</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Écart ajouté au seuil selon le risque propre du secteur.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Éolien −0,05 (production prévisible) ; mines +0,25 (prix volatils).</w:t>
            </w:r>
          </w:p>
        </w:tc>
      </w:tr>
    </w:tbl>
    <w:p>
      <w:pPr>
        <w:pStyle w:val="Heading3"/>
        <w:spacing w:after="80" w:before="160"/>
      </w:pPr>
      <w:r>
        <w:t xml:space="preserve">Questions possibles des experts</w:t>
      </w:r>
    </w:p>
    <w:p>
      <w:pPr>
        <w:spacing w:after="40"/>
      </w:pPr>
      <w:r>
        <w:rPr>
          <w:b/>
          <w:bCs/>
        </w:rPr>
        <w:t xml:space="preserve">Q : D'où viennent ces seuils ?</w:t>
      </w:r>
    </w:p>
    <w:p>
      <w:pPr>
        <w:spacing w:after="120"/>
      </w:pPr>
      <w:r>
        <w:t xml:space="preserve">R : Ce sont des paramètres candidats, calibrés sur les pratiques de marché. C'est l'un des points sur lesquels nous attendons votre avis (onglet Paramètres).</w:t>
      </w:r>
    </w:p>
    <w:p>
      <w:pPr>
        <w:pStyle w:val="Heading2"/>
        <w:spacing w:after="120" w:before="240"/>
      </w:pPr>
      <w:r>
        <w:t xml:space="preserve">Diapositive 6 — Proportionnalité : l'effort d'analyse suit la taille et la complexité</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Le niveau d'exigence de l'analyse est calculé, pas choisi.</w:t>
      </w:r>
    </w:p>
    <w:p>
      <w:pPr>
        <w:pBdr>
          <w:left w:val="single" w:color="2E5C8A" w:sz="12" w:space="8"/>
        </w:pBdr>
        <w:spacing w:after="120"/>
        <w:ind w:left="284"/>
      </w:pPr>
      <w:r>
        <w:rPr>
          <w:i w:val="false"/>
          <w:iCs w:val="false"/>
        </w:rPr>
        <w:t xml:space="preserve">Un petit projet simple, en dirhams, avec un contrat ferme, passe en régime simplifié S. Un projet de plus de 1,5 milliard, en devises, consortial ou exposé au marché passe en régime renforcé L. Entre les deux, le régime standard M.</w:t>
      </w:r>
    </w:p>
    <w:p>
      <w:pPr>
        <w:pBdr>
          <w:left w:val="single" w:color="2E5C8A" w:sz="12" w:space="8"/>
        </w:pBdr>
        <w:spacing w:after="120"/>
        <w:ind w:left="284"/>
      </w:pPr>
      <w:r>
        <w:rPr>
          <w:i w:val="false"/>
          <w:iCs w:val="false"/>
        </w:rPr>
        <w:t xml:space="preserve">Si un problème apparaît, le régime monte tout seul : un verrou fait passer S en M, un plafond fait passer M en L. Et le régime simplifié ne supprime aucun plafond.</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CAPEX</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Coût d'investissement total du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707 MMAD pour la centrale solaire du cas C1.</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Exposition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Montant total engagé par la banque sur le projet.</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465 MMAD de crédits accordés par la banque.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Consortium</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partagé entre plusieurs banques.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Trois banques prêtent chacune un tiers de la dette.</w:t>
            </w:r>
          </w:p>
        </w:tc>
      </w:tr>
    </w:tbl>
    <w:p>
      <w:pPr>
        <w:pStyle w:val="Heading2"/>
        <w:spacing w:after="120" w:before="240"/>
      </w:pPr>
      <w:r>
        <w:t xml:space="preserve">Diapositive 7 — Noyau financier D7 : six indicateurs</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Le noyau financier est le domaine le plus lourd : 25 à 30 % de la note.</w:t>
      </w:r>
    </w:p>
    <w:p>
      <w:pPr>
        <w:pBdr>
          <w:left w:val="single" w:color="2E5C8A" w:sz="12" w:space="8"/>
        </w:pBdr>
        <w:spacing w:after="120"/>
        <w:ind w:left="284"/>
      </w:pPr>
      <w:r>
        <w:rPr>
          <w:i w:val="false"/>
          <w:iCs w:val="false"/>
        </w:rPr>
        <w:t xml:space="preserve">N1 et N2 mesurent le DSCR minimum, dans le scénario central puis dans un scénario défavorable. N3 mesure le LLCR, ou en construction la couverture du besoin de financement. Ces trois-là sont calculés par l'outil.</w:t>
      </w:r>
    </w:p>
    <w:p>
      <w:pPr>
        <w:pBdr>
          <w:left w:val="single" w:color="2E5C8A" w:sz="12" w:space="8"/>
        </w:pBdr>
        <w:spacing w:after="120"/>
        <w:ind w:left="284"/>
      </w:pPr>
      <w:r>
        <w:rPr>
          <w:i w:val="false"/>
          <w:iCs w:val="false"/>
        </w:rPr>
        <w:t xml:space="preserve">N4 la liquidité de réserve, N5 le levier, N6 l'exposition résiduelle aux taux et au change : l'analyste choisit la situation dans une liste.</w:t>
      </w:r>
    </w:p>
    <w:p>
      <w:pPr>
        <w:pBdr>
          <w:left w:val="single" w:color="2E5C8A" w:sz="12" w:space="8"/>
        </w:pBdr>
        <w:spacing w:after="120"/>
        <w:ind w:left="284"/>
      </w:pPr>
      <w:r>
        <w:rPr>
          <w:i w:val="false"/>
          <w:iCs w:val="false"/>
        </w:rPr>
        <w:t xml:space="preserve">Une information manquante n'est jamais neutre : elle compte comme critique et rend la note provisoire.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LLCR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Loan Life Coverage Ratio : valeur actuelle des CFADS sur la durée du prêt ÷ dette restante.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Valeur actuelle des flux 680 ÷ dette 500 = 1,36.</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Scénario défavorable (stress)</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Hypothèse dégradée : production plus faible, coûts plus élevés, prix plus bas.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Production P90 et charges +10 % : le DSCR tombe de 1,30 à 1,12.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DSRA</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Debt Service Reserve Account : compte bloqué équivalant à plusieurs mois d'échéances.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6 mois de DSRA sur une échéance semestrielle de 19,45 MMAD = 19,45 MMAD bloqués.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Levier, quote-part de dette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Part du coût du projet financée par la dette.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465 de dette pour 707 de coût = 66 %.</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à terminaison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En construction : les ressources engagées couvrent-elles tout le besoin jusqu'à la mise en service ?</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Ressources 747 ÷ besoin 707 = 105,7 %.</w:t>
            </w:r>
          </w:p>
        </w:tc>
      </w:tr>
    </w:tbl>
    <w:p>
      <w:pPr>
        <w:pStyle w:val="Heading3"/>
        <w:spacing w:after="80" w:before="160"/>
      </w:pPr>
      <w:r>
        <w:t xml:space="preserve">Questions possibles des experts</w:t>
      </w:r>
    </w:p>
    <w:p>
      <w:pPr>
        <w:spacing w:after="40"/>
      </w:pPr>
      <w:r>
        <w:rPr>
          <w:b/>
          <w:bCs/>
        </w:rPr>
        <w:t xml:space="preserve">Q : Pourquoi le LLCR est-il saisi hors construction ?</w:t>
      </w:r>
    </w:p>
    <w:p>
      <w:pPr>
        <w:spacing w:after="120"/>
      </w:pPr>
      <w:r>
        <w:t xml:space="preserve">R : Parce que son barème n'est pas encore fixé par la doctrine : l'analyste note N3 à partir du LLCR calculé dans le modèle de flux. Le plafond C4 (LLCR &lt; 1,10) s'applique automatiquement.</w:t>
      </w:r>
    </w:p>
    <w:p>
      <w:pPr>
        <w:pStyle w:val="Heading2"/>
        <w:spacing w:after="120" w:before="240"/>
      </w:pPr>
      <w:r>
        <w:t xml:space="preserve">Diapositive 8 — Le piège du ratio annuel (cas C4A)</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C'est l'exemple qui parle le plus.</w:t>
      </w:r>
    </w:p>
    <w:p>
      <w:pPr>
        <w:pBdr>
          <w:left w:val="single" w:color="2E5C8A" w:sz="12" w:space="8"/>
        </w:pBdr>
        <w:spacing w:after="120"/>
        <w:ind w:left="284"/>
      </w:pPr>
      <w:r>
        <w:rPr>
          <w:i w:val="false"/>
          <w:iCs w:val="false"/>
        </w:rPr>
        <w:t xml:space="preserve">Une huilerie encaisse l'essentiel de ses recettes pendant la campagne d'olives. Sur l'année, le DSCR est de 1,53 : tout semble aller. Mais la dette se paie par semestre, et le semestre hors campagne ne couvre que 59 % de l'échéance.</w:t>
      </w:r>
    </w:p>
    <w:p>
      <w:pPr>
        <w:pBdr>
          <w:left w:val="single" w:color="2E5C8A" w:sz="12" w:space="8"/>
        </w:pBdr>
        <w:spacing w:after="120"/>
        <w:ind w:left="284"/>
      </w:pPr>
      <w:r>
        <w:rPr>
          <w:i w:val="false"/>
          <w:iCs w:val="false"/>
        </w:rPr>
        <w:t xml:space="preserve">Le modèle retient toujours le DSCR minimum échéance par échéance. Le même projet, restructuré avec un amortissement adapté aux saisons et une ligne de campagne, passe de 3 à 6 sans que son marché ait changé.</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Sculpture de l'amortissement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Adapter le montant de chaque échéance aux flux de la période.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25 MMAD remboursés en campagne, 3,5 MMAD hors campagne (cas C4B).</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Ligne de campagne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Crédit court terme qui finance le creux saisonnier.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25 MMAD mobilisables pendant l'intercampagne.</w:t>
            </w:r>
          </w:p>
        </w:tc>
      </w:tr>
    </w:tbl>
    <w:p>
      <w:pPr>
        <w:pStyle w:val="Heading2"/>
        <w:spacing w:after="120" w:before="240"/>
      </w:pPr>
      <w:r>
        <w:t xml:space="preserve">Diapositive 9 — Neuf domaines dont le poids suit la phase</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La grille couvre tout ce qui n'est pas un ratio : sponsor, projet et technologie, construction, recettes, exploitation, contreparties, juridique, et ESG.</w:t>
      </w:r>
    </w:p>
    <w:p>
      <w:pPr>
        <w:pBdr>
          <w:left w:val="single" w:color="2E5C8A" w:sz="12" w:space="8"/>
        </w:pBdr>
        <w:spacing w:after="120"/>
        <w:ind w:left="284"/>
      </w:pPr>
      <w:r>
        <w:rPr>
          <w:i w:val="false"/>
          <w:iCs w:val="false"/>
        </w:rPr>
        <w:t xml:space="preserve">Les poids changent avec la phase. En construction, le domaine construction pèse 20 % ; en exploitation il disparaît, et les recettes, l'exploitation et les contreparties prennent le relais.</w:t>
      </w:r>
    </w:p>
    <w:p>
      <w:pPr>
        <w:pBdr>
          <w:left w:val="single" w:color="2E5C8A" w:sz="12" w:space="8"/>
        </w:pBdr>
        <w:spacing w:after="120"/>
        <w:ind w:left="284"/>
      </w:pPr>
      <w:r>
        <w:rPr>
          <w:i w:val="false"/>
          <w:iCs w:val="false"/>
        </w:rPr>
        <w:t xml:space="preserve">D9 suit les normes IFC et EBRD : environnement, social, gouvernance et climat.</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Sponsor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Actionnaire qui développe le projet et apporte les fonds propres.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énergéticien qui détient 60 % de la société de projet.</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EPC</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Engineering, Procurement, Construction : contrat clé-en-main confiant toute la construction à un seul constructeur.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Le constructeur livre la centrale à prix et date garantis, sinon il paie des pénalités.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O&amp;M</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Operation and Maintenance : contrat d'exploitation et d'entretien.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 opérateur spécialisé exploite l'usine pendant 15 ans.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ESG</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Environnement, Social, Gouvernance.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Étude d'impact environnemental, consultation des riverains, système de suivi.</w:t>
            </w:r>
          </w:p>
        </w:tc>
      </w:tr>
    </w:tbl>
    <w:p>
      <w:pPr>
        <w:pStyle w:val="Heading3"/>
        <w:spacing w:after="80" w:before="160"/>
      </w:pPr>
      <w:r>
        <w:t xml:space="preserve">Questions possibles des experts</w:t>
      </w:r>
    </w:p>
    <w:p>
      <w:pPr>
        <w:spacing w:after="40"/>
      </w:pPr>
      <w:r>
        <w:rPr>
          <w:b/>
          <w:bCs/>
        </w:rPr>
        <w:t xml:space="preserve">Q : Pourquoi le juridique pèse-t-il autant en exploitation (10 %) ?</w:t>
      </w:r>
    </w:p>
    <w:p>
      <w:pPr>
        <w:spacing w:after="120"/>
      </w:pPr>
      <w:r>
        <w:t xml:space="preserve">R : Parce que c'est en cas de difficulté que les sûretés et les accords directs servent : leur qualité détermine ce que la banque récupère.</w:t>
      </w:r>
    </w:p>
    <w:p>
      <w:pPr>
        <w:pStyle w:val="Heading2"/>
        <w:spacing w:after="120" w:before="240"/>
      </w:pPr>
      <w:r>
        <w:t xml:space="preserve">Diapositive 10 — On choisit une situation, la note en découle</w:t>
      </w:r>
    </w:p>
    <w:p>
      <w:pPr>
        <w:spacing w:after="120"/>
        <w:rPr>
          <w:i/>
          <w:iCs/>
          <w:color w:val="666666"/>
        </w:rPr>
      </w:pPr>
      <w:r>
        <w:rPr>
          <w:i/>
          <w:iCs/>
          <w:color w:val="666666"/>
        </w:rPr>
        <w:t xml:space="preserve">Durée indicative : 2 min 30</w:t>
      </w:r>
    </w:p>
    <w:p>
      <w:pPr>
        <w:pStyle w:val="Heading3"/>
        <w:spacing w:after="80" w:before="160"/>
      </w:pPr>
      <w:r>
        <w:t xml:space="preserve">À dire</w:t>
      </w:r>
    </w:p>
    <w:p>
      <w:pPr>
        <w:pBdr>
          <w:left w:val="single" w:color="2E5C8A" w:sz="12" w:space="8"/>
        </w:pBdr>
        <w:spacing w:after="120"/>
        <w:ind w:left="284"/>
      </w:pPr>
      <w:r>
        <w:rPr>
          <w:i w:val="false"/>
          <w:iCs w:val="false"/>
        </w:rPr>
        <w:t xml:space="preserve">C'est la principale nouveauté pour les analystes.</w:t>
      </w:r>
    </w:p>
    <w:p>
      <w:pPr>
        <w:pBdr>
          <w:left w:val="single" w:color="2E5C8A" w:sz="12" w:space="8"/>
        </w:pBdr>
        <w:spacing w:after="120"/>
        <w:ind w:left="284"/>
      </w:pPr>
      <w:r>
        <w:rPr>
          <w:i w:val="false"/>
          <w:iCs w:val="false"/>
        </w:rPr>
        <w:t xml:space="preserve">Avant, on tapait 100, 80, 50 ou 20 sans dire à quoi cela correspondait. Deux analystes pouvaient noter différemment le même dossier.</w:t>
      </w:r>
    </w:p>
    <w:p>
      <w:pPr>
        <w:pBdr>
          <w:left w:val="single" w:color="2E5C8A" w:sz="12" w:space="8"/>
        </w:pBdr>
        <w:spacing w:after="120"/>
        <w:ind w:left="284"/>
      </w:pPr>
      <w:r>
        <w:rPr>
          <w:i w:val="false"/>
          <w:iCs w:val="false"/>
        </w:rPr>
        <w:t xml:space="preserve">Désormais, pour chaque sous-critère, l'analyste choisit parmi quatre situations décrites, ou « information insuffisante ». La note s'affiche à côté.</w:t>
      </w:r>
    </w:p>
    <w:p>
      <w:pPr>
        <w:pBdr>
          <w:left w:val="single" w:color="2E5C8A" w:sz="12" w:space="8"/>
        </w:pBdr>
        <w:spacing w:after="120"/>
        <w:ind w:left="284"/>
      </w:pPr>
      <w:r>
        <w:rPr>
          <w:i w:val="false"/>
          <w:iCs w:val="false"/>
        </w:rPr>
        <w:t xml:space="preserve">Pour quatre sous-critères dont le vocabulaire change vraiment d'un secteur à l'autre, la description est sectorielle : la technologie, la structure des recettes, le marché et la performance.</w:t>
      </w:r>
    </w:p>
    <w:p>
      <w:pPr>
        <w:pBdr>
          <w:left w:val="single" w:color="2E5C8A" w:sz="12" w:space="8"/>
        </w:pBdr>
        <w:spacing w:after="120"/>
        <w:ind w:left="284"/>
      </w:pPr>
      <w:r>
        <w:rPr>
          <w:i w:val="false"/>
          <w:iCs w:val="false"/>
        </w:rPr>
        <w:t xml:space="preserve">Si l'analyste choisit Critique ou Information insuffisante, il doit écrire un commentaire. Le détail complet, avec un exemple par situation, est dans la grille expliquée que nous vous remettons.</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P50 / P90</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Production atteinte avec une probabilité de 50 % / 90 %. Le P90 est le scénario prudent.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P50 152 GWh, P90 140 GWh par 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Information insuffisante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 pièce qui permettrait de juger manque. Comptée comme Critique (20), note provisoire.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L'étude d'impact social n'a pas été remise (cas SAN).</w:t>
            </w:r>
          </w:p>
        </w:tc>
      </w:tr>
    </w:tbl>
    <w:p>
      <w:pPr>
        <w:pStyle w:val="Heading3"/>
        <w:spacing w:after="80" w:before="160"/>
      </w:pPr>
      <w:r>
        <w:t xml:space="preserve">Questions possibles des experts</w:t>
      </w:r>
    </w:p>
    <w:p>
      <w:pPr>
        <w:spacing w:after="40"/>
      </w:pPr>
      <w:r>
        <w:rPr>
          <w:b/>
          <w:bCs/>
        </w:rPr>
        <w:t xml:space="preserve">Q : Quatre niveaux suffisent-ils ?</w:t>
      </w:r>
    </w:p>
    <w:p>
      <w:pPr>
        <w:spacing w:after="120"/>
      </w:pPr>
      <w:r>
        <w:t xml:space="preserve">R : Ils limitent les écarts entre analystes. La nuance passe par le commentaire. Si vous identifiez des situations fréquentes qui ne rentrent dans aucune case, c'est exactement le retour que nous cherchons.</w:t>
      </w:r>
    </w:p>
    <w:p>
      <w:pPr>
        <w:pStyle w:val="Heading2"/>
        <w:spacing w:after="120" w:before="240"/>
      </w:pPr>
      <w:r>
        <w:t xml:space="preserve">Diapositive 11 — Un score sur 100 converti en note de 1 à 10</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L'agrégation est classique. Chaque domaine est une moyenne pondérée de ses sous-critères ; le score global est la somme des domaines pondérés selon la phase.</w:t>
      </w:r>
    </w:p>
    <w:p>
      <w:pPr>
        <w:pBdr>
          <w:left w:val="single" w:color="2E5C8A" w:sz="12" w:space="8"/>
        </w:pBdr>
        <w:spacing w:after="120"/>
        <w:ind w:left="284"/>
      </w:pPr>
      <w:r>
        <w:rPr>
          <w:i w:val="false"/>
          <w:iCs w:val="false"/>
        </w:rPr>
        <w:t xml:space="preserve">Une table convertit le score en note de 1 à 10, avec un libellé et une orientation pour le comité. Exemple : la centrale solaire C1 obtient 86,25, donc 9, « très solide ».</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Moyenne pondérée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Chaque note est multipliée par son poids, puis on additionne.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D1 : 80 × 40 % + 100 × 35 % + 80 × 25 % = 87.</w:t>
            </w:r>
          </w:p>
        </w:tc>
      </w:tr>
    </w:tbl>
    <w:p>
      <w:pPr>
        <w:pStyle w:val="Heading2"/>
        <w:spacing w:after="120" w:before="240"/>
      </w:pPr>
      <w:r>
        <w:t xml:space="preserve">Diapositive 12 — Plafonds C1 à C15 : des données déclenchent un plafond</w:t>
      </w:r>
    </w:p>
    <w:p>
      <w:pPr>
        <w:spacing w:after="120"/>
        <w:rPr>
          <w:i/>
          <w:iCs/>
          <w:color w:val="666666"/>
        </w:rPr>
      </w:pPr>
      <w:r>
        <w:rPr>
          <w:i/>
          <w:iCs/>
          <w:color w:val="666666"/>
        </w:rPr>
        <w:t xml:space="preserve">Durée indicative : 2 min 30</w:t>
      </w:r>
    </w:p>
    <w:p>
      <w:pPr>
        <w:pStyle w:val="Heading3"/>
        <w:spacing w:after="80" w:before="160"/>
      </w:pPr>
      <w:r>
        <w:t xml:space="preserve">À dire</w:t>
      </w:r>
    </w:p>
    <w:p>
      <w:pPr>
        <w:pBdr>
          <w:left w:val="single" w:color="2E5C8A" w:sz="12" w:space="8"/>
        </w:pBdr>
        <w:spacing w:after="120"/>
        <w:ind w:left="284"/>
      </w:pPr>
      <w:r>
        <w:rPr>
          <w:i w:val="false"/>
          <w:iCs w:val="false"/>
        </w:rPr>
        <w:t xml:space="preserve">Les plafonds sont le cœur de l'anti-compensation. Chacun est déclenché par une donnée chiffrée, jamais par un avis.</w:t>
      </w:r>
    </w:p>
    <w:p>
      <w:pPr>
        <w:pBdr>
          <w:left w:val="single" w:color="2E5C8A" w:sz="12" w:space="8"/>
        </w:pBdr>
        <w:spacing w:after="120"/>
        <w:ind w:left="284"/>
      </w:pPr>
      <w:r>
        <w:rPr>
          <w:i w:val="false"/>
          <w:iCs w:val="false"/>
        </w:rPr>
        <w:t xml:space="preserve">Par exemple, si sur une seule échéance le DSCR passe sous 1,05, la note ne peut pas dépasser 3. Si la dette dépasse 85 % du coût, pas plus de 5. Si un acheteur unique non noté porte plus de 85 % des recettes, pas plus de 6.</w:t>
      </w:r>
    </w:p>
    <w:p>
      <w:pPr>
        <w:pBdr>
          <w:left w:val="single" w:color="2E5C8A" w:sz="12" w:space="8"/>
        </w:pBdr>
        <w:spacing w:after="120"/>
        <w:ind w:left="284"/>
      </w:pPr>
      <w:r>
        <w:rPr>
          <w:i w:val="false"/>
          <w:iCs w:val="false"/>
        </w:rPr>
        <w:t xml:space="preserve">L'hôtel du cas C3 a un excellent dossier : sponsor et documentation à 100, score 73,7, note 7. Mais son semestre creux ne couvre pas la dette sous stress : la note approuvée est 4.</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Plafond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maximale imposée par un fait objectif.</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DSCR stressé 0,75 &lt; 1,00 : plafond C3, note ≤ 4.</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BBB−</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Plus basse notation de la catégorie « investissement » ; en dessous, risque spéculatif.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acheteur noté BB+ est sous BBB−.</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Refinancement (ballon)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 de la dette remboursée en une fois à la fin, à refinancer.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35 % du prêt dû en une fois à 10 ans (cas ETH, plafond C8).</w:t>
            </w:r>
          </w:p>
        </w:tc>
      </w:tr>
    </w:tbl>
    <w:p>
      <w:pPr>
        <w:pStyle w:val="Heading3"/>
        <w:spacing w:after="80" w:before="160"/>
      </w:pPr>
      <w:r>
        <w:t xml:space="preserve">Questions possibles des experts</w:t>
      </w:r>
    </w:p>
    <w:p>
      <w:pPr>
        <w:spacing w:after="40"/>
      </w:pPr>
      <w:r>
        <w:rPr>
          <w:b/>
          <w:bCs/>
        </w:rPr>
        <w:t xml:space="preserve">Q : Un plafond peut-il être levé ?</w:t>
      </w:r>
    </w:p>
    <w:p>
      <w:pPr>
        <w:spacing w:after="120"/>
      </w:pPr>
      <w:r>
        <w:t xml:space="preserve">R : Oui, en changeant la donnée : couverture de change, apport de fonds propres, réserve supplémentaire. L'outil recalcule immédiatement. Le bloc 13 sert à écrire la mesure qui lèverait le plafond.</w:t>
      </w:r>
    </w:p>
    <w:p>
      <w:pPr>
        <w:pStyle w:val="Heading2"/>
        <w:spacing w:after="120" w:before="240"/>
      </w:pPr>
      <w:r>
        <w:t xml:space="preserve">Diapositive 13 — Verrous : exclusions et blocages</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Au-delà des plafonds, deux familles de verrous.</w:t>
      </w:r>
    </w:p>
    <w:p>
      <w:pPr>
        <w:pBdr>
          <w:left w:val="single" w:color="2E5C8A" w:sz="12" w:space="8"/>
        </w:pBdr>
        <w:spacing w:after="120"/>
        <w:ind w:left="284"/>
      </w:pPr>
      <w:r>
        <w:rPr>
          <w:i w:val="false"/>
          <w:iCs w:val="false"/>
        </w:rPr>
        <w:t xml:space="preserve">Une exclusion arrête tout : on ne note pas un projet dont une contrepartie est sous sanctions ou dont l'activité est interdite.</w:t>
      </w:r>
    </w:p>
    <w:p>
      <w:pPr>
        <w:pBdr>
          <w:left w:val="single" w:color="2E5C8A" w:sz="12" w:space="8"/>
        </w:pBdr>
        <w:spacing w:after="120"/>
        <w:ind w:left="284"/>
      </w:pPr>
      <w:r>
        <w:rPr>
          <w:i w:val="false"/>
          <w:iCs w:val="false"/>
        </w:rPr>
        <w:t xml:space="preserve">Un blocage laisse calculer la note, mais elle reste provisoire, et l'outil indique le stade bloqué : l'octroi, le décaissement ou la validation de la note. Par exemple, un EPC non signé en construction bloque l'octroi.</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LBC-FT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Lutte contre le blanchiment de capitaux et le financement du terrorisme.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Contrepartie signalée par le dispositif de conformité : exclusion X3.</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juridique d'opposabilité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d'un avocat confirmant que les sûretés sont valables et opposables aux tiers.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Réserve sur le nantissement des créances : blocage B5 (cas IND).</w:t>
            </w:r>
          </w:p>
        </w:tc>
      </w:tr>
    </w:tbl>
    <w:p>
      <w:pPr>
        <w:pStyle w:val="Heading2"/>
        <w:spacing w:after="120" w:before="240"/>
      </w:pPr>
      <w:r>
        <w:t xml:space="preserve">Diapositive 14 — L'outil Excel : un dossier par onglet</w:t>
      </w:r>
    </w:p>
    <w:p>
      <w:pPr>
        <w:spacing w:after="120"/>
        <w:rPr>
          <w:i/>
          <w:iCs/>
          <w:color w:val="666666"/>
        </w:rPr>
      </w:pPr>
      <w:r>
        <w:rPr>
          <w:i/>
          <w:iCs/>
          <w:color w:val="666666"/>
        </w:rPr>
        <w:t xml:space="preserve">Durée indicative : 3 min avec démonstration</w:t>
      </w:r>
    </w:p>
    <w:p>
      <w:pPr>
        <w:pStyle w:val="Heading3"/>
        <w:spacing w:after="80" w:before="160"/>
      </w:pPr>
      <w:r>
        <w:t xml:space="preserve">À dire</w:t>
      </w:r>
    </w:p>
    <w:p>
      <w:pPr>
        <w:pBdr>
          <w:left w:val="single" w:color="2E5C8A" w:sz="12" w:space="8"/>
        </w:pBdr>
        <w:spacing w:after="120"/>
        <w:ind w:left="284"/>
      </w:pPr>
      <w:r>
        <w:rPr>
          <w:i w:val="false"/>
          <w:iCs w:val="false"/>
        </w:rPr>
        <w:t xml:space="preserve">L'outil applique tout cela dans Excel. Chaque dossier est un onglet.</w:t>
      </w:r>
    </w:p>
    <w:p>
      <w:pPr>
        <w:pBdr>
          <w:left w:val="single" w:color="2E5C8A" w:sz="12" w:space="8"/>
        </w:pBdr>
        <w:spacing w:after="120"/>
        <w:ind w:left="284"/>
      </w:pPr>
      <w:r>
        <w:rPr>
          <w:i w:val="false"/>
          <w:iCs w:val="false"/>
        </w:rPr>
        <w:t xml:space="preserve">On saisit d'abord les codes : code client T24, radical à sept chiffres, code projet. On remplit ensuite les cellules orange, qui sont les saisies obligatoires ; la ligne « À SAISIR » en haut indique ce qui manque et emmène à la bonne cellule.</w:t>
      </w:r>
    </w:p>
    <w:p>
      <w:pPr>
        <w:pBdr>
          <w:left w:val="single" w:color="2E5C8A" w:sz="12" w:space="8"/>
        </w:pBdr>
        <w:spacing w:after="120"/>
        <w:ind w:left="284"/>
      </w:pPr>
      <w:r>
        <w:rPr>
          <w:i w:val="false"/>
          <w:iCs w:val="false"/>
        </w:rPr>
        <w:t xml:space="preserve">Tout le reste est calculé et protégé. Le bloc 13 recueille la synthèse, les forces, les faiblesses, les conditions proposées et l'avis risques ; il alimente la fiche comité, imprimable en PDF.</w:t>
      </w:r>
    </w:p>
    <w:p>
      <w:pPr>
        <w:pBdr>
          <w:left w:val="single" w:color="2E5C8A" w:sz="12" w:space="8"/>
        </w:pBdr>
        <w:spacing w:after="120"/>
        <w:ind w:left="284"/>
      </w:pPr>
      <w:r>
        <w:rPr>
          <w:i w:val="false"/>
          <w:iCs w:val="false"/>
        </w:rPr>
        <w:t xml:space="preserve">Je vous propose une démonstration rapide sur le cas C3. (Voir la partie « Démonstration » de ce document.)</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T24</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Système d'information bancaire où sont gérés les clients et leurs comptes.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Code client 20063902.</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Radical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Identifiant client à 7 chiffres ; les zéros de tête sont conservés.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0063902.</w:t>
            </w:r>
          </w:p>
        </w:tc>
      </w:tr>
    </w:tbl>
    <w:p>
      <w:pPr>
        <w:pStyle w:val="Heading2"/>
        <w:spacing w:after="120" w:before="240"/>
      </w:pPr>
      <w:r>
        <w:t xml:space="preserve">Diapositive 15 — 18 cas d'étude fictifs</w:t>
      </w:r>
    </w:p>
    <w:p>
      <w:pPr>
        <w:spacing w:after="120"/>
        <w:rPr>
          <w:i/>
          <w:iCs/>
          <w:color w:val="666666"/>
        </w:rPr>
      </w:pPr>
      <w:r>
        <w:rPr>
          <w:i/>
          <w:iCs/>
          <w:color w:val="666666"/>
        </w:rPr>
        <w:t xml:space="preserve">Durée indicative : 2 min</w:t>
      </w:r>
    </w:p>
    <w:p>
      <w:pPr>
        <w:pStyle w:val="Heading3"/>
        <w:spacing w:after="80" w:before="160"/>
      </w:pPr>
      <w:r>
        <w:t xml:space="preserve">À dire</w:t>
      </w:r>
    </w:p>
    <w:p>
      <w:pPr>
        <w:pBdr>
          <w:left w:val="single" w:color="2E5C8A" w:sz="12" w:space="8"/>
        </w:pBdr>
        <w:spacing w:after="120"/>
        <w:ind w:left="284"/>
      </w:pPr>
      <w:r>
        <w:rPr>
          <w:i w:val="false"/>
          <w:iCs w:val="false"/>
        </w:rPr>
        <w:t xml:space="preserve">L'outil contient 18 cas fictifs mais réalistes : les six cas d'origine et un cas par secteur.</w:t>
      </w:r>
    </w:p>
    <w:p>
      <w:pPr>
        <w:pBdr>
          <w:left w:val="single" w:color="2E5C8A" w:sz="12" w:space="8"/>
        </w:pBdr>
        <w:spacing w:after="120"/>
        <w:ind w:left="284"/>
      </w:pPr>
      <w:r>
        <w:rPr>
          <w:i w:val="false"/>
          <w:iCs w:val="false"/>
        </w:rPr>
        <w:t xml:space="preserve">Regardez la colonne de droite : dans la moitié des cas, la note approuvée est inférieure à la note calculée. Ce sont les garde-fous qui travaillent.</w:t>
      </w:r>
    </w:p>
    <w:p>
      <w:pPr>
        <w:pBdr>
          <w:left w:val="single" w:color="2E5C8A" w:sz="12" w:space="8"/>
        </w:pBdr>
        <w:spacing w:after="120"/>
        <w:ind w:left="284"/>
      </w:pPr>
      <w:r>
        <w:rPr>
          <w:i w:val="false"/>
          <w:iCs w:val="false"/>
        </w:rPr>
        <w:t xml:space="preserve">Le parc éolien est notre cas de référence à 10. La mine n'a aucune note : une contrepartie est sous sanctions.</w:t>
      </w:r>
    </w:p>
    <w:p>
      <w:pPr>
        <w:pBdr>
          <w:left w:val="single" w:color="2E5C8A" w:sz="12" w:space="8"/>
        </w:pBdr>
        <w:spacing w:after="120"/>
        <w:ind w:left="284"/>
      </w:pPr>
      <w:r>
        <w:rPr>
          <w:i w:val="false"/>
          <w:iCs w:val="false"/>
        </w:rPr>
        <w:t xml:space="preserve">Un moteur de calcul indépendant recalcule les 18 cas et l'onglet Concordance confirme que l'Excel donne le même résultat.</w:t>
      </w:r>
    </w:p>
    <w:p>
      <w:pPr>
        <w:pStyle w:val="Heading3"/>
        <w:spacing w:after="80" w:before="160"/>
      </w:pPr>
      <w:r>
        <w:t xml:space="preserve">Questions possibles des experts</w:t>
      </w:r>
    </w:p>
    <w:p>
      <w:pPr>
        <w:spacing w:after="40"/>
      </w:pPr>
      <w:r>
        <w:rPr>
          <w:b/>
          <w:bCs/>
        </w:rPr>
        <w:t xml:space="preserve">Q : Ces cas sont-ils réels ?</w:t>
      </w:r>
    </w:p>
    <w:p>
      <w:pPr>
        <w:spacing w:after="120"/>
      </w:pPr>
      <w:r>
        <w:t xml:space="preserve">R : Non : ils sont fictifs, construits pour illustrer chaque mécanisme. Aucun nom de société ni de projet n'est réel.</w:t>
      </w:r>
    </w:p>
    <w:p>
      <w:pPr>
        <w:pStyle w:val="Heading2"/>
        <w:spacing w:after="120" w:before="240"/>
      </w:pPr>
      <w:r>
        <w:t xml:space="preserve">Diapositive 16 — L'IA propose, l'analyste décide</w:t>
      </w:r>
    </w:p>
    <w:p>
      <w:pPr>
        <w:spacing w:after="120"/>
        <w:rPr>
          <w:i/>
          <w:iCs/>
          <w:color w:val="666666"/>
        </w:rPr>
      </w:pPr>
      <w:r>
        <w:rPr>
          <w:i/>
          <w:iCs/>
          <w:color w:val="666666"/>
        </w:rPr>
        <w:t xml:space="preserve">Durée indicative : 1 min 30</w:t>
      </w:r>
    </w:p>
    <w:p>
      <w:pPr>
        <w:pStyle w:val="Heading3"/>
        <w:spacing w:after="80" w:before="160"/>
      </w:pPr>
      <w:r>
        <w:t xml:space="preserve">À dire</w:t>
      </w:r>
    </w:p>
    <w:p>
      <w:pPr>
        <w:pBdr>
          <w:left w:val="single" w:color="2E5C8A" w:sz="12" w:space="8"/>
        </w:pBdr>
        <w:spacing w:after="120"/>
        <w:ind w:left="284"/>
      </w:pPr>
      <w:r>
        <w:rPr>
          <w:i w:val="false"/>
          <w:iCs w:val="false"/>
        </w:rPr>
        <w:t xml:space="preserve">Dernier élément : l'IA peut lire les documents du projet et préremplir les champs.</w:t>
      </w:r>
    </w:p>
    <w:p>
      <w:pPr>
        <w:pBdr>
          <w:left w:val="single" w:color="2E5C8A" w:sz="12" w:space="8"/>
        </w:pBdr>
        <w:spacing w:after="120"/>
        <w:ind w:left="284"/>
      </w:pPr>
      <w:r>
        <w:rPr>
          <w:i w:val="false"/>
          <w:iCs w:val="false"/>
        </w:rPr>
        <w:t xml:space="preserve">Mais elle ne note rien seule. Chaque proposition arrive avec sa source, document et page. L'analyste voit la valeur actuelle et la valeur proposée côte à côte, et accepte ou rejette chaque ligne.</w:t>
      </w:r>
    </w:p>
    <w:p>
      <w:pPr>
        <w:pBdr>
          <w:left w:val="single" w:color="2E5C8A" w:sz="12" w:space="8"/>
        </w:pBdr>
        <w:spacing w:after="120"/>
        <w:ind w:left="284"/>
      </w:pPr>
      <w:r>
        <w:rPr>
          <w:i w:val="false"/>
          <w:iCs w:val="false"/>
        </w:rPr>
        <w:t xml:space="preserve">Si le code client ou le code projet du fichier ne correspond pas au dossier, l'import est refusé. La décision du comité ne peut jamais être importée. Tout est tracé dans le journal.</w:t>
      </w:r>
    </w:p>
    <w:p>
      <w:pPr>
        <w:pBdr>
          <w:left w:val="single" w:color="2E5C8A" w:sz="12" w:space="8"/>
        </w:pBdr>
        <w:spacing w:after="120"/>
        <w:ind w:left="284"/>
      </w:pPr>
      <w:r>
        <w:rPr>
          <w:i w:val="false"/>
          <w:iCs w:val="false"/>
        </w:rPr>
        <w:t xml:space="preserve">Le format du fichier est prêt côté Excel ; l'export depuis l'outil web reste à construire.</w:t>
      </w:r>
    </w:p>
    <w:p>
      <w:pPr>
        <w:pStyle w:val="Heading3"/>
        <w:spacing w:after="80" w:before="160"/>
      </w:pPr>
      <w:r>
        <w:t xml:space="preserve">Termes techniques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Mémorandum d'information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Document de présentation du projet remis aux banques.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 Mémorandum, page 20 » : source citée par l'IA pour l'exposition.</w:t>
            </w:r>
          </w:p>
        </w:tc>
      </w:tr>
    </w:tbl>
    <w:p>
      <w:pPr>
        <w:pStyle w:val="Heading2"/>
        <w:spacing w:after="120" w:before="240"/>
      </w:pPr>
      <w:r>
        <w:t xml:space="preserve">Diapositive 17 — Tous les paramètres sont des candidats à valider</w:t>
      </w:r>
    </w:p>
    <w:p>
      <w:pPr>
        <w:spacing w:after="120"/>
        <w:rPr>
          <w:i/>
          <w:iCs/>
          <w:color w:val="666666"/>
        </w:rPr>
      </w:pPr>
      <w:r>
        <w:rPr>
          <w:i/>
          <w:iCs/>
          <w:color w:val="666666"/>
        </w:rPr>
        <w:t xml:space="preserve">Durée indicative : 1 min</w:t>
      </w:r>
    </w:p>
    <w:p>
      <w:pPr>
        <w:pStyle w:val="Heading3"/>
        <w:spacing w:after="80" w:before="160"/>
      </w:pPr>
      <w:r>
        <w:t xml:space="preserve">À dire</w:t>
      </w:r>
    </w:p>
    <w:p>
      <w:pPr>
        <w:pBdr>
          <w:left w:val="single" w:color="2E5C8A" w:sz="12" w:space="8"/>
        </w:pBdr>
        <w:spacing w:after="120"/>
        <w:ind w:left="284"/>
      </w:pPr>
      <w:r>
        <w:rPr>
          <w:i w:val="false"/>
          <w:iCs w:val="false"/>
        </w:rPr>
        <w:t xml:space="preserve">Rien n'est figé. Chaque seuil, poids et description est modifiable dans l'onglet Paramètres, et tous les dossiers se recalculent immédiatement.</w:t>
      </w:r>
    </w:p>
    <w:p>
      <w:pPr>
        <w:pBdr>
          <w:left w:val="single" w:color="2E5C8A" w:sz="12" w:space="8"/>
        </w:pBdr>
        <w:spacing w:after="120"/>
        <w:ind w:left="284"/>
      </w:pPr>
      <w:r>
        <w:rPr>
          <w:i w:val="false"/>
          <w:iCs w:val="false"/>
        </w:rPr>
        <w:t xml:space="preserve">Nous vous remettons la grille expliquée, avec pour chaque sous-critère les quatre situations et un exemple pour chacune. Nous vous demandons de la relire et de nous dire où elle ne colle pas à votre pratique.</w:t>
      </w:r>
    </w:p>
    <w:p>
      <w:pPr>
        <w:pStyle w:val="Heading2"/>
        <w:spacing w:after="120" w:before="240"/>
      </w:pPr>
      <w:r>
        <w:t xml:space="preserve">Diapositive 18 — Quatre questions pour la discussion</w:t>
      </w:r>
    </w:p>
    <w:p>
      <w:pPr>
        <w:spacing w:after="120"/>
        <w:rPr>
          <w:i/>
          <w:iCs/>
          <w:color w:val="666666"/>
        </w:rPr>
      </w:pPr>
      <w:r>
        <w:rPr>
          <w:i/>
          <w:iCs/>
          <w:color w:val="666666"/>
        </w:rPr>
        <w:t xml:space="preserve">Durée indicative : 10 à 15 min</w:t>
      </w:r>
    </w:p>
    <w:p>
      <w:pPr>
        <w:pStyle w:val="Heading3"/>
        <w:spacing w:after="80" w:before="160"/>
      </w:pPr>
      <w:r>
        <w:t xml:space="preserve">À dire</w:t>
      </w:r>
    </w:p>
    <w:p>
      <w:pPr>
        <w:pBdr>
          <w:left w:val="single" w:color="2E5C8A" w:sz="12" w:space="8"/>
        </w:pBdr>
        <w:spacing w:after="120"/>
        <w:ind w:left="284"/>
      </w:pPr>
      <w:r>
        <w:rPr>
          <w:i w:val="false"/>
          <w:iCs w:val="false"/>
        </w:rPr>
        <w:t xml:space="preserve">Pour conclure, quatre questions où votre expertise est décisive : les seuils DSCR, la sévérité de certains plafonds, la justesse des situations décrites, et les secteurs à prioriser.</w:t>
      </w:r>
    </w:p>
    <w:p>
      <w:pPr>
        <w:pBdr>
          <w:left w:val="single" w:color="2E5C8A" w:sz="12" w:space="8"/>
        </w:pBdr>
        <w:spacing w:after="120"/>
        <w:ind w:left="284"/>
      </w:pPr>
      <w:r>
        <w:rPr>
          <w:i w:val="false"/>
          <w:iCs w:val="false"/>
        </w:rPr>
        <w:t xml:space="preserve">Je vous propose d'en discuter maintenant, puis de nous renvoyer vos remarques écrites dans les deux semaines. Merci.</w:t>
      </w:r>
    </w:p>
    <w:p>
      <w:pPr>
        <w:pStyle w:val="Heading3"/>
        <w:spacing w:after="80" w:before="160"/>
      </w:pPr>
      <w:r>
        <w:t xml:space="preserve">Questions possibles des experts</w:t>
      </w:r>
    </w:p>
    <w:p>
      <w:pPr>
        <w:spacing w:after="40"/>
      </w:pPr>
      <w:r>
        <w:rPr>
          <w:b/>
          <w:bCs/>
        </w:rPr>
        <w:t xml:space="preserve">Q : Et si nous voulons ajouter un critère ?</w:t>
      </w:r>
    </w:p>
    <w:p>
      <w:pPr>
        <w:spacing w:after="120"/>
      </w:pPr>
      <w:r>
        <w:t xml:space="preserve">R : C'est possible, mais nous privilégions des critères communs à tous les secteurs pour garder la comparabilité. Une variante sectorielle de description est souvent suffisante.</w:t>
      </w:r>
    </w:p>
    <w:p>
      <w:r>
        <w:br w:type="page"/>
      </w:r>
    </w:p>
    <w:p>
      <w:pPr>
        <w:pStyle w:val="Heading1"/>
        <w:spacing w:after="160" w:before="360"/>
      </w:pPr>
      <w:r>
        <w:t xml:space="preserve">2. Démonstration de l'outil (3 minutes)</w:t>
      </w:r>
    </w:p>
    <w:p>
      <w:pPr>
        <w:spacing w:after="120"/>
      </w:pPr>
      <w:r>
        <w:rPr>
          <w:b/>
          <w:bCs/>
        </w:rPr>
        <w:t xml:space="preserve">1.</w:t>
      </w:r>
      <w:r>
        <w:t xml:space="preserve"> Ouvrir Outil_Scoring_PF_V8_v3.xlsm, activer les macros. Montrer l'Accueil et le catalogue des 18 cas.</w:t>
      </w:r>
    </w:p>
    <w:p>
      <w:pPr>
        <w:spacing w:after="120"/>
      </w:pPr>
      <w:r>
        <w:rPr>
          <w:b/>
          <w:bCs/>
        </w:rPr>
        <w:t xml:space="preserve">2.</w:t>
      </w:r>
      <w:r>
        <w:t xml:space="preserve"> Cliquer sur l'onglet C3 (hôtel). Montrer le tableau de bord : note approuvée 4, note calculée 7, plafonds actifs C2 et C3.</w:t>
      </w:r>
    </w:p>
    <w:p>
      <w:pPr>
        <w:spacing w:after="120"/>
      </w:pPr>
      <w:r>
        <w:rPr>
          <w:b/>
          <w:bCs/>
        </w:rPr>
        <w:t xml:space="preserve">3.</w:t>
      </w:r>
      <w:r>
        <w:t xml:space="preserve"> Descendre à l'échéancier (bouton « 6 · Échéancier ») : montrer le semestre creux, DSCR 1,06, classé Critique.</w:t>
      </w:r>
    </w:p>
    <w:p>
      <w:pPr>
        <w:spacing w:after="120"/>
      </w:pPr>
      <w:r>
        <w:rPr>
          <w:b/>
          <w:bCs/>
        </w:rPr>
        <w:t xml:space="preserve">4.</w:t>
      </w:r>
      <w:r>
        <w:t xml:space="preserve"> Aller à la grille (bouton « 8 · Grille ») : ouvrir une liste déroulante pour montrer les quatre situations, et la note qui s'affiche à côté.</w:t>
      </w:r>
    </w:p>
    <w:p>
      <w:pPr>
        <w:spacing w:after="120"/>
      </w:pPr>
      <w:r>
        <w:rPr>
          <w:b/>
          <w:bCs/>
        </w:rPr>
        <w:t xml:space="preserve">5.</w:t>
      </w:r>
      <w:r>
        <w:t xml:space="preserve"> Aller au bloc 13 : la justification des écarts explique les plafonds.</w:t>
      </w:r>
    </w:p>
    <w:p>
      <w:pPr>
        <w:spacing w:after="120"/>
      </w:pPr>
      <w:r>
        <w:rPr>
          <w:b/>
          <w:bCs/>
        </w:rPr>
        <w:t xml:space="preserve">6.</w:t>
      </w:r>
      <w:r>
        <w:t xml:space="preserve"> Cliquer « Fiche comité » : la page imprimable reprend tout.</w:t>
      </w:r>
    </w:p>
    <w:p>
      <w:pPr>
        <w:spacing w:after="120"/>
      </w:pPr>
      <w:r>
        <w:rPr>
          <w:b/>
          <w:bCs/>
        </w:rPr>
        <w:t xml:space="preserve">7.</w:t>
      </w:r>
      <w:r>
        <w:t xml:space="preserve"> Optionnel : onglet Comparaison, C4A face à C4B : la restructuration fait passer la note de 3 à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6CED8" w:sz="4"/>
              <w:left w:val="single" w:color="C6CED8" w:sz="4"/>
              <w:bottom w:val="single" w:color="C6CED8" w:sz="4"/>
              <w:right w:val="single" w:color="C6CED8" w:sz="4"/>
            </w:tcBorders>
            <w:shd w:fill="E2EFDA" w:color="auto" w:val="clear"/>
            <w:tcMar>
              <w:top w:type="dxa" w:w="120"/>
              <w:left w:type="dxa" w:w="160"/>
              <w:bottom w:type="dxa" w:w="120"/>
              <w:right w:type="dxa" w:w="160"/>
            </w:tcMar>
          </w:tcPr>
          <w:p>
            <w:pPr>
              <w:spacing w:after="80"/>
            </w:pPr>
            <w:r>
              <w:rPr>
                <w:b/>
                <w:bCs/>
                <w:color w:val="1F3864"/>
              </w:rPr>
              <w:t xml:space="preserve">Si une démonstration n'est pas possible</w:t>
            </w:r>
          </w:p>
          <w:p>
            <w:pPr>
              <w:spacing w:after="60"/>
            </w:pPr>
            <w:r>
              <w:t xml:space="preserve">Le fichier sans macros (.xlsx) calcule tout de la même façon ; seuls les boutons sont inactifs. Naviguez avec les onglets.</w:t>
            </w:r>
          </w:p>
        </w:tc>
      </w:tr>
    </w:tbl>
    <w:p>
      <w:r>
        <w:br w:type="page"/>
      </w:r>
    </w:p>
    <w:p>
      <w:pPr>
        <w:pStyle w:val="Heading1"/>
        <w:spacing w:after="160" w:before="360"/>
      </w:pPr>
      <w:r>
        <w:t xml:space="preserve">3.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038"/>
        <w:gridCol w:w="3400"/>
      </w:tblGrid>
      <w:tr>
        <w:trPr>
          <w:tblHeader/>
        </w:trPr>
        <w:tc>
          <w:tcPr>
            <w:tcW w:type="dxa" w:w="22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Terme</w:t>
            </w:r>
          </w:p>
        </w:tc>
        <w:tc>
          <w:tcPr>
            <w:tcW w:type="dxa" w:w="4038"/>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Ce que cela veut dire</w:t>
            </w:r>
          </w:p>
        </w:tc>
        <w:tc>
          <w:tcPr>
            <w:tcW w:type="dxa" w:w="3400"/>
            <w:tcBorders>
              <w:top w:val="single" w:color="C6CED8" w:sz="4"/>
              <w:left w:val="single" w:color="C6CED8" w:sz="4"/>
              <w:bottom w:val="single" w:color="C6CED8" w:sz="4"/>
              <w:right w:val="single" w:color="C6CED8" w:sz="4"/>
            </w:tcBorders>
            <w:shd w:fill="1F3864" w:color="auto" w:val="clear"/>
            <w:tcMar>
              <w:top w:type="dxa" w:w="60"/>
              <w:left w:type="dxa" w:w="100"/>
              <w:bottom w:type="dxa" w:w="60"/>
              <w:right w:type="dxa" w:w="100"/>
            </w:tcMar>
          </w:tcPr>
          <w:p>
            <w:r>
              <w:rPr>
                <w:b/>
                <w:bCs/>
                <w:color w:val="FFFFFF"/>
                <w:sz w:val="18"/>
                <w:szCs w:val="18"/>
              </w:rPr>
              <w:t xml:space="preserve">Exemple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Accord direct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Contrat entre la banque et une contrepartie de la société de projet, qui permet à la banque de reprendre le contrat en cas de défaut.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banque reprend le contrat d'achat si la société de projet défaille.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juridique d'opposabilité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Avis d'un avocat confirmant que les sûretés sont valables et opposables aux tiers.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Réserve sur le nantissement des créances : blocage B5 (cas IND).</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Bâle, Bank Al-Maghrib, IFC, EBRD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Bâle : normes internationales de fonds propres des banques. Bank Al-Maghrib : le régulateur marocain. IFC (Banque mondiale) et EBRD (BERD) : références pour les normes environnementales et sociales.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Les « normes de performance IFC » servent à noter le domaine D9.</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BBB−</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Plus basse notation de la catégorie « investissement » ; en dessous, risque spéculatif.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acheteur noté BB+ est sous BBB−.</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CAPEX</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Coût d'investissement total du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707 MMAD pour la centrale solaire du cas C1.</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Cascade (waterfall)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Ordre de priorité des paiements : charges, dette, réserves, puis dividendes.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Pas de dividende tant que la DSRA n'est pas pleine.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Cash Flow Available for Debt Service : trésorerie disponible pour payer la dette, après charges d'exploitation, impôts et investissements de maintien.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Chiffre d'affaires 73 − charges 11 − impôts et maintien 8 = CFADS 54 MMAD.</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Compensation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Effet d'une moyenne : de bonnes notes cachent une mauvaise.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Neuf critères à 100 et le DSCR à 20 donnent une moyenne flatteuse alors que le projet ne peut pas payer.</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Consortium</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partagé entre plusieurs banques.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Trois banques prêtent chacune un tiers de la dette.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Covenant</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Engagement contractuel de l'emprunteur, souvent un ratio minimum.</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DSCR d'au moins 1,20 sous peine de blocage des dividendes.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DSCR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 de la période ÷ service de la dette de la période (intérêts + capital).</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CFADS 25,9 ÷ échéance 19,45 = 1,33 : le flux couvre 1,33 fois l'échéance.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DSRA</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Debt Service Reserve Account : compte bloqué équivalant à plusieurs mois d'échéances.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6 mois de DSRA sur une échéance semestrielle de 19,45 MMAD = 19,45 MMAD bloqués.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EPC</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Engineering, Procurement, Construction : contrat clé-en-main confiant toute la construction à un seul constructeur.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 constructeur livre la centrale à prix et date garantis, sinon il paie des pénalités.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ESG</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Environnement, Social, Gouvernance.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Étude d'impact environnemental, consultation des riverains, système de suivi.</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Exposition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Montant total engagé par la banque sur le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465 MMAD de crédits accordés par la banque.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Financement à terminaison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En construction : les ressources engagées couvrent-elles tout le besoin jusqu'à la mise en service ?</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Ressources 747 ÷ besoin 707 = 105,7 %.</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Information insuffisante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pièce qui permettrait de juger manque. Comptée comme Critique (20), note provisoire.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L'étude d'impact social n'a pas été remise (cas SAN).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LBC-FT</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Lutte contre le blanchiment de capitaux et le financement du terrorisme.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Contrepartie signalée par le dispositif de conformité : exclusion X3.</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Levier, quote-part de dette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 du coût du projet financée par la dette.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465 de dette pour 707 de coût = 66 %.</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Ligne de campagne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Crédit court terme qui finance le creux saisonnier.</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25 MMAD mobilisables pendant l'intercampagne.</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LLCR</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Loan Life Coverage Ratio : valeur actuelle des CFADS sur la durée du prêt ÷ dette restante.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Valeur actuelle des flux 680 ÷ dette 500 = 1,36.</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Mémorandum d'information</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Document de présentation du projet remis aux banques.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 Mémorandum, page 20 » : source citée par l'IA pour l'exposition.</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MMAD</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Millions de dirhams.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465 MMAD = 465 millions de dirhams.</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Moyenne pondérée</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Chaque note est multipliée par son poids, puis on additionne.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D1 : 80 × 40 % + 100 × 35 % + 80 × 25 % = 87.</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Note calculée / note approuvée</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 note calculée vient du score ; la note approuvée est celle qui reste après plafonds et verrous.</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Score 73,7 → note calculée 7 ; un plafond à 4 → note approuvée 4.</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O&amp;M</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Operation and Maintenance : contrat d'exploitation et d'entretien.</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opérateur spécialisé exploite l'usine pendant 15 ans.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P50 / P90</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Production atteinte avec une probabilité de 50 % / 90 %. Le P90 est le scénario prudent.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P50 152 GWh, P90 140 GWh par an.</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Paiement à la disponibilité</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L'autorité paie un loyer si l'ouvrage est disponible et conforme, quel que soit l'usage.</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hôpital en partenariat public-privé est payé s'il est ouvert et aux normes.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Phases P1, P2, P3</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P1 construction ; P2 montée en charge (les premiers mois d'exploitation) ; P3 exploitation stabilisée.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usine livrée il y a 6 mois et qui n'a pas atteint sa capacité est en P2.</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Plafond</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Note maximale imposée par un fait objectif.</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DSCR stressé 0,75 &lt; 1,00 : plafond C3, note ≤ 4.</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Project Finance (financement de projet)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Financement d'un projet porté par une société créée pour lui seul ; la banque est remboursée par les flux du projet, pas par le bilan de l'actionnaire.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centrale solaire est logée dans « Solaris SA » ; la dette est remboursée par la vente de l'électricité.</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Radical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Identifiant client à 7 chiffres ; les zéros de tête sont conservés.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0063902.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Refinancement (ballon)</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Part de la dette remboursée en une fois à la fin, à refinancer.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35 % du prêt dû en une fois à 10 ans (cas ETH, plafond C8).</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Régime S / M / L</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Profondeur d'analyse calculée selon taille et complexité.</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Projet de 108 MMAD en dirhams sous contrat ferme : régime S.</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Risque de volume / de marché</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Les recettes dépendent des quantités vendues (R3) ou des prix et quantités du marché (R4).</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Une autoroute à péage dépend du trafic ; un hôtel, du taux d'occupation et du prix.</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Scénario défavorable (stress)</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Hypothèse dégradée : production plus faible, coûts plus élevés, prix plus bas.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Production P90 et charges +10 % : le DSCR tombe de 1,30 à 1,12.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Sculpture de l'amortissement</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Adapter le montant de chaque échéance aux flux de la période.</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25 MMAD remboursés en campagne, 3,5 MMAD hors campagne (cas C4B).</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Sponsor</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Actionnaire qui développe le projet et apporte les fonds propres.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Un énergéticien qui détient 60 % de la société de projet.</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SPV</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Special Purpose Vehicle : société créée pour porter un seul projet.</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 Solaris Drâa SA » ne détient que la centrale.</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T24</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Système d'information bancaire où sont gérés les clients et leurs comptes.</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Code client 20063902.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Take-or-pay</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L'acheteur paie une quantité garantie, qu'il la prenne ou non.</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L'office public paie 152 GWh par an même s'il n'en utilise que 140.</w:t>
            </w:r>
          </w:p>
        </w:tc>
      </w:tr>
      <w:tr>
        <w:tc>
          <w:tcPr>
            <w:tcW w:type="dxa" w:w="22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Verrou</w:t>
            </w:r>
          </w:p>
        </w:tc>
        <w:tc>
          <w:tcPr>
            <w:tcW w:type="dxa" w:w="4038"/>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Fait qui empêche la note (exclusion X) ou la rend provisoire (blocage B).</w:t>
            </w:r>
          </w:p>
        </w:tc>
        <w:tc>
          <w:tcPr>
            <w:tcW w:type="dxa" w:w="3400"/>
            <w:tcBorders>
              <w:top w:val="single" w:color="C6CED8" w:sz="4"/>
              <w:left w:val="single" w:color="C6CED8" w:sz="4"/>
              <w:bottom w:val="single" w:color="C6CED8" w:sz="4"/>
              <w:right w:val="single" w:color="C6CED8" w:sz="4"/>
            </w:tcBorders>
            <w:shd w:fill="F2F4F7" w:color="auto" w:val="clear"/>
            <w:tcMar>
              <w:top w:type="dxa" w:w="60"/>
              <w:left w:type="dxa" w:w="100"/>
              <w:bottom w:type="dxa" w:w="60"/>
              <w:right w:type="dxa" w:w="100"/>
            </w:tcMar>
          </w:tcPr>
          <w:p>
            <w:r>
              <w:rPr>
                <w:sz w:val="18"/>
                <w:szCs w:val="18"/>
              </w:rPr>
              <w:t xml:space="preserve">EPC non signé en construction : blocage B2.</w:t>
            </w:r>
          </w:p>
        </w:tc>
      </w:tr>
      <w:tr>
        <w:tc>
          <w:tcPr>
            <w:tcW w:type="dxa" w:w="22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Δ (delta) sectoriel</w:t>
            </w:r>
          </w:p>
        </w:tc>
        <w:tc>
          <w:tcPr>
            <w:tcW w:type="dxa" w:w="4038"/>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Écart ajouté au seuil selon le risque propre du secteur.</w:t>
            </w:r>
          </w:p>
        </w:tc>
        <w:tc>
          <w:tcPr>
            <w:tcW w:type="dxa" w:w="3400"/>
            <w:tcBorders>
              <w:top w:val="single" w:color="C6CED8" w:sz="4"/>
              <w:left w:val="single" w:color="C6CED8" w:sz="4"/>
              <w:bottom w:val="single" w:color="C6CED8" w:sz="4"/>
              <w:right w:val="single" w:color="C6CED8" w:sz="4"/>
            </w:tcBorders>
            <w:tcMar>
              <w:top w:type="dxa" w:w="60"/>
              <w:left w:type="dxa" w:w="100"/>
              <w:bottom w:type="dxa" w:w="60"/>
              <w:right w:type="dxa" w:w="100"/>
            </w:tcMar>
          </w:tcPr>
          <w:p>
            <w:r>
              <w:rPr>
                <w:sz w:val="18"/>
                <w:szCs w:val="18"/>
              </w:rPr>
              <w:t xml:space="preserve">Éolien −0,05 (production prévisible) ; mines +0,25 (prix volatils).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Discours — Modèle de scoring PF V8 — page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Heading2">
    <w:name w:val="Heading 2"/>
    <w:basedOn w:val="Normal"/>
    <w:next w:val="Normal"/>
    <w:qFormat/>
    <w:pPr>
      <w:outlineLvl w:val="1"/>
    </w:pPr>
    <w:rPr>
      <w:b/>
      <w:bCs/>
      <w:color w:val="2E5C8A"/>
      <w:sz w:val="24"/>
      <w:szCs w:val="24"/>
    </w:rPr>
  </w:style>
  <w:style w:type="paragraph" w:styleId="Heading3">
    <w:name w:val="Heading 3"/>
    <w:basedOn w:val="Normal"/>
    <w:next w:val="Normal"/>
    <w:qFormat/>
    <w:pPr>
      <w:outlineLvl w:val="2"/>
    </w:pPr>
    <w:rPr>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Discours de présentation — Modèle de scoring PF V8</dc:title>
  <dc:creator>Outil de scoring PF</dc:creator>
  <cp:lastModifiedBy>Un-named</cp:lastModifiedBy>
  <cp:revision>1</cp:revision>
  <dcterms:created xsi:type="dcterms:W3CDTF">2026-10-18T15:43:29.829Z</dcterms:created>
  <dcterms:modified xsi:type="dcterms:W3CDTF">2026-10-18T15:43:29.833Z</dcterms:modified>
</cp:coreProperties>
</file>

<file path=docProps/custom.xml><?xml version="1.0" encoding="utf-8"?>
<Properties xmlns="http://schemas.openxmlformats.org/officeDocument/2006/custom-properties" xmlns:vt="http://schemas.openxmlformats.org/officeDocument/2006/docPropsVTypes"/>
</file>