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790F"/>
          <w:sz w:val="20"/>
          <w:szCs w:val="20"/>
        </w:rPr>
        <w:t xml:space="preserve">Modèle de scoring Project Finance · Risques Groupe</w:t>
      </w:r>
    </w:p>
    <w:p>
      <w:pPr>
        <w:pStyle w:val="Title"/>
      </w:pPr>
      <w:r>
        <w:t xml:space="preserve">Volet climatique, lot 2 : dossier de validation</w:t>
      </w:r>
    </w:p>
    <w:p>
      <w:pPr>
        <w:spacing w:after="140" w:line="300"/>
      </w:pPr>
      <w:r>
        <w:rPr>
          <w:i/>
          <w:iCs/>
          <w:color w:val="7A7A7A"/>
        </w:rPr>
        <w:t xml:space="preserve">Pour le comité de validation du modèle. Les règles sont intégrées à l’outil mais inactives : elles s’appliquent dès l’activation dans le paramétrage.</w:t>
      </w:r>
    </w:p>
    <w:p>
      <w:pPr>
        <w:pBdr>
          <w:left w:val="single" w:color="E8790F" w:sz="18" w:space="8"/>
        </w:pBdr>
        <w:shd w:fill="FDEBD3" w:color="auto" w:val="clear"/>
        <w:spacing w:after="200" w:before="120" w:line="300"/>
        <w:ind w:left="160" w:right="160"/>
      </w:pPr>
      <w:r>
        <w:rPr>
          <w:b/>
          <w:bCs/>
          <w:color w:val="5A3A1E"/>
        </w:rPr>
        <w:t xml:space="preserve">Décision demandée</w:t>
      </w:r>
      <w:r>
        <w:br/>
        <w:t xml:space="preserve"/>
      </w:r>
      <w:r>
        <w:t xml:space="preserve">Valider les règles et les paramètres du lot 2, puis autoriser leur activation. L’outil Excel de référence est désormais aligné (version 4).</w:t>
      </w:r>
      <w:r>
        <w:br/>
        <w:t xml:space="preserve"/>
      </w:r>
      <w:r>
        <w:t xml:space="preserve">Impact mesuré sur les 18 cas de test (fiches climat fictives) : 1 note modifiée (unité de trituration d'olives et de conditionnement d'huile : 8 → 6), 8 dossiers avec au moins un plafond climatique supplémentaire, 10 dossiers dont l’exposition retenue diffère de la case déclarée.</w:t>
      </w:r>
    </w:p>
    <w:p>
      <w:pPr>
        <w:pStyle w:val="Heading1"/>
      </w:pPr>
      <w:r>
        <w:t xml:space="preserve">1. Les règles du lot 2</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75"/>
        <w:gridCol w:w="2688"/>
        <w:gridCol w:w="4343"/>
      </w:tblGrid>
      <w:tr>
        <w:trPr>
          <w:tblHeader/>
        </w:trPr>
        <w:tc>
          <w:tcPr>
            <w:tcW w:type="dxa" w:w="2275"/>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Règle</w:t>
            </w:r>
          </w:p>
        </w:tc>
        <w:tc>
          <w:tcPr>
            <w:tcW w:type="dxa" w:w="2688"/>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Lot 1 (actuel)</w:t>
            </w:r>
          </w:p>
        </w:tc>
        <w:tc>
          <w:tcPr>
            <w:tcW w:type="dxa" w:w="4343"/>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Lot 2 (proposé)</w:t>
            </w:r>
          </w:p>
        </w:tc>
      </w:tr>
      <w:tr>
        <w:trPr>
          <w:cantSplit/>
        </w:trPr>
        <w:tc>
          <w:tcPr>
            <w:tcW w:type="dxa" w:w="227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Exposition au risque physique</w:t>
            </w:r>
          </w:p>
        </w:tc>
        <w:tc>
          <w:tcPr>
            <w:tcW w:type="dxa" w:w="268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Case Oui/Non du bloc 2, déclarée</w:t>
            </w:r>
          </w:p>
        </w:tc>
        <w:tc>
          <w:tcPr>
            <w:tcW w:type="dxa" w:w="434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Déduite de la fiche : exposé si au moins un aléa est évalué « élevé » ; à défaut d’aléa évalué, la case du bloc 2</w:t>
            </w:r>
          </w:p>
        </w:tc>
      </w:tr>
      <w:tr>
        <w:trPr>
          <w:cantSplit/>
        </w:trPr>
        <w:tc>
          <w:tcPr>
            <w:tcW w:type="dxa" w:w="227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Analyse approfondie (régime L)</w:t>
            </w:r>
          </w:p>
        </w:tc>
        <w:tc>
          <w:tcPr>
            <w:tcW w:type="dxa" w:w="268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Si la case est « Oui »</w:t>
            </w:r>
          </w:p>
        </w:tc>
        <w:tc>
          <w:tcPr>
            <w:tcW w:type="dxa" w:w="434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Si l’exposition retenue est « exposé »</w:t>
            </w:r>
          </w:p>
        </w:tc>
      </w:tr>
      <w:tr>
        <w:trPr>
          <w:cantSplit/>
        </w:trPr>
        <w:tc>
          <w:tcPr>
            <w:tcW w:type="dxa" w:w="227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C11 (note max. 6)</w:t>
            </w:r>
          </w:p>
        </w:tc>
        <w:tc>
          <w:tcPr>
            <w:tcW w:type="dxa" w:w="268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Site exposé sans plan d’adaptation global financé</w:t>
            </w:r>
          </w:p>
        </w:tc>
        <w:tc>
          <w:tcPr>
            <w:tcW w:type="dxa" w:w="434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Au moins un aléa élevé sans adaptation financée (l’adaptation se renseigne aléa par aléa)</w:t>
            </w:r>
          </w:p>
        </w:tc>
      </w:tr>
      <w:tr>
        <w:trPr>
          <w:cantSplit/>
        </w:trPr>
        <w:tc>
          <w:tcPr>
            <w:tcW w:type="dxa" w:w="227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C17 (nouveau, note max. 5)</w:t>
            </w:r>
          </w:p>
        </w:tc>
        <w:tc>
          <w:tcPr>
            <w:tcW w:type="dxa" w:w="268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w:t>
            </w:r>
          </w:p>
        </w:tc>
        <w:tc>
          <w:tcPr>
            <w:tcW w:type="dxa" w:w="434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Au moins deux aléas pertinents élevés sans adaptation financée</w:t>
            </w:r>
          </w:p>
        </w:tc>
      </w:tr>
      <w:tr>
        <w:trPr>
          <w:cantSplit/>
        </w:trPr>
        <w:tc>
          <w:tcPr>
            <w:tcW w:type="dxa" w:w="227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C16 (nouveau, note max. 6)</w:t>
            </w:r>
          </w:p>
        </w:tc>
        <w:tc>
          <w:tcPr>
            <w:tcW w:type="dxa" w:w="268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w:t>
            </w:r>
          </w:p>
        </w:tc>
        <w:tc>
          <w:tcPr>
            <w:tcW w:type="dxa" w:w="434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Risque de transition élevé sans plan de transition crédible et financé</w:t>
            </w:r>
          </w:p>
        </w:tc>
      </w:tr>
      <w:tr>
        <w:trPr>
          <w:cantSplit/>
        </w:trPr>
        <w:tc>
          <w:tcPr>
            <w:tcW w:type="dxa" w:w="227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Grille D9</w:t>
            </w:r>
          </w:p>
        </w:tc>
        <w:tc>
          <w:tcPr>
            <w:tcW w:type="dxa" w:w="268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D9.4 « climat résiduel », 25 % de D9</w:t>
            </w:r>
          </w:p>
        </w:tc>
        <w:tc>
          <w:tcPr>
            <w:tcW w:type="dxa" w:w="434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D9.4 « risques physiques résiduels » 25 % et D9.5 « risque de transition » 15 %, calculé ; D9.1 25 %, D9.2 25 %, D9.3 10 %</w:t>
            </w:r>
          </w:p>
        </w:tc>
      </w:tr>
      <w:tr>
        <w:trPr>
          <w:cantSplit/>
        </w:trPr>
        <w:tc>
          <w:tcPr>
            <w:tcW w:type="dxa" w:w="227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Stress test (N2)</w:t>
            </w:r>
          </w:p>
        </w:tc>
        <w:tc>
          <w:tcPr>
            <w:tcW w:type="dxa" w:w="268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Scénario financier seul</w:t>
            </w:r>
          </w:p>
        </w:tc>
        <w:tc>
          <w:tcPr>
            <w:tcW w:type="dxa" w:w="434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Site exposé : le DSCR stressé retenu est le plus bas du scénario financier et du scénario climatique</w:t>
            </w:r>
          </w:p>
        </w:tc>
      </w:tr>
      <w:tr>
        <w:trPr>
          <w:cantSplit/>
        </w:trPr>
        <w:tc>
          <w:tcPr>
            <w:tcW w:type="dxa" w:w="227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Contrôles de saisie</w:t>
            </w:r>
          </w:p>
        </w:tc>
        <w:tc>
          <w:tcPr>
            <w:tcW w:type="dxa" w:w="268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Aucun</w:t>
            </w:r>
          </w:p>
        </w:tc>
        <w:tc>
          <w:tcPr>
            <w:tcW w:type="dxa" w:w="434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Aléas présélectionnés, adaptation des aléas élevés, données de transition, scénario climatique d’un site exposé</w:t>
            </w:r>
          </w:p>
        </w:tc>
      </w:tr>
    </w:tbl>
    <w:p>
      <w:pPr>
        <w:spacing w:after="120"/>
      </w:pPr>
    </w:p>
    <w:p>
      <w:pPr>
        <w:pStyle w:val="Heading1"/>
      </w:pPr>
      <w:r>
        <w:t xml:space="preserve">2. Paramètres candidats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82"/>
        <w:gridCol w:w="3722"/>
        <w:gridCol w:w="3102"/>
      </w:tblGrid>
      <w:tr>
        <w:trPr>
          <w:tblHeader/>
        </w:trPr>
        <w:tc>
          <w:tcPr>
            <w:tcW w:type="dxa" w:w="248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Paramètre</w:t>
            </w:r>
          </w:p>
        </w:tc>
        <w:tc>
          <w:tcPr>
            <w:tcW w:type="dxa" w:w="372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Valeur</w:t>
            </w:r>
          </w:p>
        </w:tc>
        <w:tc>
          <w:tcPr>
            <w:tcW w:type="dxa" w:w="310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Fondement</w:t>
            </w:r>
          </w:p>
        </w:tc>
      </w:tr>
      <w:tr>
        <w:trPr>
          <w:cantSplit/>
        </w:trPr>
        <w:tc>
          <w:tcPr>
            <w:tcW w:type="dxa" w:w="24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Niveau de transition élevé</w:t>
            </w:r>
          </w:p>
        </w:tc>
        <w:tc>
          <w:tcPr>
            <w:tcW w:type="dxa" w:w="372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Émissions &gt; 100 000 tCO₂e/an, ou exportations MACF ≥ 20 % du CA, ou actif fossile sans plan</w:t>
            </w:r>
          </w:p>
        </w:tc>
        <w:tc>
          <w:tcPr>
            <w:tcW w:type="dxa" w:w="310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Analyse des alternatives des Principes de l’Équateur (EP4) ; MACF en phase définitive depuis 2026</w:t>
            </w:r>
          </w:p>
        </w:tc>
      </w:tr>
      <w:tr>
        <w:trPr>
          <w:cantSplit/>
        </w:trPr>
        <w:tc>
          <w:tcPr>
            <w:tcW w:type="dxa" w:w="24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Niveau de transition moyen</w:t>
            </w:r>
          </w:p>
        </w:tc>
        <w:tc>
          <w:tcPr>
            <w:tcW w:type="dxa" w:w="372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Émissions &gt; 25 000 tCO₂e/an, ou exportations MACF &gt; 0, ou actif fossile avec plan</w:t>
            </w:r>
          </w:p>
        </w:tc>
        <w:tc>
          <w:tcPr>
            <w:tcW w:type="dxa" w:w="310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Seuil de quantification de la norme de performance 3 de la SFI</w:t>
            </w:r>
          </w:p>
        </w:tc>
      </w:tr>
      <w:tr>
        <w:trPr>
          <w:cantSplit/>
        </w:trPr>
        <w:tc>
          <w:tcPr>
            <w:tcW w:type="dxa" w:w="24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Note de D9.5</w:t>
            </w:r>
          </w:p>
        </w:tc>
        <w:tc>
          <w:tcPr>
            <w:tcW w:type="dxa" w:w="372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Faible 100 · Moyen 80 · Élevé avec plan 50 · Élevé sans plan 20 · non renseigné : info. insuffisante</w:t>
            </w:r>
          </w:p>
        </w:tc>
        <w:tc>
          <w:tcPr>
            <w:tcW w:type="dxa" w:w="310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Ancres de la grille</w:t>
            </w:r>
          </w:p>
        </w:tc>
      </w:tr>
      <w:tr>
        <w:trPr>
          <w:cantSplit/>
        </w:trPr>
        <w:tc>
          <w:tcPr>
            <w:tcW w:type="dxa" w:w="24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Poids dans D9</w:t>
            </w:r>
          </w:p>
        </w:tc>
        <w:tc>
          <w:tcPr>
            <w:tcW w:type="dxa" w:w="372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D9.1 25 % · D9.2 25 % · D9.3 10 % · D9.4 25 % · D9.5 15 %</w:t>
            </w:r>
          </w:p>
        </w:tc>
        <w:tc>
          <w:tcPr>
            <w:tcW w:type="dxa" w:w="310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D9 reste à 5 % du score : la note reste une note de crédit</w:t>
            </w:r>
          </w:p>
        </w:tc>
      </w:tr>
      <w:tr>
        <w:trPr>
          <w:cantSplit/>
        </w:trPr>
        <w:tc>
          <w:tcPr>
            <w:tcW w:type="dxa" w:w="24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C16 / C17</w:t>
            </w:r>
          </w:p>
        </w:tc>
        <w:tc>
          <w:tcPr>
            <w:tcW w:type="dxa" w:w="372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Note max. 6 / note max. 5</w:t>
            </w:r>
          </w:p>
        </w:tc>
        <w:tc>
          <w:tcPr>
            <w:tcW w:type="dxa" w:w="310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Même niveau que C11 pour un risque unique, un cran plus bas pour un cumul</w:t>
            </w:r>
          </w:p>
        </w:tc>
      </w:tr>
      <w:tr>
        <w:trPr>
          <w:cantSplit/>
        </w:trPr>
        <w:tc>
          <w:tcPr>
            <w:tcW w:type="dxa" w:w="24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Aléas présélectionnés et scénarios climatiques</w:t>
            </w:r>
          </w:p>
        </w:tc>
        <w:tc>
          <w:tcPr>
            <w:tcW w:type="dxa" w:w="372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Par secteur (onglet Climat)</w:t>
            </w:r>
          </w:p>
        </w:tc>
        <w:tc>
          <w:tcPr>
            <w:tcW w:type="dxa" w:w="310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Effets typiques par secteur ; à confirmer par les experts</w:t>
            </w:r>
          </w:p>
        </w:tc>
      </w:tr>
    </w:tbl>
    <w:p>
      <w:pPr>
        <w:spacing w:after="120"/>
      </w:pPr>
    </w:p>
    <w:p>
      <w:pPr>
        <w:spacing w:after="140" w:line="300"/>
      </w:pPr>
      <w:r>
        <w:rPr>
          <w:i/>
          <w:iCs/>
          <w:color w:val="7A7A7A"/>
          <w:sz w:val="19"/>
          <w:szCs w:val="19"/>
        </w:rPr>
        <w:t xml:space="preserve">Écart avec la proposition initiale : le plafond « C11 bis » devient C17, et son second déclencheur (« un aléa élevé touchant directement la capacité de production ») est écarté, car il reposait sur une appréciation difficile à rendre reproductible.</w:t>
      </w:r>
    </w:p>
    <w:p>
      <w:pPr>
        <w:pStyle w:val="Heading1"/>
      </w:pPr>
      <w:r>
        <w:t xml:space="preserve">3. Impact sur les 18 cas de test</w:t>
      </w:r>
    </w:p>
    <w:p>
      <w:pPr>
        <w:spacing w:after="140" w:line="300"/>
      </w:pPr>
      <w:r>
        <w:t xml:space="preserve">Calcul de l’outil web sur les 18 cas, avec le lot 2 inactif (calcul actuel, identique à l’Excel) puis actif. Les fiches climat des cas sont fictives et cohérentes avec leur description (site, technologie, scénario de stress).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35"/>
        <w:gridCol w:w="882"/>
        <w:gridCol w:w="1371"/>
        <w:gridCol w:w="1959"/>
        <w:gridCol w:w="980"/>
        <w:gridCol w:w="979"/>
      </w:tblGrid>
      <w:tr>
        <w:trPr>
          <w:tblHeader/>
        </w:trPr>
        <w:tc>
          <w:tcPr>
            <w:tcW w:type="dxa" w:w="3135"/>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Cas</w:t>
            </w:r>
          </w:p>
        </w:tc>
        <w:tc>
          <w:tcPr>
            <w:tcW w:type="dxa" w:w="88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center"/>
            </w:pPr>
            <w:r>
              <w:rPr>
                <w:b/>
                <w:bCs/>
                <w:color w:val="FFFFFF"/>
                <w:sz w:val="17"/>
                <w:szCs w:val="17"/>
              </w:rPr>
              <w:t xml:space="preserve">Note</w:t>
            </w:r>
          </w:p>
        </w:tc>
        <w:tc>
          <w:tcPr>
            <w:tcW w:type="dxa" w:w="1371"/>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center"/>
            </w:pPr>
            <w:r>
              <w:rPr>
                <w:b/>
                <w:bCs/>
                <w:color w:val="FFFFFF"/>
                <w:sz w:val="17"/>
                <w:szCs w:val="17"/>
              </w:rPr>
              <w:t xml:space="preserve">Plafonds ajoutés</w:t>
            </w:r>
          </w:p>
        </w:tc>
        <w:tc>
          <w:tcPr>
            <w:tcW w:type="dxa" w:w="1959"/>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7"/>
                <w:szCs w:val="17"/>
              </w:rPr>
              <w:t xml:space="preserve">Exposition (déclarée → retenue)</w:t>
            </w:r>
          </w:p>
        </w:tc>
        <w:tc>
          <w:tcPr>
            <w:tcW w:type="dxa" w:w="980"/>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center"/>
            </w:pPr>
            <w:r>
              <w:rPr>
                <w:b/>
                <w:bCs/>
                <w:color w:val="FFFFFF"/>
                <w:sz w:val="17"/>
                <w:szCs w:val="17"/>
              </w:rPr>
              <w:t xml:space="preserve">Transition</w:t>
            </w:r>
          </w:p>
        </w:tc>
        <w:tc>
          <w:tcPr>
            <w:tcW w:type="dxa" w:w="979"/>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center"/>
            </w:pPr>
            <w:r>
              <w:rPr>
                <w:b/>
                <w:bCs/>
                <w:color w:val="FFFFFF"/>
                <w:sz w:val="17"/>
                <w:szCs w:val="17"/>
              </w:rPr>
              <w:t xml:space="preserve">Stress N2</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Centrale solaire photovoltaïque 80 MWc</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9</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Usine de dessalement 100 000 m³/jour</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6</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Moyen</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Hôtel 4 étoiles, 220 clés</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4</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C11, C17</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Unité agro-industrielle de trituration et …</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3</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C11</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Unité agro-industrielle — structure restru…</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6</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C11</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Centrale PV d’autoproduction 12 MWc</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6</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non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Parc éolien terrestre 140 MW</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10</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non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Usine de dessalement couplée à l'irrigatio…</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7</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exposé →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Élevé</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Centre de données Tier III, 24 MW informat…</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4</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C16</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Élevé</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Autoroute à péage de 95 km</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5</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Terminal à conteneurs de 1,2 million d'EVP</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6</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non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Centre hospitalier de 600 lits en partenar…</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6</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non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Centrale à cycle combiné au gaz de 450 MW</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4</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C16</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Élevé</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climatique</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Ensemble de bureaux et commerces loués, 48…</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5</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non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Usine de verre plat de 600 tonnes/jour</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5</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C16</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non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Élevé</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DEBD3" w:color="auto" w:val="clear"/>
            <w:tcMar>
              <w:top w:type="dxa" w:w="50"/>
              <w:left w:type="dxa" w:w="90"/>
              <w:bottom w:type="dxa" w:w="50"/>
              <w:right w:type="dxa" w:w="90"/>
            </w:tcMar>
          </w:tcPr>
          <w:p>
            <w:pPr>
              <w:jc w:val="left"/>
            </w:pPr>
            <w:r>
              <w:rPr>
                <w:b/>
                <w:bCs/>
                <w:color w:val="333333"/>
                <w:sz w:val="17"/>
                <w:szCs w:val="17"/>
              </w:rPr>
              <w:t xml:space="preserve">Unité de trituration d'olives et de condit…</w:t>
            </w:r>
          </w:p>
        </w:tc>
        <w:tc>
          <w:tcPr>
            <w:tcW w:type="dxa" w:w="882"/>
            <w:tcBorders>
              <w:top w:val="single" w:color="D9D9D9" w:sz="4"/>
              <w:left w:val="single" w:color="D9D9D9" w:sz="4"/>
              <w:bottom w:val="single" w:color="D9D9D9" w:sz="4"/>
              <w:right w:val="single" w:color="D9D9D9" w:sz="4"/>
            </w:tcBorders>
            <w:shd w:fill="FDEBD3" w:color="auto" w:val="clear"/>
            <w:tcMar>
              <w:top w:type="dxa" w:w="50"/>
              <w:left w:type="dxa" w:w="90"/>
              <w:bottom w:type="dxa" w:w="50"/>
              <w:right w:type="dxa" w:w="90"/>
            </w:tcMar>
          </w:tcPr>
          <w:p>
            <w:pPr>
              <w:jc w:val="center"/>
            </w:pPr>
            <w:r>
              <w:rPr>
                <w:b/>
                <w:bCs/>
                <w:color w:val="333333"/>
                <w:sz w:val="17"/>
                <w:szCs w:val="17"/>
              </w:rPr>
              <w:t xml:space="preserve">8 → 6</w:t>
            </w:r>
          </w:p>
        </w:tc>
        <w:tc>
          <w:tcPr>
            <w:tcW w:type="dxa" w:w="1371"/>
            <w:tcBorders>
              <w:top w:val="single" w:color="D9D9D9" w:sz="4"/>
              <w:left w:val="single" w:color="D9D9D9" w:sz="4"/>
              <w:bottom w:val="single" w:color="D9D9D9" w:sz="4"/>
              <w:right w:val="single" w:color="D9D9D9" w:sz="4"/>
            </w:tcBorders>
            <w:shd w:fill="FDEBD3" w:color="auto" w:val="clear"/>
            <w:tcMar>
              <w:top w:type="dxa" w:w="50"/>
              <w:left w:type="dxa" w:w="90"/>
              <w:bottom w:type="dxa" w:w="50"/>
              <w:right w:type="dxa" w:w="90"/>
            </w:tcMar>
          </w:tcPr>
          <w:p>
            <w:pPr>
              <w:jc w:val="center"/>
            </w:pPr>
            <w:r>
              <w:rPr>
                <w:b/>
                <w:bCs/>
                <w:color w:val="333333"/>
                <w:sz w:val="17"/>
                <w:szCs w:val="17"/>
              </w:rPr>
              <w:t xml:space="preserve">C11</w:t>
            </w:r>
          </w:p>
        </w:tc>
        <w:tc>
          <w:tcPr>
            <w:tcW w:type="dxa" w:w="1959"/>
            <w:tcBorders>
              <w:top w:val="single" w:color="D9D9D9" w:sz="4"/>
              <w:left w:val="single" w:color="D9D9D9" w:sz="4"/>
              <w:bottom w:val="single" w:color="D9D9D9" w:sz="4"/>
              <w:right w:val="single" w:color="D9D9D9" w:sz="4"/>
            </w:tcBorders>
            <w:shd w:fill="FDEBD3" w:color="auto" w:val="clear"/>
            <w:tcMar>
              <w:top w:type="dxa" w:w="50"/>
              <w:left w:type="dxa" w:w="90"/>
              <w:bottom w:type="dxa" w:w="50"/>
              <w:right w:type="dxa" w:w="90"/>
            </w:tcMar>
          </w:tcPr>
          <w:p>
            <w:pPr>
              <w:jc w:val="left"/>
            </w:pPr>
            <w:r>
              <w:rPr>
                <w:b/>
                <w:bCs/>
                <w:color w:val="333333"/>
                <w:sz w:val="17"/>
                <w:szCs w:val="17"/>
              </w:rPr>
              <w:t xml:space="preserve">non exposé → exposé</w:t>
            </w:r>
          </w:p>
        </w:tc>
        <w:tc>
          <w:tcPr>
            <w:tcW w:type="dxa" w:w="980"/>
            <w:tcBorders>
              <w:top w:val="single" w:color="D9D9D9" w:sz="4"/>
              <w:left w:val="single" w:color="D9D9D9" w:sz="4"/>
              <w:bottom w:val="single" w:color="D9D9D9" w:sz="4"/>
              <w:right w:val="single" w:color="D9D9D9" w:sz="4"/>
            </w:tcBorders>
            <w:shd w:fill="FDEBD3" w:color="auto" w:val="clear"/>
            <w:tcMar>
              <w:top w:type="dxa" w:w="50"/>
              <w:left w:type="dxa" w:w="90"/>
              <w:bottom w:type="dxa" w:w="50"/>
              <w:right w:type="dxa" w:w="90"/>
            </w:tcMar>
          </w:tcPr>
          <w:p>
            <w:pPr>
              <w:jc w:val="center"/>
            </w:pPr>
            <w:r>
              <w:rPr>
                <w:b/>
                <w:bCs/>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DEBD3" w:color="auto" w:val="clear"/>
            <w:tcMar>
              <w:top w:type="dxa" w:w="50"/>
              <w:left w:type="dxa" w:w="90"/>
              <w:bottom w:type="dxa" w:w="50"/>
              <w:right w:type="dxa" w:w="90"/>
            </w:tcMar>
          </w:tcPr>
          <w:p>
            <w:pPr>
              <w:jc w:val="center"/>
            </w:pPr>
            <w:r>
              <w:rPr>
                <w:b/>
                <w:bCs/>
                <w:color w:val="333333"/>
                <w:sz w:val="17"/>
                <w:szCs w:val="17"/>
              </w:rPr>
              <w:t xml:space="preserve">climatique</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Complexe hôtelier balnéaire de 420 chambres</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3</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C17</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exposé →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Faible</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r>
        <w:trPr>
          <w:cantSplit/>
        </w:trPr>
        <w:tc>
          <w:tcPr>
            <w:tcW w:type="dxa" w:w="313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Mine de cuivre à ciel ouvert et usine de c…</w:t>
            </w:r>
          </w:p>
        </w:tc>
        <w:tc>
          <w:tcPr>
            <w:tcW w:type="dxa" w:w="88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w:t>
            </w:r>
          </w:p>
        </w:tc>
        <w:tc>
          <w:tcPr>
            <w:tcW w:type="dxa" w:w="1371"/>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w:t>
            </w:r>
          </w:p>
        </w:tc>
        <w:tc>
          <w:tcPr>
            <w:tcW w:type="dxa" w:w="195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7"/>
                <w:szCs w:val="17"/>
              </w:rPr>
              <w:t xml:space="preserve">non exposé → exposé</w:t>
            </w:r>
          </w:p>
        </w:tc>
        <w:tc>
          <w:tcPr>
            <w:tcW w:type="dxa" w:w="9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Moyen</w:t>
            </w:r>
          </w:p>
        </w:tc>
        <w:tc>
          <w:tcPr>
            <w:tcW w:type="dxa" w:w="979"/>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7"/>
                <w:szCs w:val="17"/>
              </w:rPr>
              <w:t xml:space="preserve">financier</w:t>
            </w:r>
          </w:p>
        </w:tc>
      </w:tr>
    </w:tbl>
    <w:p>
      <w:pPr>
        <w:spacing w:after="120"/>
      </w:pPr>
    </w:p>
    <w:p>
      <w:pPr>
        <w:pStyle w:val="Heading1"/>
      </w:pPr>
      <w:r>
        <w:t xml:space="preserve">4. Lecture de l’impact</w:t>
      </w:r>
    </w:p>
    <w:p>
      <w:pPr>
        <w:pStyle w:val="ListParagraph"/>
        <w:numPr>
          <w:ilvl w:val="0"/>
          <w:numId w:val="2"/>
        </w:numPr>
        <w:spacing w:after="70" w:line="290"/>
      </w:pPr>
      <w:r>
        <w:rPr>
          <w:b/>
          <w:bCs/>
        </w:rPr>
        <w:t xml:space="preserve">Une seule note change. </w:t>
      </w:r>
      <w:r>
        <w:t xml:space="preserve">L’huilerie d’olives passe de 8 à 6 : sa sécheresse, aujourd’hui traitée comme un simple aléa financier, devient un aléa climatique élevé sans adaptation (C11), et le scénario de deux campagnes sèches devient le stress le plus sévère (N2 critique). C’est le cas qui avait motivé la proposition.</w:t>
      </w:r>
    </w:p>
    <w:p>
      <w:pPr>
        <w:pStyle w:val="ListParagraph"/>
        <w:numPr>
          <w:ilvl w:val="0"/>
          <w:numId w:val="2"/>
        </w:numPr>
        <w:spacing w:after="70" w:line="290"/>
      </w:pPr>
      <w:r>
        <w:rPr>
          <w:b/>
          <w:bCs/>
        </w:rPr>
        <w:t xml:space="preserve">Les autres plafonds climatiques s’ajoutent à des dossiers déjà plafonnés au même niveau ou plus bas </w:t>
      </w:r>
      <w:r>
        <w:t xml:space="preserve">(hôtel, agro-industrie variantes A et B, centrale au gaz, centre de données, verrerie, complexe balnéaire) : la note ne change pas, mais le risque devient visible et justifié.</w:t>
      </w:r>
    </w:p>
    <w:p>
      <w:pPr>
        <w:pStyle w:val="ListParagraph"/>
        <w:numPr>
          <w:ilvl w:val="0"/>
          <w:numId w:val="2"/>
        </w:numPr>
        <w:spacing w:after="70" w:line="290"/>
      </w:pPr>
      <w:r>
        <w:rPr>
          <w:b/>
          <w:bCs/>
        </w:rPr>
        <w:t xml:space="preserve">L’exposition retenue diffère souvent de la case déclarée </w:t>
      </w:r>
      <w:r>
        <w:t xml:space="preserve">(10 cas sur 18) : la case Oui/Non sous-estimait l’exposition. Conséquence directe : ces dossiers passent en analyse approfondie (régime L).</w:t>
      </w:r>
    </w:p>
    <w:p>
      <w:pPr>
        <w:pStyle w:val="ListParagraph"/>
        <w:numPr>
          <w:ilvl w:val="0"/>
          <w:numId w:val="2"/>
        </w:numPr>
        <w:spacing w:after="70" w:line="290"/>
      </w:pPr>
      <w:r>
        <w:rPr>
          <w:b/>
          <w:bCs/>
        </w:rPr>
        <w:t xml:space="preserve">L’adaptation est récompensée : </w:t>
      </w:r>
      <w:r>
        <w:t xml:space="preserve">la centrale solaire et le dessalement, exposés mais adaptés, ne prennent aucun plafond.</w:t>
      </w:r>
    </w:p>
    <w:p>
      <w:pPr>
        <w:pStyle w:val="ListParagraph"/>
        <w:numPr>
          <w:ilvl w:val="0"/>
          <w:numId w:val="2"/>
        </w:numPr>
        <w:spacing w:after="70" w:line="290"/>
      </w:pPr>
      <w:r>
        <w:rPr>
          <w:b/>
          <w:bCs/>
        </w:rPr>
        <w:t xml:space="preserve">Le score bouge peu </w:t>
      </w:r>
      <w:r>
        <w:t xml:space="preserve">(au plus environ 1 point) : l’effet passe par les plafonds et le stress, conformément à l’objectif d’une note de crédit.</w:t>
      </w:r>
    </w:p>
    <w:p>
      <w:pPr>
        <w:pStyle w:val="Heading1"/>
      </w:pPr>
      <w:r>
        <w:t xml:space="preserve">5. Conditions d’activation</w:t>
      </w:r>
    </w:p>
    <w:p>
      <w:pPr>
        <w:pStyle w:val="ListParagraph"/>
        <w:numPr>
          <w:ilvl w:val="0"/>
          <w:numId w:val="2"/>
        </w:numPr>
        <w:spacing w:after="70" w:line="290"/>
      </w:pPr>
      <w:r>
        <w:rPr>
          <w:b/>
          <w:bCs/>
        </w:rPr>
        <w:t xml:space="preserve">Outil Excel : aligné. </w:t>
      </w:r>
      <w:r>
        <w:t xml:space="preserve">La version 4 de l’outil de référence (Outil_Scoring_PF_V8_v4) intègre le volet climatique : section climat de chaque dossier et lot 2 activable dans l’onglet Paramètres, inactif par défaut comme dans l’outil web.</w:t>
      </w:r>
    </w:p>
    <w:p>
      <w:pPr>
        <w:pStyle w:val="ListParagraph"/>
        <w:numPr>
          <w:ilvl w:val="0"/>
          <w:numId w:val="2"/>
        </w:numPr>
        <w:spacing w:after="70" w:line="290"/>
      </w:pPr>
      <w:r>
        <w:rPr>
          <w:b/>
          <w:bCs/>
        </w:rPr>
        <w:t xml:space="preserve">Dossiers en cours : </w:t>
      </w:r>
      <w:r>
        <w:t xml:space="preserve">à l’activation, les scorings au brouillon sont recalculés au prochain enregistrement ; sans données de transition, D9.5 est en « info. insuffisante » et l’évaluation devient partielle (C15, B7) jusqu’à ce que la fiche soit complétée. Les scorings soumis ou validés gardent leurs paramètres.</w:t>
      </w:r>
    </w:p>
    <w:p>
      <w:pPr>
        <w:pStyle w:val="ListParagraph"/>
        <w:numPr>
          <w:ilvl w:val="0"/>
          <w:numId w:val="2"/>
        </w:numPr>
        <w:spacing w:after="70" w:line="290"/>
      </w:pPr>
      <w:r>
        <w:rPr>
          <w:b/>
          <w:bCs/>
        </w:rPr>
        <w:t xml:space="preserve">Formation : </w:t>
      </w:r>
      <w:r>
        <w:t xml:space="preserve">présenter la fiche climat (aléas, sources, adaptation) et le scénario climatique aux analystes ; l’IA propose ces champs à partir des pièces, avec leur source.</w:t>
      </w:r>
    </w:p>
    <w:p>
      <w:pPr>
        <w:pStyle w:val="ListParagraph"/>
        <w:numPr>
          <w:ilvl w:val="0"/>
          <w:numId w:val="2"/>
        </w:numPr>
        <w:spacing w:after="70" w:line="290"/>
      </w:pPr>
      <w:r>
        <w:rPr>
          <w:b/>
          <w:bCs/>
        </w:rPr>
        <w:t xml:space="preserve">Référent climat : </w:t>
      </w:r>
      <w:r>
        <w:t xml:space="preserve">valider les sources admises (cartes d’aléas, études) et le lien avec le reporting 2/W/2025.</w:t>
      </w:r>
    </w:p>
    <w:p>
      <w:pPr>
        <w:spacing w:after="140" w:before="120" w:line="300"/>
      </w:pPr>
      <w:r>
        <w:rPr>
          <w:b/>
          <w:bCs/>
          <w:color w:val="5A3A1E"/>
        </w:rPr>
        <w:t xml:space="preserve">Vérifications. </w:t>
      </w:r>
      <w:r>
        <w:t xml:space="preserve">La concordance entre l’outil web et l’outil Excel version 4 a été vérifiée sur les 18 cas de test, lot 2 inactif puis actif : mêmes notes, mêmes plafonds, même N2. Les tests automatisés du moteur couvrent le volet climatique : règles du lot 2 (paramètre inactif par défaut, poids de D9, C11 selon l’adaptation, C16, C17, contrôles de saisie, case du bloc 2 conservée sans fiche) et impact sur les 18 cas (seule la note de l’huilerie change) ; l’ensemble des 129 tests du modèle PF passe.</w:t>
      </w:r>
    </w:p>
    <w:p>
      <w:pPr>
        <w:pStyle w:val="Heading1"/>
      </w:pPr>
      <w:r>
        <w:t xml:space="preserve">6. Décisions attendues du comité</w:t>
      </w:r>
    </w:p>
    <w:p>
      <w:pPr>
        <w:pStyle w:val="ListParagraph"/>
        <w:numPr>
          <w:ilvl w:val="0"/>
          <w:numId w:val="2"/>
        </w:numPr>
        <w:spacing w:after="70" w:line="290"/>
      </w:pPr>
      <w:r>
        <w:t xml:space="preserve">Valider les règles du lot 2 (section 1) et les paramètres candidats (section 2), ou les amender.</w:t>
      </w:r>
    </w:p>
    <w:p>
      <w:pPr>
        <w:pStyle w:val="ListParagraph"/>
        <w:numPr>
          <w:ilvl w:val="0"/>
          <w:numId w:val="2"/>
        </w:numPr>
        <w:spacing w:after="70" w:line="290"/>
      </w:pPr>
      <w:r>
        <w:t xml:space="preserve">Autoriser l’activation dans le paramétrage (outil web) et dans l’onglet Paramètres de l’outil Excel version 4.</w:t>
      </w:r>
    </w:p>
    <w:p>
      <w:pPr>
        <w:pStyle w:val="ListParagraph"/>
        <w:numPr>
          <w:ilvl w:val="0"/>
          <w:numId w:val="2"/>
        </w:numPr>
        <w:spacing w:after="70" w:line="290"/>
      </w:pPr>
      <w:r>
        <w:t xml:space="preserve">Fixer la date d’activation et le traitement des dossiers en cours.</w:t>
      </w:r>
    </w:p>
    <w:p>
      <w:pPr>
        <w:spacing w:before="240"/>
      </w:pPr>
      <w:r>
        <w:rPr>
          <w:i/>
          <w:iCs/>
          <w:color w:val="7A7A7A"/>
          <w:sz w:val="19"/>
          <w:szCs w:val="19"/>
        </w:rPr>
        <w:t xml:space="preserve">Les cas et les fiches climat sont fictifs. Les références réglementaires sont à confirmer sur les textes officiels.</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8"/>
        <w:szCs w:val="18"/>
      </w:rPr>
      <w:t xml:space="preserve">Risques Groupe · Volet climatique, lot 2 — dossier de validation · page </w:t>
    </w:r>
    <w:r>
      <w:rPr>
        <w:color w:val="7A7A7A"/>
        <w:sz w:val="18"/>
        <w:szCs w:val="18"/>
      </w:rPr>
      <w:fldChar w:fldCharType="begin"/>
    </w:r>
    <w:r>
      <w:rPr>
        <w:color w:val="7A7A7A"/>
        <w:sz w:val="18"/>
        <w:szCs w:val="18"/>
      </w:rPr>
      <w:instrText xml:space="preserve">PAGE</w:instrText>
    </w:r>
    <w:r>
      <w:rPr>
        <w:color w:val="7A7A7A"/>
        <w:sz w:val="18"/>
        <w:szCs w:val="18"/>
      </w:rPr>
      <w:fldChar w:fldCharType="separate"/>
    </w:r>
    <w:r>
      <w:rPr>
        <w:color w:val="7A7A7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rPr>
        <w:color w:val="E8790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qFormat/>
    <w:pPr>
      <w:spacing w:after="80"/>
    </w:pPr>
    <w:rPr>
      <w:rFonts w:ascii="Calibri" w:cs="Calibri" w:eastAsia="Calibri" w:hAnsi="Calibri"/>
      <w:b/>
      <w:bCs/>
      <w:color w:val="E8790F"/>
      <w:sz w:val="40"/>
      <w:szCs w:val="40"/>
    </w:rPr>
  </w:style>
  <w:style w:type="paragraph" w:styleId="Heading1">
    <w:name w:val="Heading 1"/>
    <w:basedOn w:val="Normal"/>
    <w:next w:val="Normal"/>
    <w:qFormat/>
    <w:pPr>
      <w:keepNext/>
      <w:spacing w:after="120" w:before="320"/>
      <w:outlineLvl w:val="0"/>
    </w:pPr>
    <w:rPr>
      <w:rFonts w:ascii="Calibri" w:cs="Calibri" w:eastAsia="Calibri" w:hAnsi="Calibri"/>
      <w:b/>
      <w:bCs/>
      <w:color w:val="E8790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Volet climatique, lot 2 — dossier de validation</dc:title>
  <dc:creator>Risques Groupe</dc:creator>
  <cp:lastModifiedBy>Un-named</cp:lastModifiedBy>
  <cp:revision>1</cp:revision>
  <dcterms:created xsi:type="dcterms:W3CDTF">2026-10-27T11:57:56.679Z</dcterms:created>
  <dcterms:modified xsi:type="dcterms:W3CDTF">2026-10-27T11:57:56.680Z</dcterms:modified>
</cp:coreProperties>
</file>

<file path=docProps/custom.xml><?xml version="1.0" encoding="utf-8"?>
<Properties xmlns="http://schemas.openxmlformats.org/officeDocument/2006/custom-properties" xmlns:vt="http://schemas.openxmlformats.org/officeDocument/2006/docPropsVTypes"/>
</file>