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E8790F"/>
          <w:sz w:val="20"/>
          <w:szCs w:val="20"/>
        </w:rPr>
        <w:t xml:space="preserve">Modèle de scoring Project Finance · Risques Groupe</w:t>
      </w:r>
    </w:p>
    <w:p>
      <w:pPr>
        <w:spacing w:after="0" w:before="2600"/>
      </w:pPr>
      <w:r>
        <w:rPr>
          <w:b/>
          <w:bCs/>
          <w:color w:val="E8790F"/>
          <w:sz w:val="56"/>
          <w:szCs w:val="56"/>
        </w:rPr>
        <w:t xml:space="preserve">Guide de saisie détaillé</w:t>
      </w:r>
    </w:p>
    <w:p>
      <w:pPr>
        <w:spacing w:after="240"/>
      </w:pPr>
      <w:r>
        <w:rPr>
          <w:color w:val="5A3A1E"/>
          <w:sz w:val="40"/>
          <w:szCs w:val="40"/>
        </w:rPr>
        <w:t xml:space="preserve">Outil de scoring Project Finance</w:t>
      </w:r>
    </w:p>
    <w:p>
      <w:pPr>
        <w:spacing w:after="200" w:before="0"/>
      </w:pPr>
      <w:r>
        <w:rPr>
          <w:color w:val="333333"/>
          <w:sz w:val="24"/>
          <w:szCs w:val="24"/>
        </w:rPr>
        <w:t xml:space="preserve">Ce document décrit ce qu'il faut renseigner dans chaque zone de l'outil, et comment choisir parmi les réponses proposées. Il couvre les deux fiches de saisie — client et projet — puis les quatre-vingt-quatre questions de l'ancienne grille de scoring, une par une, et enfin les fonctions récentes de l'écran de scoring Project Finance : aide au calcul du choc (bloc 6), origine des valeurs, onglet Climat (bloc 14) et champs proposés par l'IA.</w:t>
      </w:r>
    </w:p>
    <w:p>
      <w:pPr>
        <w:spacing w:after="1200" w:before="0"/>
      </w:pPr>
      <w:r>
        <w:rPr>
          <w:color w:val="7A7A7A"/>
          <w:sz w:val="22"/>
          <w:szCs w:val="22"/>
        </w:rPr>
        <w:t xml:space="preserve">Pour chaque question : les indicateurs à regarder, le seuil de référence de la banque, les sources documentaires à solliciter, et le cas d'usage de chacune des quatre réponses possibles.</w:t>
      </w:r>
    </w:p>
    <w:p>
      <w:pPr>
        <w:pBdr>
          <w:left w:val="single" w:color="E8790F" w:sz="18" w:space="8"/>
        </w:pBdr>
        <w:shd w:fill="FDEBD3" w:color="auto" w:val="clear"/>
        <w:spacing w:after="600" w:before="0" w:line="300"/>
        <w:ind w:left="160" w:right="160"/>
      </w:pPr>
      <w:r>
        <w:rPr>
          <w:b/>
          <w:bCs/>
          <w:color w:val="5A3A1E"/>
        </w:rPr>
        <w:t xml:space="preserve">Mise à jour d'octobre 2026</w:t>
      </w:r>
      <w:r>
        <w:br/>
        <w:t xml:space="preserve"/>
      </w:r>
      <w:r>
        <w:t xml:space="preserve">La notation des dossiers se fait désormais dans l'écran de scoring Project Finance (blocs 1 à 14) : neuf domaines, un noyau financier de six indicateurs, 17 plafonds de note (C1 à C17, dont C16 et C17 réservés au lot 2 du volet climatique) et 12 verrous (X1 à X4, B1 à B8).</w:t>
      </w:r>
      <w:r>
        <w:br/>
        <w:t xml:space="preserve"/>
      </w:r>
      <w:r>
        <w:t xml:space="preserve">Les sections 1 à 3 restent valables. La grille de la section 4 et les annexes 5.1 et 5.2 décrivent l'ancien questionnaire générique : elles sont conservées pour mémoire, avec un renvoi vers les règles actuelles. Les sections 6 à 9 sont nouvelles.</w:t>
      </w:r>
    </w:p>
    <w:p>
      <w:pPr>
        <w:spacing w:after="120" w:before="0"/>
      </w:pPr>
      <w:r>
        <w:rPr>
          <w:color w:val="7A7A7A"/>
          <w:sz w:val="20"/>
          <w:szCs w:val="20"/>
        </w:rPr>
        <w:t xml:space="preserve">Direction des Risques · À l'attention des chargés d'affaires</w:t>
      </w:r>
    </w:p>
    <w:p>
      <w:r>
        <w:br w:type="page"/>
      </w:r>
    </w:p>
    <w:p>
      <w:pPr>
        <w:pStyle w:val="Heading1"/>
      </w:pPr>
      <w:r>
        <w:t xml:space="preserve">Sommaire</w:t>
      </w:r>
    </w:p>
    <w:p>
      <w:pPr>
        <w:tabs>
          <w:tab w:val="right" w:pos="9746" w:leader="dot"/>
        </w:tabs>
        <w:spacing w:after="20" w:before="100"/>
        <w:ind w:left="0"/>
      </w:pPr>
      <w:r>
        <w:rPr>
          <w:b/>
          <w:bCs/>
          <w:color w:val="5A3A1E"/>
          <w:sz w:val="20"/>
          <w:szCs w:val="20"/>
        </w:rPr>
        <w:t xml:space="preserve">1. Principes de saisie</w:t>
      </w:r>
      <w:r>
        <w:rPr>
          <w:color w:val="7A7A7A"/>
          <w:sz w:val="19"/>
          <w:szCs w:val="19"/>
        </w:rPr>
        <w:t xml:space="preserve">	3</w:t>
      </w:r>
    </w:p>
    <w:p>
      <w:pPr>
        <w:tabs>
          <w:tab w:val="right" w:pos="9746" w:leader="dot"/>
        </w:tabs>
        <w:spacing w:after="20" w:before="0"/>
        <w:ind w:left="360"/>
      </w:pPr>
      <w:r>
        <w:rPr>
          <w:b w:val="false"/>
          <w:bCs w:val="false"/>
          <w:color w:val="333333"/>
          <w:sz w:val="19"/>
          <w:szCs w:val="19"/>
        </w:rPr>
        <w:t xml:space="preserve">1.1 Une liste déroulante n'est pas décorative</w:t>
      </w:r>
      <w:r>
        <w:rPr>
          <w:color w:val="7A7A7A"/>
          <w:sz w:val="19"/>
          <w:szCs w:val="19"/>
        </w:rPr>
        <w:t xml:space="preserve">	3</w:t>
      </w:r>
    </w:p>
    <w:p>
      <w:pPr>
        <w:tabs>
          <w:tab w:val="right" w:pos="9746" w:leader="dot"/>
        </w:tabs>
        <w:spacing w:after="20" w:before="0"/>
        <w:ind w:left="360"/>
      </w:pPr>
      <w:r>
        <w:rPr>
          <w:b w:val="false"/>
          <w:bCs w:val="false"/>
          <w:color w:val="333333"/>
          <w:sz w:val="19"/>
          <w:szCs w:val="19"/>
        </w:rPr>
        <w:t xml:space="preserve">1.2 Un champ vide vaut mieux qu'un champ faux</w:t>
      </w:r>
      <w:r>
        <w:rPr>
          <w:color w:val="7A7A7A"/>
          <w:sz w:val="19"/>
          <w:szCs w:val="19"/>
        </w:rPr>
        <w:t xml:space="preserve">	3</w:t>
      </w:r>
    </w:p>
    <w:p>
      <w:pPr>
        <w:tabs>
          <w:tab w:val="right" w:pos="9746" w:leader="dot"/>
        </w:tabs>
        <w:spacing w:after="20" w:before="0"/>
        <w:ind w:left="360"/>
      </w:pPr>
      <w:r>
        <w:rPr>
          <w:b w:val="false"/>
          <w:bCs w:val="false"/>
          <w:color w:val="333333"/>
          <w:sz w:val="19"/>
          <w:szCs w:val="19"/>
        </w:rPr>
        <w:t xml:space="preserve">1.3 Les unités sont fixées</w:t>
      </w:r>
      <w:r>
        <w:rPr>
          <w:color w:val="7A7A7A"/>
          <w:sz w:val="19"/>
          <w:szCs w:val="19"/>
        </w:rPr>
        <w:t xml:space="preserve">	3</w:t>
      </w:r>
    </w:p>
    <w:p>
      <w:pPr>
        <w:tabs>
          <w:tab w:val="right" w:pos="9746" w:leader="dot"/>
        </w:tabs>
        <w:spacing w:after="20" w:before="100"/>
        <w:ind w:left="0"/>
      </w:pPr>
      <w:r>
        <w:rPr>
          <w:b/>
          <w:bCs/>
          <w:color w:val="5A3A1E"/>
          <w:sz w:val="20"/>
          <w:szCs w:val="20"/>
        </w:rPr>
        <w:t xml:space="preserve">2. Fiche client</w:t>
      </w:r>
      <w:r>
        <w:rPr>
          <w:color w:val="7A7A7A"/>
          <w:sz w:val="19"/>
          <w:szCs w:val="19"/>
        </w:rPr>
        <w:t xml:space="preserve">	4</w:t>
      </w:r>
    </w:p>
    <w:p>
      <w:pPr>
        <w:tabs>
          <w:tab w:val="right" w:pos="9746" w:leader="dot"/>
        </w:tabs>
        <w:spacing w:after="20" w:before="0"/>
        <w:ind w:left="360"/>
      </w:pPr>
      <w:r>
        <w:rPr>
          <w:b w:val="false"/>
          <w:bCs w:val="false"/>
          <w:color w:val="333333"/>
          <w:sz w:val="19"/>
          <w:szCs w:val="19"/>
        </w:rPr>
        <w:t xml:space="preserve">2.1 Identité</w:t>
      </w:r>
      <w:r>
        <w:rPr>
          <w:color w:val="7A7A7A"/>
          <w:sz w:val="19"/>
          <w:szCs w:val="19"/>
        </w:rPr>
        <w:t xml:space="preserve">	4</w:t>
      </w:r>
    </w:p>
    <w:p>
      <w:pPr>
        <w:tabs>
          <w:tab w:val="right" w:pos="9746" w:leader="dot"/>
        </w:tabs>
        <w:spacing w:after="20" w:before="0"/>
        <w:ind w:left="360"/>
      </w:pPr>
      <w:r>
        <w:rPr>
          <w:b w:val="false"/>
          <w:bCs w:val="false"/>
          <w:color w:val="333333"/>
          <w:sz w:val="19"/>
          <w:szCs w:val="19"/>
        </w:rPr>
        <w:t xml:space="preserve">2.2 Coordonnées</w:t>
      </w:r>
      <w:r>
        <w:rPr>
          <w:color w:val="7A7A7A"/>
          <w:sz w:val="19"/>
          <w:szCs w:val="19"/>
        </w:rPr>
        <w:t xml:space="preserve">	4</w:t>
      </w:r>
    </w:p>
    <w:p>
      <w:pPr>
        <w:tabs>
          <w:tab w:val="right" w:pos="9746" w:leader="dot"/>
        </w:tabs>
        <w:spacing w:after="20" w:before="0"/>
        <w:ind w:left="360"/>
      </w:pPr>
      <w:r>
        <w:rPr>
          <w:b w:val="false"/>
          <w:bCs w:val="false"/>
          <w:color w:val="333333"/>
          <w:sz w:val="19"/>
          <w:szCs w:val="19"/>
        </w:rPr>
        <w:t xml:space="preserve">2.3 Relation bancaire et conformité</w:t>
      </w:r>
      <w:r>
        <w:rPr>
          <w:color w:val="7A7A7A"/>
          <w:sz w:val="19"/>
          <w:szCs w:val="19"/>
        </w:rPr>
        <w:t xml:space="preserve">	4</w:t>
      </w:r>
    </w:p>
    <w:p>
      <w:pPr>
        <w:tabs>
          <w:tab w:val="right" w:pos="9746" w:leader="dot"/>
        </w:tabs>
        <w:spacing w:after="20" w:before="100"/>
        <w:ind w:left="0"/>
      </w:pPr>
      <w:r>
        <w:rPr>
          <w:b/>
          <w:bCs/>
          <w:color w:val="5A3A1E"/>
          <w:sz w:val="20"/>
          <w:szCs w:val="20"/>
        </w:rPr>
        <w:t xml:space="preserve">3. Fiche projet</w:t>
      </w:r>
      <w:r>
        <w:rPr>
          <w:color w:val="7A7A7A"/>
          <w:sz w:val="19"/>
          <w:szCs w:val="19"/>
        </w:rPr>
        <w:t xml:space="preserve">	6</w:t>
      </w:r>
    </w:p>
    <w:p>
      <w:pPr>
        <w:tabs>
          <w:tab w:val="right" w:pos="9746" w:leader="dot"/>
        </w:tabs>
        <w:spacing w:after="20" w:before="0"/>
        <w:ind w:left="360"/>
      </w:pPr>
      <w:r>
        <w:rPr>
          <w:b w:val="false"/>
          <w:bCs w:val="false"/>
          <w:color w:val="333333"/>
          <w:sz w:val="19"/>
          <w:szCs w:val="19"/>
        </w:rPr>
        <w:t xml:space="preserve">3.1 Identification</w:t>
      </w:r>
      <w:r>
        <w:rPr>
          <w:color w:val="7A7A7A"/>
          <w:sz w:val="19"/>
          <w:szCs w:val="19"/>
        </w:rPr>
        <w:t xml:space="preserve">	6</w:t>
      </w:r>
    </w:p>
    <w:p>
      <w:pPr>
        <w:tabs>
          <w:tab w:val="right" w:pos="9746" w:leader="dot"/>
        </w:tabs>
        <w:spacing w:after="20" w:before="0"/>
        <w:ind w:left="360"/>
      </w:pPr>
      <w:r>
        <w:rPr>
          <w:b w:val="false"/>
          <w:bCs w:val="false"/>
          <w:color w:val="333333"/>
          <w:sz w:val="19"/>
          <w:szCs w:val="19"/>
        </w:rPr>
        <w:t xml:space="preserve">3.2 Technologie et capacité selon le secteur</w:t>
      </w:r>
      <w:r>
        <w:rPr>
          <w:color w:val="7A7A7A"/>
          <w:sz w:val="19"/>
          <w:szCs w:val="19"/>
        </w:rPr>
        <w:t xml:space="preserve">	6</w:t>
      </w:r>
    </w:p>
    <w:p>
      <w:pPr>
        <w:tabs>
          <w:tab w:val="right" w:pos="9746" w:leader="dot"/>
        </w:tabs>
        <w:spacing w:after="20" w:before="0"/>
        <w:ind w:left="360"/>
      </w:pPr>
      <w:r>
        <w:rPr>
          <w:b w:val="false"/>
          <w:bCs w:val="false"/>
          <w:color w:val="333333"/>
          <w:sz w:val="19"/>
          <w:szCs w:val="19"/>
        </w:rPr>
        <w:t xml:space="preserve">3.3 Montants et financement</w:t>
      </w:r>
      <w:r>
        <w:rPr>
          <w:color w:val="7A7A7A"/>
          <w:sz w:val="19"/>
          <w:szCs w:val="19"/>
        </w:rPr>
        <w:t xml:space="preserve">	8</w:t>
      </w:r>
    </w:p>
    <w:p>
      <w:pPr>
        <w:tabs>
          <w:tab w:val="right" w:pos="9746" w:leader="dot"/>
        </w:tabs>
        <w:spacing w:after="20" w:before="0"/>
        <w:ind w:left="360"/>
      </w:pPr>
      <w:r>
        <w:rPr>
          <w:b w:val="false"/>
          <w:bCs w:val="false"/>
          <w:color w:val="333333"/>
          <w:sz w:val="19"/>
          <w:szCs w:val="19"/>
        </w:rPr>
        <w:t xml:space="preserve">3.4 Calendrier</w:t>
      </w:r>
      <w:r>
        <w:rPr>
          <w:color w:val="7A7A7A"/>
          <w:sz w:val="19"/>
          <w:szCs w:val="19"/>
        </w:rPr>
        <w:t xml:space="preserve">	8</w:t>
      </w:r>
    </w:p>
    <w:p>
      <w:pPr>
        <w:tabs>
          <w:tab w:val="right" w:pos="9746" w:leader="dot"/>
        </w:tabs>
        <w:spacing w:after="20" w:before="0"/>
        <w:ind w:left="360"/>
      </w:pPr>
      <w:r>
        <w:rPr>
          <w:b w:val="false"/>
          <w:bCs w:val="false"/>
          <w:color w:val="333333"/>
          <w:sz w:val="19"/>
          <w:szCs w:val="19"/>
        </w:rPr>
        <w:t xml:space="preserve">3.5 Intervenants</w:t>
      </w:r>
      <w:r>
        <w:rPr>
          <w:color w:val="7A7A7A"/>
          <w:sz w:val="19"/>
          <w:szCs w:val="19"/>
        </w:rPr>
        <w:t xml:space="preserve">	8</w:t>
      </w:r>
    </w:p>
    <w:p>
      <w:pPr>
        <w:tabs>
          <w:tab w:val="right" w:pos="9746" w:leader="dot"/>
        </w:tabs>
        <w:spacing w:after="20" w:before="0"/>
        <w:ind w:left="360"/>
      </w:pPr>
      <w:r>
        <w:rPr>
          <w:b w:val="false"/>
          <w:bCs w:val="false"/>
          <w:color w:val="333333"/>
          <w:sz w:val="19"/>
          <w:szCs w:val="19"/>
        </w:rPr>
        <w:t xml:space="preserve">3.6 Deux champs à ne pas remplir</w:t>
      </w:r>
      <w:r>
        <w:rPr>
          <w:color w:val="7A7A7A"/>
          <w:sz w:val="19"/>
          <w:szCs w:val="19"/>
        </w:rPr>
        <w:t xml:space="preserve">	9</w:t>
      </w:r>
    </w:p>
    <w:p>
      <w:pPr>
        <w:tabs>
          <w:tab w:val="right" w:pos="9746" w:leader="dot"/>
        </w:tabs>
        <w:spacing w:after="20" w:before="100"/>
        <w:ind w:left="0"/>
      </w:pPr>
      <w:r>
        <w:rPr>
          <w:b/>
          <w:bCs/>
          <w:color w:val="5A3A1E"/>
          <w:sz w:val="20"/>
          <w:szCs w:val="20"/>
        </w:rPr>
        <w:t xml:space="preserve">4. Les quatre-vingt-quatre questions de l'ancienne grille</w:t>
      </w:r>
      <w:r>
        <w:rPr>
          <w:color w:val="7A7A7A"/>
          <w:sz w:val="19"/>
          <w:szCs w:val="19"/>
        </w:rPr>
        <w:t xml:space="preserve">	10</w:t>
      </w:r>
    </w:p>
    <w:p>
      <w:pPr>
        <w:tabs>
          <w:tab w:val="right" w:pos="9746" w:leader="dot"/>
        </w:tabs>
        <w:spacing w:after="20" w:before="100"/>
        <w:ind w:left="0"/>
      </w:pPr>
      <w:r>
        <w:rPr>
          <w:b/>
          <w:bCs/>
          <w:color w:val="5A3A1E"/>
          <w:sz w:val="20"/>
          <w:szCs w:val="20"/>
        </w:rPr>
        <w:t xml:space="preserve">D1 · Sponsor et actionnaires</w:t>
      </w:r>
      <w:r>
        <w:rPr>
          <w:color w:val="7A7A7A"/>
          <w:sz w:val="19"/>
          <w:szCs w:val="19"/>
        </w:rPr>
        <w:t xml:space="preserve">	11</w:t>
      </w:r>
    </w:p>
    <w:p>
      <w:pPr>
        <w:tabs>
          <w:tab w:val="right" w:pos="9746" w:leader="dot"/>
        </w:tabs>
        <w:spacing w:after="20" w:before="100"/>
        <w:ind w:left="0"/>
      </w:pPr>
      <w:r>
        <w:rPr>
          <w:b/>
          <w:bCs/>
          <w:color w:val="5A3A1E"/>
          <w:sz w:val="20"/>
          <w:szCs w:val="20"/>
        </w:rPr>
        <w:t xml:space="preserve">D2 · Caractéristiques du projet</w:t>
      </w:r>
      <w:r>
        <w:rPr>
          <w:color w:val="7A7A7A"/>
          <w:sz w:val="19"/>
          <w:szCs w:val="19"/>
        </w:rPr>
        <w:t xml:space="preserve">	15</w:t>
      </w:r>
    </w:p>
    <w:p>
      <w:pPr>
        <w:tabs>
          <w:tab w:val="right" w:pos="9746" w:leader="dot"/>
        </w:tabs>
        <w:spacing w:after="20" w:before="100"/>
        <w:ind w:left="0"/>
      </w:pPr>
      <w:r>
        <w:rPr>
          <w:b/>
          <w:bCs/>
          <w:color w:val="5A3A1E"/>
          <w:sz w:val="20"/>
          <w:szCs w:val="20"/>
        </w:rPr>
        <w:t xml:space="preserve">D3 · Risque de construction</w:t>
      </w:r>
      <w:r>
        <w:rPr>
          <w:color w:val="7A7A7A"/>
          <w:sz w:val="19"/>
          <w:szCs w:val="19"/>
        </w:rPr>
        <w:t xml:space="preserve">	20</w:t>
      </w:r>
    </w:p>
    <w:p>
      <w:pPr>
        <w:tabs>
          <w:tab w:val="right" w:pos="9746" w:leader="dot"/>
        </w:tabs>
        <w:spacing w:after="20" w:before="100"/>
        <w:ind w:left="0"/>
      </w:pPr>
      <w:r>
        <w:rPr>
          <w:b/>
          <w:bCs/>
          <w:color w:val="5A3A1E"/>
          <w:sz w:val="20"/>
          <w:szCs w:val="20"/>
        </w:rPr>
        <w:t xml:space="preserve">D4 · Risque de marché</w:t>
      </w:r>
      <w:r>
        <w:rPr>
          <w:color w:val="7A7A7A"/>
          <w:sz w:val="19"/>
          <w:szCs w:val="19"/>
        </w:rPr>
        <w:t xml:space="preserve">	24</w:t>
      </w:r>
    </w:p>
    <w:p>
      <w:pPr>
        <w:tabs>
          <w:tab w:val="right" w:pos="9746" w:leader="dot"/>
        </w:tabs>
        <w:spacing w:after="20" w:before="100"/>
        <w:ind w:left="0"/>
      </w:pPr>
      <w:r>
        <w:rPr>
          <w:b/>
          <w:bCs/>
          <w:color w:val="5A3A1E"/>
          <w:sz w:val="20"/>
          <w:szCs w:val="20"/>
        </w:rPr>
        <w:t xml:space="preserve">D5 · Risque opérationnel</w:t>
      </w:r>
      <w:r>
        <w:rPr>
          <w:color w:val="7A7A7A"/>
          <w:sz w:val="19"/>
          <w:szCs w:val="19"/>
        </w:rPr>
        <w:t xml:space="preserve">	29</w:t>
      </w:r>
    </w:p>
    <w:p>
      <w:pPr>
        <w:tabs>
          <w:tab w:val="right" w:pos="9746" w:leader="dot"/>
        </w:tabs>
        <w:spacing w:after="20" w:before="100"/>
        <w:ind w:left="0"/>
      </w:pPr>
      <w:r>
        <w:rPr>
          <w:b/>
          <w:bCs/>
          <w:color w:val="5A3A1E"/>
          <w:sz w:val="20"/>
          <w:szCs w:val="20"/>
        </w:rPr>
        <w:t xml:space="preserve">D6 · Risque de contrepartie</w:t>
      </w:r>
      <w:r>
        <w:rPr>
          <w:color w:val="7A7A7A"/>
          <w:sz w:val="19"/>
          <w:szCs w:val="19"/>
        </w:rPr>
        <w:t xml:space="preserve">	34</w:t>
      </w:r>
    </w:p>
    <w:p>
      <w:pPr>
        <w:tabs>
          <w:tab w:val="right" w:pos="9746" w:leader="dot"/>
        </w:tabs>
        <w:spacing w:after="20" w:before="100"/>
        <w:ind w:left="0"/>
      </w:pPr>
      <w:r>
        <w:rPr>
          <w:b/>
          <w:bCs/>
          <w:color w:val="5A3A1E"/>
          <w:sz w:val="20"/>
          <w:szCs w:val="20"/>
        </w:rPr>
        <w:t xml:space="preserve">D7 · Structure financière et flux de trésorerie</w:t>
      </w:r>
      <w:r>
        <w:rPr>
          <w:color w:val="7A7A7A"/>
          <w:sz w:val="19"/>
          <w:szCs w:val="19"/>
        </w:rPr>
        <w:t xml:space="preserve">	39</w:t>
      </w:r>
    </w:p>
    <w:p>
      <w:pPr>
        <w:tabs>
          <w:tab w:val="right" w:pos="9746" w:leader="dot"/>
        </w:tabs>
        <w:spacing w:after="20" w:before="100"/>
        <w:ind w:left="0"/>
      </w:pPr>
      <w:r>
        <w:rPr>
          <w:b/>
          <w:bCs/>
          <w:color w:val="5A3A1E"/>
          <w:sz w:val="20"/>
          <w:szCs w:val="20"/>
        </w:rPr>
        <w:t xml:space="preserve">D8 · Juridique et documentation</w:t>
      </w:r>
      <w:r>
        <w:rPr>
          <w:color w:val="7A7A7A"/>
          <w:sz w:val="19"/>
          <w:szCs w:val="19"/>
        </w:rPr>
        <w:t xml:space="preserve">	43</w:t>
      </w:r>
    </w:p>
    <w:p>
      <w:pPr>
        <w:tabs>
          <w:tab w:val="right" w:pos="9746" w:leader="dot"/>
        </w:tabs>
        <w:spacing w:after="20" w:before="100"/>
        <w:ind w:left="0"/>
      </w:pPr>
      <w:r>
        <w:rPr>
          <w:b/>
          <w:bCs/>
          <w:color w:val="5A3A1E"/>
          <w:sz w:val="20"/>
          <w:szCs w:val="20"/>
        </w:rPr>
        <w:t xml:space="preserve">D9 · ESG et risque climatique</w:t>
      </w:r>
      <w:r>
        <w:rPr>
          <w:color w:val="7A7A7A"/>
          <w:sz w:val="19"/>
          <w:szCs w:val="19"/>
        </w:rPr>
        <w:t xml:space="preserve">	47</w:t>
      </w:r>
    </w:p>
    <w:p>
      <w:pPr>
        <w:tabs>
          <w:tab w:val="right" w:pos="9746" w:leader="dot"/>
        </w:tabs>
        <w:spacing w:after="20" w:before="100"/>
        <w:ind w:left="0"/>
      </w:pPr>
      <w:r>
        <w:rPr>
          <w:b/>
          <w:bCs/>
          <w:color w:val="5A3A1E"/>
          <w:sz w:val="20"/>
          <w:szCs w:val="20"/>
        </w:rPr>
        <w:t xml:space="preserve">5. Annexes</w:t>
      </w:r>
      <w:r>
        <w:rPr>
          <w:color w:val="7A7A7A"/>
          <w:sz w:val="19"/>
          <w:szCs w:val="19"/>
        </w:rPr>
        <w:t xml:space="preserve">	53</w:t>
      </w:r>
    </w:p>
    <w:p>
      <w:pPr>
        <w:tabs>
          <w:tab w:val="right" w:pos="9746" w:leader="dot"/>
        </w:tabs>
        <w:spacing w:after="20" w:before="0"/>
        <w:ind w:left="360"/>
      </w:pPr>
      <w:r>
        <w:rPr>
          <w:b w:val="false"/>
          <w:bCs w:val="false"/>
          <w:color w:val="333333"/>
          <w:sz w:val="19"/>
          <w:szCs w:val="19"/>
        </w:rPr>
        <w:t xml:space="preserve">5.1 Barème de notation</w:t>
      </w:r>
      <w:r>
        <w:rPr>
          <w:color w:val="7A7A7A"/>
          <w:sz w:val="19"/>
          <w:szCs w:val="19"/>
        </w:rPr>
        <w:t xml:space="preserve">	53</w:t>
      </w:r>
    </w:p>
    <w:p>
      <w:pPr>
        <w:tabs>
          <w:tab w:val="right" w:pos="9746" w:leader="dot"/>
        </w:tabs>
        <w:spacing w:after="20" w:before="0"/>
        <w:ind w:left="360"/>
      </w:pPr>
      <w:r>
        <w:rPr>
          <w:b w:val="false"/>
          <w:bCs w:val="false"/>
          <w:color w:val="333333"/>
          <w:sz w:val="19"/>
          <w:szCs w:val="19"/>
        </w:rPr>
        <w:t xml:space="preserve">5.2 Seuils rédhibitoires</w:t>
      </w:r>
      <w:r>
        <w:rPr>
          <w:color w:val="7A7A7A"/>
          <w:sz w:val="19"/>
          <w:szCs w:val="19"/>
        </w:rPr>
        <w:t xml:space="preserve">	53</w:t>
      </w:r>
    </w:p>
    <w:p>
      <w:pPr>
        <w:tabs>
          <w:tab w:val="right" w:pos="9746" w:leader="dot"/>
        </w:tabs>
        <w:spacing w:after="20" w:before="0"/>
        <w:ind w:left="360"/>
      </w:pPr>
      <w:r>
        <w:rPr>
          <w:b w:val="false"/>
          <w:bCs w:val="false"/>
          <w:color w:val="333333"/>
          <w:sz w:val="19"/>
          <w:szCs w:val="19"/>
        </w:rPr>
        <w:t xml:space="preserve">5.3 Les douze secteurs calibrés</w:t>
      </w:r>
      <w:r>
        <w:rPr>
          <w:color w:val="7A7A7A"/>
          <w:sz w:val="19"/>
          <w:szCs w:val="19"/>
        </w:rPr>
        <w:t xml:space="preserve">	54</w:t>
      </w:r>
    </w:p>
    <w:p>
      <w:pPr>
        <w:tabs>
          <w:tab w:val="right" w:pos="9746" w:leader="dot"/>
        </w:tabs>
        <w:spacing w:after="20" w:before="100"/>
        <w:ind w:left="0"/>
      </w:pPr>
      <w:r>
        <w:rPr>
          <w:b/>
          <w:bCs/>
          <w:color w:val="5A3A1E"/>
          <w:sz w:val="20"/>
          <w:szCs w:val="20"/>
        </w:rPr>
        <w:t xml:space="preserve">6. Bloc 6 : scénario défavorable et calcul du choc</w:t>
      </w:r>
      <w:r>
        <w:rPr>
          <w:color w:val="7A7A7A"/>
          <w:sz w:val="19"/>
          <w:szCs w:val="19"/>
        </w:rPr>
        <w:t xml:space="preserve">	55</w:t>
      </w:r>
    </w:p>
    <w:p>
      <w:pPr>
        <w:tabs>
          <w:tab w:val="right" w:pos="9746" w:leader="dot"/>
        </w:tabs>
        <w:spacing w:after="20" w:before="0"/>
        <w:ind w:left="360"/>
      </w:pPr>
      <w:r>
        <w:rPr>
          <w:b w:val="false"/>
          <w:bCs w:val="false"/>
          <w:color w:val="333333"/>
          <w:sz w:val="19"/>
          <w:szCs w:val="19"/>
        </w:rPr>
        <w:t xml:space="preserve">6.1 Ce que vous saisissez</w:t>
      </w:r>
      <w:r>
        <w:rPr>
          <w:color w:val="7A7A7A"/>
          <w:sz w:val="19"/>
          <w:szCs w:val="19"/>
        </w:rPr>
        <w:t xml:space="preserve">	55</w:t>
      </w:r>
    </w:p>
    <w:p>
      <w:pPr>
        <w:tabs>
          <w:tab w:val="right" w:pos="9746" w:leader="dot"/>
        </w:tabs>
        <w:spacing w:after="20" w:before="0"/>
        <w:ind w:left="360"/>
      </w:pPr>
      <w:r>
        <w:rPr>
          <w:b w:val="false"/>
          <w:bCs w:val="false"/>
          <w:color w:val="333333"/>
          <w:sz w:val="19"/>
          <w:szCs w:val="19"/>
        </w:rPr>
        <w:t xml:space="preserve">6.2 La bibliothèque des scénarios de référence</w:t>
      </w:r>
      <w:r>
        <w:rPr>
          <w:color w:val="7A7A7A"/>
          <w:sz w:val="19"/>
          <w:szCs w:val="19"/>
        </w:rPr>
        <w:t xml:space="preserve">	55</w:t>
      </w:r>
    </w:p>
    <w:p>
      <w:pPr>
        <w:tabs>
          <w:tab w:val="right" w:pos="9746" w:leader="dot"/>
        </w:tabs>
        <w:spacing w:after="20" w:before="0"/>
        <w:ind w:left="360"/>
      </w:pPr>
      <w:r>
        <w:rPr>
          <w:b w:val="false"/>
          <w:bCs w:val="false"/>
          <w:color w:val="333333"/>
          <w:sz w:val="19"/>
          <w:szCs w:val="19"/>
        </w:rPr>
        <w:t xml:space="preserve">6.3 Du scénario au choc : l'aide au calcul</w:t>
      </w:r>
      <w:r>
        <w:rPr>
          <w:color w:val="7A7A7A"/>
          <w:sz w:val="19"/>
          <w:szCs w:val="19"/>
        </w:rPr>
        <w:t xml:space="preserve">	56</w:t>
      </w:r>
    </w:p>
    <w:p>
      <w:pPr>
        <w:tabs>
          <w:tab w:val="right" w:pos="9746" w:leader="dot"/>
        </w:tabs>
        <w:spacing w:after="20" w:before="100"/>
        <w:ind w:left="0"/>
      </w:pPr>
      <w:r>
        <w:rPr>
          <w:b/>
          <w:bCs/>
          <w:color w:val="5A3A1E"/>
          <w:sz w:val="20"/>
          <w:szCs w:val="20"/>
        </w:rPr>
        <w:t xml:space="preserve">7. L'origine des valeurs</w:t>
      </w:r>
      <w:r>
        <w:rPr>
          <w:color w:val="7A7A7A"/>
          <w:sz w:val="19"/>
          <w:szCs w:val="19"/>
        </w:rPr>
        <w:t xml:space="preserve">	56</w:t>
      </w:r>
    </w:p>
    <w:p>
      <w:pPr>
        <w:tabs>
          <w:tab w:val="right" w:pos="9746" w:leader="dot"/>
        </w:tabs>
        <w:spacing w:after="20" w:before="0"/>
        <w:ind w:left="360"/>
      </w:pPr>
      <w:r>
        <w:rPr>
          <w:b w:val="false"/>
          <w:bCs w:val="false"/>
          <w:color w:val="333333"/>
          <w:sz w:val="19"/>
          <w:szCs w:val="19"/>
        </w:rPr>
        <w:t xml:space="preserve">7.1 Si vous modifiez la valeur</w:t>
      </w:r>
      <w:r>
        <w:rPr>
          <w:color w:val="7A7A7A"/>
          <w:sz w:val="19"/>
          <w:szCs w:val="19"/>
        </w:rPr>
        <w:t xml:space="preserve">	56</w:t>
      </w:r>
    </w:p>
    <w:p>
      <w:pPr>
        <w:tabs>
          <w:tab w:val="right" w:pos="9746" w:leader="dot"/>
        </w:tabs>
        <w:spacing w:after="20" w:before="0"/>
        <w:ind w:left="360"/>
      </w:pPr>
      <w:r>
        <w:rPr>
          <w:b w:val="false"/>
          <w:bCs w:val="false"/>
          <w:color w:val="333333"/>
          <w:sz w:val="19"/>
          <w:szCs w:val="19"/>
        </w:rPr>
        <w:t xml:space="preserve">7.2 Ce qui garantit l'origine</w:t>
      </w:r>
      <w:r>
        <w:rPr>
          <w:color w:val="7A7A7A"/>
          <w:sz w:val="19"/>
          <w:szCs w:val="19"/>
        </w:rPr>
        <w:t xml:space="preserve">	57</w:t>
      </w:r>
    </w:p>
    <w:p>
      <w:pPr>
        <w:tabs>
          <w:tab w:val="right" w:pos="9746" w:leader="dot"/>
        </w:tabs>
        <w:spacing w:after="20" w:before="100"/>
        <w:ind w:left="0"/>
      </w:pPr>
      <w:r>
        <w:rPr>
          <w:b/>
          <w:bCs/>
          <w:color w:val="5A3A1E"/>
          <w:sz w:val="20"/>
          <w:szCs w:val="20"/>
        </w:rPr>
        <w:t xml:space="preserve">8. L'onglet Climat (bloc 14)</w:t>
      </w:r>
      <w:r>
        <w:rPr>
          <w:color w:val="7A7A7A"/>
          <w:sz w:val="19"/>
          <w:szCs w:val="19"/>
        </w:rPr>
        <w:t xml:space="preserve">	58</w:t>
      </w:r>
    </w:p>
    <w:p>
      <w:pPr>
        <w:tabs>
          <w:tab w:val="right" w:pos="9746" w:leader="dot"/>
        </w:tabs>
        <w:spacing w:after="20" w:before="0"/>
        <w:ind w:left="360"/>
      </w:pPr>
      <w:r>
        <w:rPr>
          <w:b w:val="false"/>
          <w:bCs w:val="false"/>
          <w:color w:val="333333"/>
          <w:sz w:val="19"/>
          <w:szCs w:val="19"/>
        </w:rPr>
        <w:t xml:space="preserve">8.1 Les risques physiques, aléa par aléa</w:t>
      </w:r>
      <w:r>
        <w:rPr>
          <w:color w:val="7A7A7A"/>
          <w:sz w:val="19"/>
          <w:szCs w:val="19"/>
        </w:rPr>
        <w:t xml:space="preserve">	58</w:t>
      </w:r>
    </w:p>
    <w:p>
      <w:pPr>
        <w:tabs>
          <w:tab w:val="right" w:pos="9746" w:leader="dot"/>
        </w:tabs>
        <w:spacing w:after="20" w:before="0"/>
        <w:ind w:left="360"/>
      </w:pPr>
      <w:r>
        <w:rPr>
          <w:b w:val="false"/>
          <w:bCs w:val="false"/>
          <w:color w:val="333333"/>
          <w:sz w:val="19"/>
          <w:szCs w:val="19"/>
        </w:rPr>
        <w:t xml:space="preserve">8.2 L'exposition déduite et l'alerte d'écart</w:t>
      </w:r>
      <w:r>
        <w:rPr>
          <w:color w:val="7A7A7A"/>
          <w:sz w:val="19"/>
          <w:szCs w:val="19"/>
        </w:rPr>
        <w:t xml:space="preserve">	58</w:t>
      </w:r>
    </w:p>
    <w:p>
      <w:pPr>
        <w:tabs>
          <w:tab w:val="right" w:pos="9746" w:leader="dot"/>
        </w:tabs>
        <w:spacing w:after="20" w:before="0"/>
        <w:ind w:left="360"/>
      </w:pPr>
      <w:r>
        <w:rPr>
          <w:b w:val="false"/>
          <w:bCs w:val="false"/>
          <w:color w:val="333333"/>
          <w:sz w:val="19"/>
          <w:szCs w:val="19"/>
        </w:rPr>
        <w:t xml:space="preserve">8.3 Le risque de transition</w:t>
      </w:r>
      <w:r>
        <w:rPr>
          <w:color w:val="7A7A7A"/>
          <w:sz w:val="19"/>
          <w:szCs w:val="19"/>
        </w:rPr>
        <w:t xml:space="preserve">	58</w:t>
      </w:r>
    </w:p>
    <w:p>
      <w:pPr>
        <w:tabs>
          <w:tab w:val="right" w:pos="9746" w:leader="dot"/>
        </w:tabs>
        <w:spacing w:after="20" w:before="0"/>
        <w:ind w:left="360"/>
      </w:pPr>
      <w:r>
        <w:rPr>
          <w:b w:val="false"/>
          <w:bCs w:val="false"/>
          <w:color w:val="333333"/>
          <w:sz w:val="19"/>
          <w:szCs w:val="19"/>
        </w:rPr>
        <w:t xml:space="preserve">8.4 Le scénario climatique</w:t>
      </w:r>
      <w:r>
        <w:rPr>
          <w:color w:val="7A7A7A"/>
          <w:sz w:val="19"/>
          <w:szCs w:val="19"/>
        </w:rPr>
        <w:t xml:space="preserve">	59</w:t>
      </w:r>
    </w:p>
    <w:p>
      <w:pPr>
        <w:tabs>
          <w:tab w:val="right" w:pos="9746" w:leader="dot"/>
        </w:tabs>
        <w:spacing w:after="20" w:before="0"/>
        <w:ind w:left="360"/>
      </w:pPr>
      <w:r>
        <w:rPr>
          <w:b w:val="false"/>
          <w:bCs w:val="false"/>
          <w:color w:val="333333"/>
          <w:sz w:val="19"/>
          <w:szCs w:val="19"/>
        </w:rPr>
        <w:t xml:space="preserve">8.5 La synthèse et la fiche 2/W/2025</w:t>
      </w:r>
      <w:r>
        <w:rPr>
          <w:color w:val="7A7A7A"/>
          <w:sz w:val="19"/>
          <w:szCs w:val="19"/>
        </w:rPr>
        <w:t xml:space="preserve">	59</w:t>
      </w:r>
    </w:p>
    <w:p>
      <w:pPr>
        <w:tabs>
          <w:tab w:val="right" w:pos="9746" w:leader="dot"/>
        </w:tabs>
        <w:spacing w:after="20" w:before="0"/>
        <w:ind w:left="360"/>
      </w:pPr>
      <w:r>
        <w:rPr>
          <w:b w:val="false"/>
          <w:bCs w:val="false"/>
          <w:color w:val="333333"/>
          <w:sz w:val="19"/>
          <w:szCs w:val="19"/>
        </w:rPr>
        <w:t xml:space="preserve">8.6 Le lot 2 : quand la fiche entre dans la note</w:t>
      </w:r>
      <w:r>
        <w:rPr>
          <w:color w:val="7A7A7A"/>
          <w:sz w:val="19"/>
          <w:szCs w:val="19"/>
        </w:rPr>
        <w:t xml:space="preserve">	60</w:t>
      </w:r>
    </w:p>
    <w:p>
      <w:pPr>
        <w:tabs>
          <w:tab w:val="right" w:pos="9746" w:leader="dot"/>
        </w:tabs>
        <w:spacing w:after="20" w:before="100"/>
        <w:ind w:left="0"/>
      </w:pPr>
      <w:r>
        <w:rPr>
          <w:b/>
          <w:bCs/>
          <w:color w:val="5A3A1E"/>
          <w:sz w:val="20"/>
          <w:szCs w:val="20"/>
        </w:rPr>
        <w:t xml:space="preserve">9. Les champs proposés par l'IA</w:t>
      </w:r>
      <w:r>
        <w:rPr>
          <w:color w:val="7A7A7A"/>
          <w:sz w:val="19"/>
          <w:szCs w:val="19"/>
        </w:rPr>
        <w:t xml:space="preserve">	60</w:t>
      </w:r>
    </w:p>
    <w:p>
      <w:pPr>
        <w:tabs>
          <w:tab w:val="right" w:pos="9746" w:leader="dot"/>
        </w:tabs>
        <w:spacing w:after="20" w:before="0"/>
        <w:ind w:left="360"/>
      </w:pPr>
      <w:r>
        <w:rPr>
          <w:b w:val="false"/>
          <w:bCs w:val="false"/>
          <w:color w:val="333333"/>
          <w:sz w:val="19"/>
          <w:szCs w:val="19"/>
        </w:rPr>
        <w:t xml:space="preserve">9.1 Ce que l'IA propose</w:t>
      </w:r>
      <w:r>
        <w:rPr>
          <w:color w:val="7A7A7A"/>
          <w:sz w:val="19"/>
          <w:szCs w:val="19"/>
        </w:rPr>
        <w:t xml:space="preserve">	60</w:t>
      </w:r>
    </w:p>
    <w:p>
      <w:pPr>
        <w:tabs>
          <w:tab w:val="right" w:pos="9746" w:leader="dot"/>
        </w:tabs>
        <w:spacing w:after="20" w:before="0"/>
        <w:ind w:left="360"/>
      </w:pPr>
      <w:r>
        <w:rPr>
          <w:b w:val="false"/>
          <w:bCs w:val="false"/>
          <w:color w:val="333333"/>
          <w:sz w:val="19"/>
          <w:szCs w:val="19"/>
        </w:rPr>
        <w:t xml:space="preserve">9.2 Ce qui reste à l'analyste</w:t>
      </w:r>
      <w:r>
        <w:rPr>
          <w:color w:val="7A7A7A"/>
          <w:sz w:val="19"/>
          <w:szCs w:val="19"/>
        </w:rPr>
        <w:t xml:space="preserve">	61</w:t>
      </w:r>
    </w:p>
    <w:p>
      <w:pPr>
        <w:tabs>
          <w:tab w:val="right" w:pos="9746" w:leader="dot"/>
        </w:tabs>
        <w:spacing w:after="20" w:before="0"/>
        <w:ind w:left="360"/>
      </w:pPr>
      <w:r>
        <w:rPr>
          <w:b w:val="false"/>
          <w:bCs w:val="false"/>
          <w:color w:val="333333"/>
          <w:sz w:val="19"/>
          <w:szCs w:val="19"/>
        </w:rPr>
        <w:t xml:space="preserve">9.3 Accepter, rejeter, vérifier</w:t>
      </w:r>
      <w:r>
        <w:rPr>
          <w:color w:val="7A7A7A"/>
          <w:sz w:val="19"/>
          <w:szCs w:val="19"/>
        </w:rPr>
        <w:t xml:space="preserve">	61</w:t>
      </w:r>
    </w:p>
    <w:p>
      <w:r>
        <w:br w:type="page"/>
      </w:r>
    </w:p>
    <w:p>
      <w:pPr>
        <w:pStyle w:val="Heading1"/>
      </w:pPr>
      <w:r>
        <w:t xml:space="preserve">1. Principes de saisie</w:t>
      </w:r>
    </w:p>
    <w:p>
      <w:pPr>
        <w:spacing w:after="200" w:before="0"/>
      </w:pPr>
      <w:r>
        <w:rPr>
          <w:color w:val="333333"/>
          <w:sz w:val="21"/>
          <w:szCs w:val="21"/>
        </w:rPr>
        <w:t xml:space="preserve">Trois règles gouvernent l'ensemble de la saisie. Elles paraissent évidentes ; elles expliquent pourtant la quasi-totalité des dossiers à reprendre.</w:t>
      </w:r>
    </w:p>
    <w:p>
      <w:pPr>
        <w:pStyle w:val="Heading2"/>
      </w:pPr>
      <w:r>
        <w:t xml:space="preserve">1.1 Une liste déroulante n'est pas décorative</w:t>
      </w:r>
    </w:p>
    <w:p>
      <w:pPr>
        <w:spacing w:after="120" w:before="0"/>
      </w:pPr>
      <w:r>
        <w:rPr>
          <w:color w:val="333333"/>
          <w:sz w:val="21"/>
          <w:szCs w:val="21"/>
        </w:rPr>
        <w:t xml:space="preserve">Chaque liste alimente un traitement. Le champ « Secteur » de la fiche projet commande le calibrage sectoriel : dans l'écran de scoring Project Finance, il fixe l'écart de seuil DSCR du secteur, les données sectorielles du bloc 4, le scénario défavorable de référence du bloc 6, les aléas climatiques présélectionnés et le scénario climatique de référence du bloc 14. Un secteur saisi en texte libre n'est pas reconnu, le calibrage ne s'applique pas, et rien ne le signale. Le dossier est noté sans son ajustement sectoriel, en silence.</w:t>
      </w:r>
    </w:p>
    <w:p>
      <w:pPr>
        <w:pStyle w:val="Heading2"/>
      </w:pPr>
      <w:r>
        <w:t xml:space="preserve">1.2 Un champ vide vaut mieux qu'un champ faux</w:t>
      </w:r>
    </w:p>
    <w:p>
      <w:pPr>
        <w:spacing w:after="120" w:before="0"/>
      </w:pPr>
      <w:r>
        <w:rPr>
          <w:color w:val="333333"/>
          <w:sz w:val="21"/>
          <w:szCs w:val="21"/>
        </w:rPr>
        <w:t xml:space="preserve">Un montant approximatif entre dans les ratios de structure et fausse la lecture du dossier. Si l'information n'est pas disponible au moment de la saisie, laissez le champ vide et signalez-le — dans la description du projet, ou dans le commentaire de la question concernée.</w:t>
      </w:r>
    </w:p>
    <w:p>
      <w:pPr>
        <w:pStyle w:val="Heading2"/>
      </w:pPr>
      <w:r>
        <w:t xml:space="preserve">1.3 Les unités sont fixées</w:t>
      </w:r>
    </w:p>
    <w:p>
      <w:pPr>
        <w:spacing w:after="120" w:before="0"/>
      </w:pPr>
      <w:r>
        <w:rPr>
          <w:color w:val="333333"/>
          <w:sz w:val="21"/>
          <w:szCs w:val="21"/>
        </w:rPr>
        <w:t xml:space="preserve">Les montants s'expriment en dirhams, sans décimale. Les durées s'expriment en années entières. Les taux s'expriment en pourcentage : 5,25 et non 0,0525. La capacité installée s'exprime dans l'unité usuelle du secteur, qu'il est prudent de rappeler dans le champ « Technologie ».</w:t>
      </w:r>
    </w:p>
    <w:p>
      <w:r>
        <w:br w:type="page"/>
      </w:r>
    </w:p>
    <w:p>
      <w:pPr>
        <w:pStyle w:val="Heading1"/>
      </w:pPr>
      <w:r>
        <w:t xml:space="preserve">2. Fiche client</w:t>
      </w:r>
    </w:p>
    <w:p>
      <w:pPr>
        <w:spacing w:after="200" w:before="0"/>
      </w:pPr>
      <w:r>
        <w:rPr>
          <w:color w:val="333333"/>
          <w:sz w:val="21"/>
          <w:szCs w:val="21"/>
        </w:rPr>
        <w:t xml:space="preserve">Écran « Clients › Nouveau ». Cette fiche décrit la contrepartie, non le projet. Elle ne participe pas au calcul de la note, mais elle conditionne le suivi du dossier et les contrôles de conformité.</w:t>
      </w:r>
    </w:p>
    <w:p>
      <w:pPr>
        <w:pStyle w:val="Heading2"/>
      </w:pPr>
      <w:r>
        <w:t xml:space="preserve">2.1 Identité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260"/>
        <w:gridCol w:w="3200"/>
      </w:tblGrid>
      <w:tr>
        <w:trPr>
          <w:tblHeader/>
        </w:trPr>
        <w:tc>
          <w:tcPr>
            <w:tcW w:type="dxa" w:w="19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Champ</w:t>
            </w:r>
          </w:p>
        </w:tc>
        <w:tc>
          <w:tcPr>
            <w:tcW w:type="dxa" w:w="42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Ce que vous saisissez</w:t>
            </w:r>
          </w:p>
        </w:tc>
        <w:tc>
          <w:tcPr>
            <w:tcW w:type="dxa" w:w="32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Exemple</w:t>
            </w:r>
          </w:p>
        </w:tc>
      </w:tr>
      <w:tr>
        <w:trPr>
          <w:tblHeader w:val="off"/>
        </w:trPr>
        <w:tc>
          <w:tcPr>
            <w:tcW w:type="dxa" w:w="19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Nom du client</w:t>
            </w:r>
          </w:p>
        </w:tc>
        <w:tc>
          <w:tcPr>
            <w:tcW w:type="dxa" w:w="42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Nom d'usage, celui employé dans les échanges courants.</w:t>
            </w:r>
          </w:p>
        </w:tc>
        <w:tc>
          <w:tcPr>
            <w:tcW w:type="dxa" w:w="32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Nareva Holding</w:t>
            </w:r>
          </w:p>
        </w:tc>
      </w:tr>
      <w:tr>
        <w:trPr>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Raison sociale</w:t>
            </w:r>
          </w:p>
        </w:tc>
        <w:tc>
          <w:tcPr>
            <w:tcW w:type="dxa" w:w="42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Dénomination exacte telle qu'inscrite au registre du commerce.</w:t>
            </w:r>
          </w:p>
        </w:tc>
        <w:tc>
          <w:tcPr>
            <w:tcW w:type="dxa" w:w="32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NAREVA HOLDING S.A.</w:t>
            </w:r>
          </w:p>
        </w:tc>
      </w:tr>
      <w:tr>
        <w:trPr>
          <w:tblHeader w:val="off"/>
        </w:trPr>
        <w:tc>
          <w:tcPr>
            <w:tcW w:type="dxa" w:w="19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Nom commercial</w:t>
            </w:r>
          </w:p>
        </w:tc>
        <w:tc>
          <w:tcPr>
            <w:tcW w:type="dxa" w:w="42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Enseigne, si elle diffère de la raison sociale.</w:t>
            </w:r>
          </w:p>
        </w:tc>
        <w:tc>
          <w:tcPr>
            <w:tcW w:type="dxa" w:w="32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Nareva</w:t>
            </w:r>
          </w:p>
        </w:tc>
      </w:tr>
      <w:tr>
        <w:trPr>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Type de client</w:t>
            </w:r>
          </w:p>
        </w:tc>
        <w:tc>
          <w:tcPr>
            <w:tcW w:type="dxa" w:w="42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Liste : Entreprise · PME · Grande Entreprise · État/Institution · ONG · Particulier.</w:t>
            </w:r>
          </w:p>
        </w:tc>
        <w:tc>
          <w:tcPr>
            <w:tcW w:type="dxa" w:w="32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Grande Entreprise</w:t>
            </w:r>
          </w:p>
        </w:tc>
      </w:tr>
      <w:tr>
        <w:trPr>
          <w:tblHeader w:val="off"/>
        </w:trPr>
        <w:tc>
          <w:tcPr>
            <w:tcW w:type="dxa" w:w="19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Forme juridique</w:t>
            </w:r>
          </w:p>
        </w:tc>
        <w:tc>
          <w:tcPr>
            <w:tcW w:type="dxa" w:w="42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Liste : SARL · S.A. · EIRL · SNC · SCS.</w:t>
            </w:r>
          </w:p>
        </w:tc>
        <w:tc>
          <w:tcPr>
            <w:tcW w:type="dxa" w:w="32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S.A.</w:t>
            </w:r>
          </w:p>
        </w:tc>
      </w:tr>
      <w:tr>
        <w:trPr>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Secteur</w:t>
            </w:r>
          </w:p>
        </w:tc>
        <w:tc>
          <w:tcPr>
            <w:tcW w:type="dxa" w:w="42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Secteur d'activité du client, distinct de celui du projet financé.</w:t>
            </w:r>
          </w:p>
        </w:tc>
        <w:tc>
          <w:tcPr>
            <w:tcW w:type="dxa" w:w="32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Énergie</w:t>
            </w:r>
          </w:p>
        </w:tc>
      </w:tr>
      <w:tr>
        <w:trPr>
          <w:tblHeader w:val="off"/>
        </w:trPr>
        <w:tc>
          <w:tcPr>
            <w:tcW w:type="dxa" w:w="19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Segment clientèle</w:t>
            </w:r>
          </w:p>
        </w:tc>
        <w:tc>
          <w:tcPr>
            <w:tcW w:type="dxa" w:w="42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Liste : Particulier · PME · Entreprise · Corporate · Institutionnel · Souverain.</w:t>
            </w:r>
          </w:p>
        </w:tc>
        <w:tc>
          <w:tcPr>
            <w:tcW w:type="dxa" w:w="32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Corporate</w:t>
            </w:r>
          </w:p>
        </w:tc>
      </w:tr>
      <w:tr>
        <w:trPr>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Capital social</w:t>
            </w:r>
          </w:p>
        </w:tc>
        <w:tc>
          <w:tcPr>
            <w:tcW w:type="dxa" w:w="42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Capital libéré, en dirhams.</w:t>
            </w:r>
          </w:p>
        </w:tc>
        <w:tc>
          <w:tcPr>
            <w:tcW w:type="dxa" w:w="32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1 200 000 000</w:t>
            </w:r>
          </w:p>
        </w:tc>
      </w:tr>
      <w:tr>
        <w:trPr>
          <w:tblHeader w:val="off"/>
        </w:trPr>
        <w:tc>
          <w:tcPr>
            <w:tcW w:type="dxa" w:w="19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Effectifs</w:t>
            </w:r>
          </w:p>
        </w:tc>
        <w:tc>
          <w:tcPr>
            <w:tcW w:type="dxa" w:w="42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Nombre de salariés, en équivalent temps plein.</w:t>
            </w:r>
          </w:p>
        </w:tc>
        <w:tc>
          <w:tcPr>
            <w:tcW w:type="dxa" w:w="32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450</w:t>
            </w:r>
          </w:p>
        </w:tc>
      </w:tr>
      <w:tr>
        <w:trPr>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Description</w:t>
            </w:r>
          </w:p>
        </w:tc>
        <w:tc>
          <w:tcPr>
            <w:tcW w:type="dxa" w:w="42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Activités principales du client, en deux ou trois phrases.</w:t>
            </w:r>
          </w:p>
        </w:tc>
        <w:tc>
          <w:tcPr>
            <w:tcW w:type="dxa" w:w="32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Producteur indépendant d'électricité, actif dans l'éolien et le thermique.</w:t>
            </w:r>
          </w:p>
        </w:tc>
      </w:tr>
    </w:tbl>
    <w:p>
      <w:pPr>
        <w:pStyle w:val="Heading2"/>
      </w:pPr>
      <w:r>
        <w:t xml:space="preserve">2.2 Coordonnées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260"/>
        <w:gridCol w:w="3200"/>
      </w:tblGrid>
      <w:tr>
        <w:trPr>
          <w:tblHeader/>
        </w:trPr>
        <w:tc>
          <w:tcPr>
            <w:tcW w:type="dxa" w:w="19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Champ</w:t>
            </w:r>
          </w:p>
        </w:tc>
        <w:tc>
          <w:tcPr>
            <w:tcW w:type="dxa" w:w="42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Ce que vous saisissez</w:t>
            </w:r>
          </w:p>
        </w:tc>
        <w:tc>
          <w:tcPr>
            <w:tcW w:type="dxa" w:w="32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Exemple</w:t>
            </w:r>
          </w:p>
        </w:tc>
      </w:tr>
      <w:tr>
        <w:trPr>
          <w:tblHeader w:val="off"/>
        </w:trPr>
        <w:tc>
          <w:tcPr>
            <w:tcW w:type="dxa" w:w="19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Pays / Ville</w:t>
            </w:r>
          </w:p>
        </w:tc>
        <w:tc>
          <w:tcPr>
            <w:tcW w:type="dxa" w:w="42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Localisation du siège social.</w:t>
            </w:r>
          </w:p>
        </w:tc>
        <w:tc>
          <w:tcPr>
            <w:tcW w:type="dxa" w:w="32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Maroc — Casablanca</w:t>
            </w:r>
          </w:p>
        </w:tc>
      </w:tr>
      <w:tr>
        <w:trPr>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Adresse / Code postal</w:t>
            </w:r>
          </w:p>
        </w:tc>
        <w:tc>
          <w:tcPr>
            <w:tcW w:type="dxa" w:w="42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Adresse du siège.</w:t>
            </w:r>
          </w:p>
        </w:tc>
        <w:tc>
          <w:tcPr>
            <w:tcW w:type="dxa" w:w="32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Twin Center, tour A — 20100</w:t>
            </w:r>
          </w:p>
        </w:tc>
      </w:tr>
      <w:tr>
        <w:trPr>
          <w:tblHeader w:val="off"/>
        </w:trPr>
        <w:tc>
          <w:tcPr>
            <w:tcW w:type="dxa" w:w="19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Email / Téléphone</w:t>
            </w:r>
          </w:p>
        </w:tc>
        <w:tc>
          <w:tcPr>
            <w:tcW w:type="dxa" w:w="42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Contact principal chez le client.</w:t>
            </w:r>
          </w:p>
        </w:tc>
        <w:tc>
          <w:tcPr>
            <w:tcW w:type="dxa" w:w="32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contact@exemple.ma</w:t>
            </w:r>
          </w:p>
        </w:tc>
      </w:tr>
      <w:tr>
        <w:trPr>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Site web</w:t>
            </w:r>
          </w:p>
        </w:tc>
        <w:tc>
          <w:tcPr>
            <w:tcW w:type="dxa" w:w="42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Adresse complète, avec le protocole.</w:t>
            </w:r>
          </w:p>
        </w:tc>
        <w:tc>
          <w:tcPr>
            <w:tcW w:type="dxa" w:w="32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https://www.exemple.ma</w:t>
            </w:r>
          </w:p>
        </w:tc>
      </w:tr>
    </w:tbl>
    <w:p>
      <w:pPr>
        <w:pStyle w:val="Heading2"/>
      </w:pPr>
      <w:r>
        <w:t xml:space="preserve">2.3 Relation bancaire et conformité</w:t>
      </w:r>
    </w:p>
    <w:p>
      <w:pPr>
        <w:spacing w:after="120" w:before="0"/>
      </w:pPr>
      <w:r>
        <w:rPr>
          <w:i/>
          <w:iCs/>
          <w:color w:val="7A7A7A"/>
          <w:sz w:val="21"/>
          <w:szCs w:val="21"/>
        </w:rPr>
        <w:t xml:space="preserve">Ces champs ne modifient pas la note du projet, mais ils déterminent la recevabilité du dossier. Un statut KYC non vérifié ou une conformité en alerte doivent être traités avant l'instruction.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260"/>
        <w:gridCol w:w="3200"/>
      </w:tblGrid>
      <w:tr>
        <w:trPr>
          <w:tblHeader/>
        </w:trPr>
        <w:tc>
          <w:tcPr>
            <w:tcW w:type="dxa" w:w="19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Champ</w:t>
            </w:r>
          </w:p>
        </w:tc>
        <w:tc>
          <w:tcPr>
            <w:tcW w:type="dxa" w:w="42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Ce que vous saisissez</w:t>
            </w:r>
          </w:p>
        </w:tc>
        <w:tc>
          <w:tcPr>
            <w:tcW w:type="dxa" w:w="32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Exemple</w:t>
            </w:r>
          </w:p>
        </w:tc>
      </w:tr>
      <w:tr>
        <w:trPr>
          <w:tblHeader w:val="off"/>
        </w:trPr>
        <w:tc>
          <w:tcPr>
            <w:tcW w:type="dxa" w:w="19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Centre d'affaires</w:t>
            </w:r>
          </w:p>
        </w:tc>
        <w:tc>
          <w:tcPr>
            <w:tcW w:type="dxa" w:w="42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Entité qui porte la relation commerciale.</w:t>
            </w:r>
          </w:p>
        </w:tc>
        <w:tc>
          <w:tcPr>
            <w:tcW w:type="dxa" w:w="32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Casablanca Grandes Entreprises</w:t>
            </w:r>
          </w:p>
        </w:tc>
      </w:tr>
      <w:tr>
        <w:trPr>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Gestionnaire</w:t>
            </w:r>
          </w:p>
        </w:tc>
        <w:tc>
          <w:tcPr>
            <w:tcW w:type="dxa" w:w="42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Chargé d'affaires responsable du dossier.</w:t>
            </w:r>
          </w:p>
        </w:tc>
        <w:tc>
          <w:tcPr>
            <w:tcW w:type="dxa" w:w="32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Nom et prénom</w:t>
            </w:r>
          </w:p>
        </w:tc>
      </w:tr>
      <w:tr>
        <w:trPr>
          <w:tblHeader w:val="off"/>
        </w:trPr>
        <w:tc>
          <w:tcPr>
            <w:tcW w:type="dxa" w:w="19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Date de relation</w:t>
            </w:r>
          </w:p>
        </w:tc>
        <w:tc>
          <w:tcPr>
            <w:tcW w:type="dxa" w:w="42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Date d'entrée en relation avec la banque.</w:t>
            </w:r>
          </w:p>
        </w:tc>
        <w:tc>
          <w:tcPr>
            <w:tcW w:type="dxa" w:w="32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12/03/2018</w:t>
            </w:r>
          </w:p>
        </w:tc>
      </w:tr>
      <w:tr>
        <w:trPr>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Statut bancaire</w:t>
            </w:r>
          </w:p>
        </w:tc>
        <w:tc>
          <w:tcPr>
            <w:tcW w:type="dxa" w:w="42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Liste : Prospect · Client · VIP · Inactif · Suspendu.</w:t>
            </w:r>
          </w:p>
        </w:tc>
        <w:tc>
          <w:tcPr>
            <w:tcW w:type="dxa" w:w="32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Client</w:t>
            </w:r>
          </w:p>
        </w:tc>
      </w:tr>
      <w:tr>
        <w:trPr>
          <w:tblHeader w:val="off"/>
        </w:trPr>
        <w:tc>
          <w:tcPr>
            <w:tcW w:type="dxa" w:w="19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Rating interne</w:t>
            </w:r>
          </w:p>
        </w:tc>
        <w:tc>
          <w:tcPr>
            <w:tcW w:type="dxa" w:w="42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Liste AAA à D. Notation du client par la banque — à ne pas confondre avec la note du projet, qui résulte de l'évaluation.</w:t>
            </w:r>
          </w:p>
        </w:tc>
        <w:tc>
          <w:tcPr>
            <w:tcW w:type="dxa" w:w="32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A</w:t>
            </w:r>
          </w:p>
        </w:tc>
      </w:tr>
      <w:tr>
        <w:trPr>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Exposition</w:t>
            </w:r>
          </w:p>
        </w:tc>
        <w:tc>
          <w:tcPr>
            <w:tcW w:type="dxa" w:w="42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Encours total du groupe client, toutes lignes confondues, en dirhams.</w:t>
            </w:r>
          </w:p>
        </w:tc>
        <w:tc>
          <w:tcPr>
            <w:tcW w:type="dxa" w:w="32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3 400 000 000</w:t>
            </w:r>
          </w:p>
        </w:tc>
      </w:tr>
      <w:tr>
        <w:trPr>
          <w:tblHeader w:val="off"/>
        </w:trPr>
        <w:tc>
          <w:tcPr>
            <w:tcW w:type="dxa" w:w="19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Statut KYC</w:t>
            </w:r>
          </w:p>
        </w:tc>
        <w:tc>
          <w:tcPr>
            <w:tcW w:type="dxa" w:w="42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Liste : En attente · Vérifiée · Rejet · Expiration · À renouveler.</w:t>
            </w:r>
          </w:p>
        </w:tc>
        <w:tc>
          <w:tcPr>
            <w:tcW w:type="dxa" w:w="32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Vérifiée</w:t>
            </w:r>
          </w:p>
        </w:tc>
      </w:tr>
      <w:tr>
        <w:trPr>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Statut conformité</w:t>
            </w:r>
          </w:p>
        </w:tc>
        <w:tc>
          <w:tcPr>
            <w:tcW w:type="dxa" w:w="42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Liste : En attente · Conforme · Non conforme · Alerte · Exemption.</w:t>
            </w:r>
          </w:p>
        </w:tc>
        <w:tc>
          <w:tcPr>
            <w:tcW w:type="dxa" w:w="32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Conforme</w:t>
            </w:r>
          </w:p>
        </w:tc>
      </w:tr>
      <w:tr>
        <w:trPr>
          <w:tblHeader w:val="off"/>
        </w:trPr>
        <w:tc>
          <w:tcPr>
            <w:tcW w:type="dxa" w:w="19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Statut</w:t>
            </w:r>
          </w:p>
        </w:tc>
        <w:tc>
          <w:tcPr>
            <w:tcW w:type="dxa" w:w="42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Liste : Actif · Inactif · Suspendu.</w:t>
            </w:r>
          </w:p>
        </w:tc>
        <w:tc>
          <w:tcPr>
            <w:tcW w:type="dxa" w:w="32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Actif</w:t>
            </w:r>
          </w:p>
        </w:tc>
      </w:tr>
    </w:tbl>
    <w:p>
      <w:r>
        <w:br w:type="page"/>
      </w:r>
    </w:p>
    <w:p>
      <w:pPr>
        <w:pStyle w:val="Heading1"/>
      </w:pPr>
      <w:r>
        <w:t xml:space="preserve">3. Fiche projet</w:t>
      </w:r>
    </w:p>
    <w:p>
      <w:pPr>
        <w:spacing w:after="200" w:before="0"/>
      </w:pPr>
      <w:r>
        <w:rPr>
          <w:color w:val="333333"/>
          <w:sz w:val="21"/>
          <w:szCs w:val="21"/>
        </w:rPr>
        <w:t xml:space="preserve">Écran « Projets › Nouveau ». Cette fiche décrit l'opération à financer. Deux de ses champs agissent directement sur la note : le secteur, qui commande le calibrage, et les montants, qui alimentent les ratios de structure.</w:t>
      </w:r>
    </w:p>
    <w:p>
      <w:pPr>
        <w:pStyle w:val="Heading2"/>
      </w:pPr>
      <w:r>
        <w:t xml:space="preserve">3.1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260"/>
        <w:gridCol w:w="3200"/>
      </w:tblGrid>
      <w:tr>
        <w:trPr>
          <w:tblHeader/>
        </w:trPr>
        <w:tc>
          <w:tcPr>
            <w:tcW w:type="dxa" w:w="19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Champ</w:t>
            </w:r>
          </w:p>
        </w:tc>
        <w:tc>
          <w:tcPr>
            <w:tcW w:type="dxa" w:w="42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Ce que vous saisissez</w:t>
            </w:r>
          </w:p>
        </w:tc>
        <w:tc>
          <w:tcPr>
            <w:tcW w:type="dxa" w:w="32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Exemple</w:t>
            </w:r>
          </w:p>
        </w:tc>
      </w:tr>
      <w:tr>
        <w:trPr>
          <w:tblHeader w:val="off"/>
        </w:trPr>
        <w:tc>
          <w:tcPr>
            <w:tcW w:type="dxa" w:w="19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Nom du projet</w:t>
            </w:r>
          </w:p>
        </w:tc>
        <w:tc>
          <w:tcPr>
            <w:tcW w:type="dxa" w:w="42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Nom d'usage du projet, et non la dénomination du véhicule de projet.</w:t>
            </w:r>
          </w:p>
        </w:tc>
        <w:tc>
          <w:tcPr>
            <w:tcW w:type="dxa" w:w="32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Parc éolien de Taza — phase 2</w:t>
            </w:r>
          </w:p>
        </w:tc>
      </w:tr>
      <w:tr>
        <w:trPr>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Description</w:t>
            </w:r>
          </w:p>
        </w:tc>
        <w:tc>
          <w:tcPr>
            <w:tcW w:type="dxa" w:w="42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Deux ou trois phrases : ce que le projet produit, pour qui, sur quel site, sous quel contrat.</w:t>
            </w:r>
          </w:p>
        </w:tc>
        <w:tc>
          <w:tcPr>
            <w:tcW w:type="dxa" w:w="32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Parc de 87 MW à Taza. Électricité vendue à l'ONEE sous contrat d'achat de 20 ans.</w:t>
            </w:r>
          </w:p>
        </w:tc>
      </w:tr>
      <w:tr>
        <w:trPr>
          <w:tblHeader w:val="off"/>
        </w:trPr>
        <w:tc>
          <w:tcPr>
            <w:tcW w:type="dxa" w:w="19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Secteur</w:t>
            </w:r>
          </w:p>
        </w:tc>
        <w:tc>
          <w:tcPr>
            <w:tcW w:type="dxa" w:w="42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Liste obligatoire, parmi les douze secteurs calibrés. Ce choix déclenche l'ajustement sectoriel des poids. Ne jamais saisir en texte libre.</w:t>
            </w:r>
          </w:p>
        </w:tc>
        <w:tc>
          <w:tcPr>
            <w:tcW w:type="dxa" w:w="32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Énergies renouvelables</w:t>
            </w:r>
          </w:p>
        </w:tc>
      </w:tr>
      <w:tr>
        <w:trPr>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Pays / Code pays</w:t>
            </w:r>
          </w:p>
        </w:tc>
        <w:tc>
          <w:tcPr>
            <w:tcW w:type="dxa" w:w="42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Pays d'implantation et son code ISO à deux lettres.</w:t>
            </w:r>
          </w:p>
        </w:tc>
        <w:tc>
          <w:tcPr>
            <w:tcW w:type="dxa" w:w="32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Maroc — MA</w:t>
            </w:r>
          </w:p>
        </w:tc>
      </w:tr>
      <w:tr>
        <w:trPr>
          <w:tblHeader w:val="off"/>
        </w:trPr>
        <w:tc>
          <w:tcPr>
            <w:tcW w:type="dxa" w:w="19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Statut</w:t>
            </w:r>
          </w:p>
        </w:tc>
        <w:tc>
          <w:tcPr>
            <w:tcW w:type="dxa" w:w="42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Liste : brouillon · en cours · en revue · approuvé · rejeté.</w:t>
            </w:r>
          </w:p>
        </w:tc>
        <w:tc>
          <w:tcPr>
            <w:tcW w:type="dxa" w:w="32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en cours</w:t>
            </w:r>
          </w:p>
        </w:tc>
      </w:tr>
      <w:tr>
        <w:trPr>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Technologie</w:t>
            </w:r>
          </w:p>
        </w:tc>
        <w:tc>
          <w:tcPr>
            <w:tcW w:type="dxa" w:w="42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Technologie retenue, décrite en clair. Précisez-y l'unité de capacité si elle prête à confusion.</w:t>
            </w:r>
          </w:p>
        </w:tc>
        <w:tc>
          <w:tcPr>
            <w:tcW w:type="dxa" w:w="32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Éolien terrestre — turbines de 4,2 MW</w:t>
            </w:r>
          </w:p>
        </w:tc>
      </w:tr>
      <w:tr>
        <w:trPr>
          <w:tblHeader w:val="off"/>
        </w:trPr>
        <w:tc>
          <w:tcPr>
            <w:tcW w:type="dxa" w:w="19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Capacité installée</w:t>
            </w:r>
          </w:p>
        </w:tc>
        <w:tc>
          <w:tcPr>
            <w:tcW w:type="dxa" w:w="42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Capacité de production, dans l'unité usuelle du secteur.</w:t>
            </w:r>
          </w:p>
        </w:tc>
        <w:tc>
          <w:tcPr>
            <w:tcW w:type="dxa" w:w="32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87 (MW)</w:t>
            </w:r>
          </w:p>
        </w:tc>
      </w:tr>
    </w:tbl>
    <w:p>
      <w:pPr>
        <w:pStyle w:val="Heading2"/>
      </w:pPr>
      <w:r>
        <w:t xml:space="preserve">3.2 Technologie et capacité selon le secteur</w:t>
      </w:r>
    </w:p>
    <w:p>
      <w:pPr>
        <w:spacing w:after="120" w:before="0"/>
      </w:pPr>
      <w:r>
        <w:rPr>
          <w:color w:val="7A7A7A"/>
          <w:sz w:val="21"/>
          <w:szCs w:val="21"/>
        </w:rPr>
        <w:t xml:space="preserve">Ces deux champs n'ont pas la même signification d'un secteur à l'autre. Le tableau ci-dessous donne les usages attendus.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1900"/>
        <w:gridCol w:w="2160"/>
      </w:tblGrid>
      <w:tr>
        <w:trPr>
          <w:tblHeader/>
        </w:trPr>
        <w:tc>
          <w:tcPr>
            <w:tcW w:type="dxa" w:w="21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Secteur</w:t>
            </w:r>
          </w:p>
        </w:tc>
        <w:tc>
          <w:tcPr>
            <w:tcW w:type="dxa" w:w="32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Technologie — exemples</w:t>
            </w:r>
          </w:p>
        </w:tc>
        <w:tc>
          <w:tcPr>
            <w:tcW w:type="dxa" w:w="19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Unité de capacité</w:t>
            </w:r>
          </w:p>
        </w:tc>
        <w:tc>
          <w:tcPr>
            <w:tcW w:type="dxa" w:w="21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Exemple</w:t>
            </w:r>
          </w:p>
        </w:tc>
      </w:tr>
      <w:tr>
        <w:trPr>
          <w:tblHeader w:val="off"/>
        </w:trPr>
        <w:tc>
          <w:tcPr>
            <w:tcW w:type="dxa" w:w="21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Énergies renouvelables</w:t>
            </w:r>
          </w:p>
        </w:tc>
        <w:tc>
          <w:tcPr>
            <w:tcW w:type="dxa" w:w="32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Solaire photovoltaïque · Éolien terrestre · Solaire à concentration</w:t>
            </w:r>
          </w:p>
        </w:tc>
        <w:tc>
          <w:tcPr>
            <w:tcW w:type="dxa" w:w="19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MW installés</w:t>
            </w:r>
          </w:p>
        </w:tc>
        <w:tc>
          <w:tcPr>
            <w:tcW w:type="dxa" w:w="21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87 MW</w:t>
            </w:r>
          </w:p>
        </w:tc>
      </w:tr>
      <w:tr>
        <w:trPr>
          <w:tblHeader w:val="off"/>
        </w:trPr>
        <w:tc>
          <w:tcPr>
            <w:tcW w:type="dxa" w:w="21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Eau / Dessalement</w:t>
            </w:r>
          </w:p>
        </w:tc>
        <w:tc>
          <w:tcPr>
            <w:tcW w:type="dxa" w:w="32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Osmose inverse · Traitement tertiaire</w:t>
            </w:r>
          </w:p>
        </w:tc>
        <w:tc>
          <w:tcPr>
            <w:tcW w:type="dxa" w:w="19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m³ par jour</w:t>
            </w:r>
          </w:p>
        </w:tc>
        <w:tc>
          <w:tcPr>
            <w:tcW w:type="dxa" w:w="21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150 000 m³/j</w:t>
            </w:r>
          </w:p>
        </w:tc>
      </w:tr>
      <w:tr>
        <w:trPr>
          <w:tblHeader w:val="off"/>
        </w:trPr>
        <w:tc>
          <w:tcPr>
            <w:tcW w:type="dxa" w:w="21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Transport / Autoroutes</w:t>
            </w:r>
          </w:p>
        </w:tc>
        <w:tc>
          <w:tcPr>
            <w:tcW w:type="dxa" w:w="32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Concession BOT · Élargissement · Contournement</w:t>
            </w:r>
          </w:p>
        </w:tc>
        <w:tc>
          <w:tcPr>
            <w:tcW w:type="dxa" w:w="19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km et véhicules/jour</w:t>
            </w:r>
          </w:p>
        </w:tc>
        <w:tc>
          <w:tcPr>
            <w:tcW w:type="dxa" w:w="21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62 km · 18 000 v/j</w:t>
            </w:r>
          </w:p>
        </w:tc>
      </w:tr>
      <w:tr>
        <w:trPr>
          <w:tblHeader w:val="off"/>
        </w:trPr>
        <w:tc>
          <w:tcPr>
            <w:tcW w:type="dxa" w:w="21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Ports / Logistique</w:t>
            </w:r>
          </w:p>
        </w:tc>
        <w:tc>
          <w:tcPr>
            <w:tcW w:type="dxa" w:w="32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Terminal à conteneurs · Terminal vraquier</w:t>
            </w:r>
          </w:p>
        </w:tc>
        <w:tc>
          <w:tcPr>
            <w:tcW w:type="dxa" w:w="19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EVP ou tonnes par an</w:t>
            </w:r>
          </w:p>
        </w:tc>
        <w:tc>
          <w:tcPr>
            <w:tcW w:type="dxa" w:w="21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1,2 million EVP/an</w:t>
            </w:r>
          </w:p>
        </w:tc>
      </w:tr>
      <w:tr>
        <w:trPr>
          <w:tblHeader w:val="off"/>
        </w:trPr>
        <w:tc>
          <w:tcPr>
            <w:tcW w:type="dxa" w:w="21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Industrie</w:t>
            </w:r>
          </w:p>
        </w:tc>
        <w:tc>
          <w:tcPr>
            <w:tcW w:type="dxa" w:w="32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Ligne de production · Extension d'unité</w:t>
            </w:r>
          </w:p>
        </w:tc>
        <w:tc>
          <w:tcPr>
            <w:tcW w:type="dxa" w:w="19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tonnes ou unités par an</w:t>
            </w:r>
          </w:p>
        </w:tc>
        <w:tc>
          <w:tcPr>
            <w:tcW w:type="dxa" w:w="21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300 000 t/an</w:t>
            </w:r>
          </w:p>
        </w:tc>
      </w:tr>
      <w:tr>
        <w:trPr>
          <w:tblHeader w:val="off"/>
        </w:trPr>
        <w:tc>
          <w:tcPr>
            <w:tcW w:type="dxa" w:w="21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Mines / Extraction</w:t>
            </w:r>
          </w:p>
        </w:tc>
        <w:tc>
          <w:tcPr>
            <w:tcW w:type="dxa" w:w="32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Mine à ciel ouvert · Usine de traitement</w:t>
            </w:r>
          </w:p>
        </w:tc>
        <w:tc>
          <w:tcPr>
            <w:tcW w:type="dxa" w:w="19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tonnes par an</w:t>
            </w:r>
          </w:p>
        </w:tc>
        <w:tc>
          <w:tcPr>
            <w:tcW w:type="dxa" w:w="21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2,4 Mt/an</w:t>
            </w:r>
          </w:p>
        </w:tc>
      </w:tr>
      <w:tr>
        <w:trPr>
          <w:tblHeader w:val="off"/>
        </w:trPr>
        <w:tc>
          <w:tcPr>
            <w:tcW w:type="dxa" w:w="21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Tourisme / Hôtellerie</w:t>
            </w:r>
          </w:p>
        </w:tc>
        <w:tc>
          <w:tcPr>
            <w:tcW w:type="dxa" w:w="32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Resort · Hôtel urbain</w:t>
            </w:r>
          </w:p>
        </w:tc>
        <w:tc>
          <w:tcPr>
            <w:tcW w:type="dxa" w:w="19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nombre de clés</w:t>
            </w:r>
          </w:p>
        </w:tc>
        <w:tc>
          <w:tcPr>
            <w:tcW w:type="dxa" w:w="21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240 clés</w:t>
            </w:r>
          </w:p>
        </w:tc>
      </w:tr>
      <w:tr>
        <w:trPr>
          <w:tblHeader w:val="off"/>
        </w:trPr>
        <w:tc>
          <w:tcPr>
            <w:tcW w:type="dxa" w:w="21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Télécom / Data centers</w:t>
            </w:r>
          </w:p>
        </w:tc>
        <w:tc>
          <w:tcPr>
            <w:tcW w:type="dxa" w:w="32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Data center · Réseau fibre</w:t>
            </w:r>
          </w:p>
        </w:tc>
        <w:tc>
          <w:tcPr>
            <w:tcW w:type="dxa" w:w="19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MW IT ou km de fibre</w:t>
            </w:r>
          </w:p>
        </w:tc>
        <w:tc>
          <w:tcPr>
            <w:tcW w:type="dxa" w:w="21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12 MW IT</w:t>
            </w:r>
          </w:p>
        </w:tc>
      </w:tr>
      <w:tr>
        <w:trPr>
          <w:tblHeader w:val="off"/>
        </w:trPr>
        <w:tc>
          <w:tcPr>
            <w:tcW w:type="dxa" w:w="21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Santé / Cliniques</w:t>
            </w:r>
          </w:p>
        </w:tc>
        <w:tc>
          <w:tcPr>
            <w:tcW w:type="dxa" w:w="32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Clinique polyvalente · Plateau technique</w:t>
            </w:r>
          </w:p>
        </w:tc>
        <w:tc>
          <w:tcPr>
            <w:tcW w:type="dxa" w:w="19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nombre de lits</w:t>
            </w:r>
          </w:p>
        </w:tc>
        <w:tc>
          <w:tcPr>
            <w:tcW w:type="dxa" w:w="21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180 lits</w:t>
            </w:r>
          </w:p>
        </w:tc>
      </w:tr>
      <w:tr>
        <w:trPr>
          <w:tblHeader w:val="off"/>
        </w:trPr>
        <w:tc>
          <w:tcPr>
            <w:tcW w:type="dxa" w:w="21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Agro-industrie</w:t>
            </w:r>
          </w:p>
        </w:tc>
        <w:tc>
          <w:tcPr>
            <w:tcW w:type="dxa" w:w="32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Unité de transformation · Serres</w:t>
            </w:r>
          </w:p>
        </w:tc>
        <w:tc>
          <w:tcPr>
            <w:tcW w:type="dxa" w:w="19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tonnes par an ou hectares</w:t>
            </w:r>
          </w:p>
        </w:tc>
        <w:tc>
          <w:tcPr>
            <w:tcW w:type="dxa" w:w="21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45 000 t/an</w:t>
            </w:r>
          </w:p>
        </w:tc>
      </w:tr>
      <w:tr>
        <w:trPr>
          <w:tblHeader w:val="off"/>
        </w:trPr>
        <w:tc>
          <w:tcPr>
            <w:tcW w:type="dxa" w:w="21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Énergie thermique / Gaz</w:t>
            </w:r>
          </w:p>
        </w:tc>
        <w:tc>
          <w:tcPr>
            <w:tcW w:type="dxa" w:w="32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Cycle combiné · Turbine à gaz</w:t>
            </w:r>
          </w:p>
        </w:tc>
        <w:tc>
          <w:tcPr>
            <w:tcW w:type="dxa" w:w="19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MW installés</w:t>
            </w:r>
          </w:p>
        </w:tc>
        <w:tc>
          <w:tcPr>
            <w:tcW w:type="dxa" w:w="21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450 MW</w:t>
            </w:r>
          </w:p>
        </w:tc>
      </w:tr>
      <w:tr>
        <w:trPr>
          <w:tblHeader w:val="off"/>
        </w:trPr>
        <w:tc>
          <w:tcPr>
            <w:tcW w:type="dxa" w:w="21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Immobilier structuré</w:t>
            </w:r>
          </w:p>
        </w:tc>
        <w:tc>
          <w:tcPr>
            <w:tcW w:type="dxa" w:w="32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Ensemble tertiaire · Programme résidentiel</w:t>
            </w:r>
          </w:p>
        </w:tc>
        <w:tc>
          <w:tcPr>
            <w:tcW w:type="dxa" w:w="19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m² de surface</w:t>
            </w:r>
          </w:p>
        </w:tc>
        <w:tc>
          <w:tcPr>
            <w:tcW w:type="dxa" w:w="21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38 000 m²</w:t>
            </w:r>
          </w:p>
        </w:tc>
      </w:tr>
    </w:tbl>
    <w:p>
      <w:r>
        <w:br w:type="page"/>
      </w:r>
    </w:p>
    <w:p>
      <w:pPr>
        <w:pStyle w:val="Heading2"/>
      </w:pPr>
      <w:r>
        <w:t xml:space="preserve">3.3 Montants et financement</w:t>
      </w:r>
    </w:p>
    <w:p>
      <w:pPr>
        <w:spacing w:after="120" w:before="0"/>
      </w:pPr>
      <w:r>
        <w:rPr>
          <w:color w:val="7A7A7A"/>
          <w:sz w:val="21"/>
          <w:szCs w:val="21"/>
        </w:rPr>
        <w:t xml:space="preserve">Tous les montants s'expriment en dirhams, sans décimale. Le coût total doit être égal à la somme du financement et de l'apport propre ; l'écart, s'il existe, sera relevé en comité.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260"/>
        <w:gridCol w:w="3200"/>
      </w:tblGrid>
      <w:tr>
        <w:trPr>
          <w:tblHeader/>
        </w:trPr>
        <w:tc>
          <w:tcPr>
            <w:tcW w:type="dxa" w:w="19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Champ</w:t>
            </w:r>
          </w:p>
        </w:tc>
        <w:tc>
          <w:tcPr>
            <w:tcW w:type="dxa" w:w="42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Ce que vous saisissez</w:t>
            </w:r>
          </w:p>
        </w:tc>
        <w:tc>
          <w:tcPr>
            <w:tcW w:type="dxa" w:w="32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Exemple</w:t>
            </w:r>
          </w:p>
        </w:tc>
      </w:tr>
      <w:tr>
        <w:trPr>
          <w:tblHeader w:val="off"/>
        </w:trPr>
        <w:tc>
          <w:tcPr>
            <w:tcW w:type="dxa" w:w="19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Coût total</w:t>
            </w:r>
          </w:p>
        </w:tc>
        <w:tc>
          <w:tcPr>
            <w:tcW w:type="dxa" w:w="42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Coût d'investissement complet du projet, tous postes confondus, y compris les frais financiers intercalaires.</w:t>
            </w:r>
          </w:p>
        </w:tc>
        <w:tc>
          <w:tcPr>
            <w:tcW w:type="dxa" w:w="32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1 450 000 000</w:t>
            </w:r>
          </w:p>
        </w:tc>
      </w:tr>
      <w:tr>
        <w:trPr>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Financement</w:t>
            </w:r>
          </w:p>
        </w:tc>
        <w:tc>
          <w:tcPr>
            <w:tcW w:type="dxa" w:w="42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Part financée par dette, toutes tranches et tous prêteurs confondus.</w:t>
            </w:r>
          </w:p>
        </w:tc>
        <w:tc>
          <w:tcPr>
            <w:tcW w:type="dxa" w:w="32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1 087 500 000</w:t>
            </w:r>
          </w:p>
        </w:tc>
      </w:tr>
      <w:tr>
        <w:trPr>
          <w:tblHeader w:val="off"/>
        </w:trPr>
        <w:tc>
          <w:tcPr>
            <w:tcW w:type="dxa" w:w="19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Apport propre</w:t>
            </w:r>
          </w:p>
        </w:tc>
        <w:tc>
          <w:tcPr>
            <w:tcW w:type="dxa" w:w="42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Fonds propres et quasi-fonds propres apportés par les sponsors.</w:t>
            </w:r>
          </w:p>
        </w:tc>
        <w:tc>
          <w:tcPr>
            <w:tcW w:type="dxa" w:w="32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362 500 000</w:t>
            </w:r>
          </w:p>
        </w:tc>
      </w:tr>
      <w:tr>
        <w:trPr>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Montant</w:t>
            </w:r>
          </w:p>
        </w:tc>
        <w:tc>
          <w:tcPr>
            <w:tcW w:type="dxa" w:w="42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Montant sollicité auprès de la banque — une part du financement total.</w:t>
            </w:r>
          </w:p>
        </w:tc>
        <w:tc>
          <w:tcPr>
            <w:tcW w:type="dxa" w:w="32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400 000 000</w:t>
            </w:r>
          </w:p>
        </w:tc>
      </w:tr>
      <w:tr>
        <w:trPr>
          <w:tblHeader w:val="off"/>
        </w:trPr>
        <w:tc>
          <w:tcPr>
            <w:tcW w:type="dxa" w:w="19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Devise</w:t>
            </w:r>
          </w:p>
        </w:tc>
        <w:tc>
          <w:tcPr>
            <w:tcW w:type="dxa" w:w="42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Devise du financement.</w:t>
            </w:r>
          </w:p>
        </w:tc>
        <w:tc>
          <w:tcPr>
            <w:tcW w:type="dxa" w:w="32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MAD</w:t>
            </w:r>
          </w:p>
        </w:tc>
      </w:tr>
      <w:tr>
        <w:trPr>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Taux</w:t>
            </w:r>
          </w:p>
        </w:tc>
        <w:tc>
          <w:tcPr>
            <w:tcW w:type="dxa" w:w="42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Taux d'intérêt annuel, en pourcentage. Saisir 5,25 et non 0,0525.</w:t>
            </w:r>
          </w:p>
        </w:tc>
        <w:tc>
          <w:tcPr>
            <w:tcW w:type="dxa" w:w="32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5,25</w:t>
            </w:r>
          </w:p>
        </w:tc>
      </w:tr>
      <w:tr>
        <w:trPr>
          <w:tblHeader w:val="off"/>
        </w:trPr>
        <w:tc>
          <w:tcPr>
            <w:tcW w:type="dxa" w:w="19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Type de crédit</w:t>
            </w:r>
          </w:p>
        </w:tc>
        <w:tc>
          <w:tcPr>
            <w:tcW w:type="dxa" w:w="42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Nature du concours sollicité.</w:t>
            </w:r>
          </w:p>
        </w:tc>
        <w:tc>
          <w:tcPr>
            <w:tcW w:type="dxa" w:w="32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Crédit à moyen terme amortissable</w:t>
            </w:r>
          </w:p>
        </w:tc>
      </w:tr>
      <w:tr>
        <w:trPr>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Taux de couverture</w:t>
            </w:r>
          </w:p>
        </w:tc>
        <w:tc>
          <w:tcPr>
            <w:tcW w:type="dxa" w:w="42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Taux de couverture du service de la dette tel qu'il figure au modèle financier.</w:t>
            </w:r>
          </w:p>
        </w:tc>
        <w:tc>
          <w:tcPr>
            <w:tcW w:type="dxa" w:w="32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1,38</w:t>
            </w:r>
          </w:p>
        </w:tc>
      </w:tr>
      <w:tr>
        <w:trPr>
          <w:tblHeader w:val="off"/>
        </w:trPr>
        <w:tc>
          <w:tcPr>
            <w:tcW w:type="dxa" w:w="19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Ratio</w:t>
            </w:r>
          </w:p>
        </w:tc>
        <w:tc>
          <w:tcPr>
            <w:tcW w:type="dxa" w:w="42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Champ libre, à documenter dans la description si vous l'utilisez.</w:t>
            </w:r>
          </w:p>
        </w:tc>
        <w:tc>
          <w:tcPr>
            <w:tcW w:type="dxa" w:w="32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w:t>
            </w:r>
          </w:p>
        </w:tc>
      </w:tr>
    </w:tbl>
    <w:p>
      <w:pPr>
        <w:pStyle w:val="Heading2"/>
      </w:pPr>
      <w:r>
        <w:t xml:space="preserve">3.4 Calendrier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260"/>
        <w:gridCol w:w="3200"/>
      </w:tblGrid>
      <w:tr>
        <w:trPr>
          <w:tblHeader/>
        </w:trPr>
        <w:tc>
          <w:tcPr>
            <w:tcW w:type="dxa" w:w="19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Champ</w:t>
            </w:r>
          </w:p>
        </w:tc>
        <w:tc>
          <w:tcPr>
            <w:tcW w:type="dxa" w:w="42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Ce que vous saisissez</w:t>
            </w:r>
          </w:p>
        </w:tc>
        <w:tc>
          <w:tcPr>
            <w:tcW w:type="dxa" w:w="32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Exemple</w:t>
            </w:r>
          </w:p>
        </w:tc>
      </w:tr>
      <w:tr>
        <w:trPr>
          <w:tblHeader w:val="off"/>
        </w:trPr>
        <w:tc>
          <w:tcPr>
            <w:tcW w:type="dxa" w:w="19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Durée du projet</w:t>
            </w:r>
          </w:p>
        </w:tc>
        <w:tc>
          <w:tcPr>
            <w:tcW w:type="dxa" w:w="42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Durée de vie économique du projet, en années.</w:t>
            </w:r>
          </w:p>
        </w:tc>
        <w:tc>
          <w:tcPr>
            <w:tcW w:type="dxa" w:w="32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25</w:t>
            </w:r>
          </w:p>
        </w:tc>
      </w:tr>
      <w:tr>
        <w:trPr>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Durée du crédit</w:t>
            </w:r>
          </w:p>
        </w:tc>
        <w:tc>
          <w:tcPr>
            <w:tcW w:type="dxa" w:w="42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Maturité du financement, en années.</w:t>
            </w:r>
          </w:p>
        </w:tc>
        <w:tc>
          <w:tcPr>
            <w:tcW w:type="dxa" w:w="32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18</w:t>
            </w:r>
          </w:p>
        </w:tc>
      </w:tr>
      <w:tr>
        <w:trPr>
          <w:tblHeader w:val="off"/>
        </w:trPr>
        <w:tc>
          <w:tcPr>
            <w:tcW w:type="dxa" w:w="19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Période d'amorce</w:t>
            </w:r>
          </w:p>
        </w:tc>
        <w:tc>
          <w:tcPr>
            <w:tcW w:type="dxa" w:w="42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Différé avant le premier remboursement en capital, en années.</w:t>
            </w:r>
          </w:p>
        </w:tc>
        <w:tc>
          <w:tcPr>
            <w:tcW w:type="dxa" w:w="32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3</w:t>
            </w:r>
          </w:p>
        </w:tc>
      </w:tr>
      <w:tr>
        <w:trPr>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Période de remboursement</w:t>
            </w:r>
          </w:p>
        </w:tc>
        <w:tc>
          <w:tcPr>
            <w:tcW w:type="dxa" w:w="42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Durée d'amortissement effective, en années.</w:t>
            </w:r>
          </w:p>
        </w:tc>
        <w:tc>
          <w:tcPr>
            <w:tcW w:type="dxa" w:w="32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15</w:t>
            </w:r>
          </w:p>
        </w:tc>
      </w:tr>
      <w:tr>
        <w:trPr>
          <w:tblHeader w:val="off"/>
        </w:trPr>
        <w:tc>
          <w:tcPr>
            <w:tcW w:type="dxa" w:w="19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Début de construction</w:t>
            </w:r>
          </w:p>
        </w:tc>
        <w:tc>
          <w:tcPr>
            <w:tcW w:type="dxa" w:w="42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Date prévisionnelle de mise en chantier.</w:t>
            </w:r>
          </w:p>
        </w:tc>
        <w:tc>
          <w:tcPr>
            <w:tcW w:type="dxa" w:w="32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01/2026</w:t>
            </w:r>
          </w:p>
        </w:tc>
      </w:tr>
      <w:tr>
        <w:trPr>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Fin de construction</w:t>
            </w:r>
          </w:p>
        </w:tc>
        <w:tc>
          <w:tcPr>
            <w:tcW w:type="dxa" w:w="42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Date prévisionnelle de mise en service commerciale.</w:t>
            </w:r>
          </w:p>
        </w:tc>
        <w:tc>
          <w:tcPr>
            <w:tcW w:type="dxa" w:w="32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06/2028</w:t>
            </w:r>
          </w:p>
        </w:tc>
      </w:tr>
    </w:tbl>
    <w:p>
      <w:pPr>
        <w:pStyle w:val="Heading2"/>
      </w:pPr>
      <w:r>
        <w:t xml:space="preserve">3.5 Intervenants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260"/>
        <w:gridCol w:w="3200"/>
      </w:tblGrid>
      <w:tr>
        <w:trPr>
          <w:tblHeader/>
        </w:trPr>
        <w:tc>
          <w:tcPr>
            <w:tcW w:type="dxa" w:w="19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Champ</w:t>
            </w:r>
          </w:p>
        </w:tc>
        <w:tc>
          <w:tcPr>
            <w:tcW w:type="dxa" w:w="42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Ce que vous saisissez</w:t>
            </w:r>
          </w:p>
        </w:tc>
        <w:tc>
          <w:tcPr>
            <w:tcW w:type="dxa" w:w="32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Exemple</w:t>
            </w:r>
          </w:p>
        </w:tc>
      </w:tr>
      <w:tr>
        <w:trPr>
          <w:tblHeader w:val="off"/>
        </w:trPr>
        <w:tc>
          <w:tcPr>
            <w:tcW w:type="dxa" w:w="19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Sponsor principal</w:t>
            </w:r>
          </w:p>
        </w:tc>
        <w:tc>
          <w:tcPr>
            <w:tcW w:type="dxa" w:w="42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Actionnaire de référence du projet.</w:t>
            </w:r>
          </w:p>
        </w:tc>
        <w:tc>
          <w:tcPr>
            <w:tcW w:type="dxa" w:w="32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Nareva Holding</w:t>
            </w:r>
          </w:p>
        </w:tc>
      </w:tr>
      <w:tr>
        <w:trPr>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Nom du SPV</w:t>
            </w:r>
          </w:p>
        </w:tc>
        <w:tc>
          <w:tcPr>
            <w:tcW w:type="dxa" w:w="42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Société de projet, véhicule juridique dédié.</w:t>
            </w:r>
          </w:p>
        </w:tc>
        <w:tc>
          <w:tcPr>
            <w:tcW w:type="dxa" w:w="32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Taza Wind Power S.A.</w:t>
            </w:r>
          </w:p>
        </w:tc>
      </w:tr>
      <w:tr>
        <w:trPr>
          <w:tblHeader w:val="off"/>
        </w:trPr>
        <w:tc>
          <w:tcPr>
            <w:tcW w:type="dxa" w:w="19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Constructeur EPC</w:t>
            </w:r>
          </w:p>
        </w:tc>
        <w:tc>
          <w:tcPr>
            <w:tcW w:type="dxa" w:w="42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Titulaire du contrat de construction clés en main.</w:t>
            </w:r>
          </w:p>
        </w:tc>
        <w:tc>
          <w:tcPr>
            <w:tcW w:type="dxa" w:w="32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Siemens Gamesa</w:t>
            </w:r>
          </w:p>
        </w:tc>
      </w:tr>
      <w:tr>
        <w:trPr>
          <w:tblHeader w:val="off"/>
        </w:trPr>
        <w:tc>
          <w:tcPr>
            <w:tcW w:type="dxa" w:w="19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Opérateur O&amp;M</w:t>
            </w:r>
          </w:p>
        </w:tc>
        <w:tc>
          <w:tcPr>
            <w:tcW w:type="dxa" w:w="42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Exploitant et mainteneur après mise en service.</w:t>
            </w:r>
          </w:p>
        </w:tc>
        <w:tc>
          <w:tcPr>
            <w:tcW w:type="dxa" w:w="32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Nareva O&amp;M</w:t>
            </w:r>
          </w:p>
        </w:tc>
      </w:tr>
      <w:tr>
        <w:trPr>
          <w:tblHeader w:val="off"/>
        </w:trPr>
        <w:tc>
          <w:tcPr>
            <w:tcW w:type="dxa" w:w="19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Structure capitalistique</w:t>
            </w:r>
          </w:p>
        </w:tc>
        <w:tc>
          <w:tcPr>
            <w:tcW w:type="dxa" w:w="42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Répartition du capital entre sponsors, en pourcentage.</w:t>
            </w:r>
          </w:p>
        </w:tc>
        <w:tc>
          <w:tcPr>
            <w:tcW w:type="dxa" w:w="32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Nareva 60 % · Partenaire industriel 40 %</w:t>
            </w:r>
          </w:p>
        </w:tc>
      </w:tr>
    </w:tbl>
    <w:p>
      <w:pPr>
        <w:pStyle w:val="Heading2"/>
      </w:pPr>
      <w:r>
        <w:t xml:space="preserve">3.6 Deux champs à ne pas remplir</w:t>
      </w:r>
    </w:p>
    <w:p>
      <w:pPr>
        <w:spacing w:after="120" w:before="0"/>
      </w:pPr>
      <w:r>
        <w:rPr>
          <w:color w:val="5A3A1E"/>
          <w:sz w:val="21"/>
          <w:szCs w:val="21"/>
        </w:rPr>
        <w:t xml:space="preserve">« Score global » et « Grade » figurent sur la fiche projet mais sont calculés par l'outil à partir des évaluations. Y inscrire une valeur n'influence aucun calcul et induit en erreur celui qui relira la fiche. La note d'un projet vient toujours d'une évaluation soumise.</w:t>
      </w:r>
    </w:p>
    <w:p>
      <w:r>
        <w:br w:type="page"/>
      </w:r>
    </w:p>
    <w:p>
      <w:pPr>
        <w:pStyle w:val="Heading1"/>
      </w:pPr>
      <w:r>
        <w:t xml:space="preserve">4. Les quatre-vingt-quatre questions de l'ancienne grille</w:t>
      </w:r>
    </w:p>
    <w:p>
      <w:pPr>
        <w:pBdr>
          <w:left w:val="single" w:color="E8790F" w:sz="18" w:space="8"/>
        </w:pBdr>
        <w:shd w:fill="FDEBD3" w:color="auto" w:val="clear"/>
        <w:spacing w:after="200" w:before="120" w:line="300"/>
        <w:ind w:left="160" w:right="160"/>
      </w:pPr>
      <w:r>
        <w:rPr>
          <w:b/>
          <w:bCs/>
          <w:color w:val="5A3A1E"/>
        </w:rPr>
        <w:t xml:space="preserve">À lire avant cette section</w:t>
      </w:r>
      <w:r>
        <w:br/>
        <w:t xml:space="preserve"/>
      </w:r>
      <w:r>
        <w:t xml:space="preserve">Ces quatre-vingt-quatre questions forment l'ancienne grille du questionnaire générique. Elles restent une aide à l'analyse (indicateurs à examiner, seuils, sources), mais leurs réponses n'entrent plus dans la note.</w:t>
      </w:r>
      <w:r>
        <w:br/>
        <w:t xml:space="preserve"/>
      </w:r>
      <w:r>
        <w:t xml:space="preserve">Dans l'écran de scoring Project Finance, la grille (bloc 8) compte 25 sous-critères, de D1.1 à D9.4, notés par une situation décrite : Très favorable 100, Favorable 80, Vigilance 50, Critique 20, ou « Info. insuffisante », comptée 20. Le domaine D7 y est remplacé par le noyau financier N1 à N6 (bloc 7).</w:t>
      </w:r>
    </w:p>
    <w:p>
      <w:pPr>
        <w:spacing w:after="160" w:before="0"/>
      </w:pPr>
      <w:r>
        <w:rPr>
          <w:color w:val="333333"/>
          <w:sz w:val="21"/>
          <w:szCs w:val="21"/>
        </w:rPr>
        <w:t xml:space="preserve">Chaque question propose quatre réponses, notées 10, 8, 5 et 2 sur l'échelle du modèle. Le moteur les convertit sur cent : une réponse à 8 vaut 80 points pour le sous-critère concerné.</w:t>
      </w:r>
    </w:p>
    <w:p>
      <w:pPr>
        <w:spacing w:after="160" w:before="0"/>
      </w:pPr>
      <w:r>
        <w:rPr>
          <w:color w:val="333333"/>
          <w:sz w:val="21"/>
          <w:szCs w:val="21"/>
        </w:rPr>
        <w:t xml:space="preserve">Pour chaque question, ce document indique les indicateurs à examiner, le seuil de référence retenu par la banque, les sources documentaires à solliciter, et le cas d'usage de chacune des quatre réponses.</w:t>
      </w:r>
    </w:p>
    <w:p>
      <w:pPr>
        <w:spacing w:after="200" w:before="0"/>
      </w:pPr>
      <w:r>
        <w:rPr>
          <w:b/>
          <w:bCs/>
          <w:color w:val="333333"/>
          <w:sz w:val="21"/>
          <w:szCs w:val="21"/>
        </w:rPr>
        <w:t xml:space="preserve">Deux règles s'appliquent partout : la réponse décrit ce que le dossier démontre et non ce qu'il promet ; en cas d'hésitation entre deux réponses, retenez la plus basse et justifiez-la en commentaire.</w:t>
      </w:r>
    </w:p>
    <w:p>
      <w:r>
        <w:br w:type="page"/>
      </w:r>
    </w:p>
    <w:p>
      <w:pPr>
        <w:pStyle w:val="Heading1"/>
      </w:pPr>
      <w:r>
        <w:t xml:space="preserve">D1 · Sponsor et actionnaires</w:t>
      </w:r>
    </w:p>
    <w:p>
      <w:pPr>
        <w:spacing w:after="200" w:before="0"/>
      </w:pPr>
      <w:r>
        <w:rPr>
          <w:i/>
          <w:iCs/>
          <w:color w:val="7A7A7A"/>
          <w:sz w:val="21"/>
          <w:szCs w:val="21"/>
        </w:rPr>
        <w:t xml:space="preserve">Poids dans la note finale : 10 sur 100. 3 critères, 9 questions.</w:t>
      </w:r>
    </w:p>
    <w:p>
      <w:pPr>
        <w:pStyle w:val="Heading2"/>
      </w:pPr>
      <w:r>
        <w:t xml:space="preserve">D1_SC1 · Sponsor Strength</w:t>
      </w:r>
    </w:p>
    <w:p>
      <w:pPr>
        <w:spacing w:after="120" w:before="0"/>
      </w:pPr>
      <w:r>
        <w:rPr>
          <w:i/>
          <w:iCs/>
          <w:color w:val="7A7A7A"/>
          <w:sz w:val="19"/>
          <w:szCs w:val="19"/>
        </w:rPr>
        <w:t xml:space="preserve">Poids au sein du domaine : 50.</w:t>
      </w:r>
    </w:p>
    <w:p>
      <w:pPr>
        <w:pStyle w:val="Heading3"/>
      </w:pPr>
      <w:r>
        <w:t xml:space="preserve">Expérience sectorielle</w:t>
      </w:r>
    </w:p>
    <w:p>
      <w:pPr>
        <w:spacing w:after="140" w:before="0"/>
      </w:pPr>
      <w:r>
        <w:rPr>
          <w:color w:val="7A7A7A"/>
          <w:sz w:val="18"/>
          <w:szCs w:val="18"/>
        </w:rPr>
        <w:t xml:space="preserve">D1_SC1_SSC1 — poids au sein du critère :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Nombre de projets similaires, années d’expérience, taille des projets réalisés, conformité aux délais/budgets.</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&gt;10 ans d’expérience ou &gt;5 projets similaires réussis ; aucun échec majeur documenté.</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Références sponsor, rapports annuels, due diligence technique, presse spécialisée.</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Expérience très forte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Sponsor ayant déjà réalisé plusieurs projets comparables avec succès dans le même secteur et dans des marchés similaires.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Expérience solide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Sponsor disposant d’une expérience sectorielle confirmée mais moins large ou sur des projets légèrement moins complexes.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Expérience limitée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Sponsor ayant une expérience partielle, dans un secteur proche ou avec un historique encore insuffisant.</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Aucune expérience pertinente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Sponsor nouveau dans le secteur ou sans référence crédible en Project Finance.</w:t>
            </w:r>
          </w:p>
        </w:tc>
      </w:tr>
    </w:tbl>
    <w:p>
      <w:pPr>
        <w:spacing w:after="200" w:before="0"/>
      </w:pPr>
      <w:r>
        <w:rPr>
          <w:color w:val="333333"/>
          <w:sz w:val="21"/>
          <w:szCs w:val="21"/>
        </w:rPr>
        <w:t xml:space="preserve"/>
      </w:r>
    </w:p>
    <w:p>
      <w:pPr>
        <w:pStyle w:val="Heading3"/>
      </w:pPr>
      <w:r>
        <w:t xml:space="preserve">Track record PF</w:t>
      </w:r>
    </w:p>
    <w:p>
      <w:pPr>
        <w:spacing w:after="140" w:before="0"/>
      </w:pPr>
      <w:r>
        <w:rPr>
          <w:color w:val="7A7A7A"/>
          <w:sz w:val="18"/>
          <w:szCs w:val="18"/>
        </w:rPr>
        <w:t xml:space="preserve">D1_SC1_SSC2 — poids au sein du critère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Respect délais, respect budget, performance opérationnelle, absence de défaut.</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Dépassement budget &lt;5%, retard &lt;3 mois, aucun défaut projet.</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Rapports projets, audits techniques, reporting prêteurs.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Track record excellent</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Historique de projets livrés et exploités dans les délais, budgets et performances attendues.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Track record satisfaisant</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Historique globalement positif avec quelques écarts maîtrisés.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Track record moyen</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Historique mitigé avec incidents significatifs mais récupérés.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Track record faible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Historique marqué par défauts, abandons, litiges ou incapacité à livrer.</w:t>
            </w:r>
          </w:p>
        </w:tc>
      </w:tr>
    </w:tbl>
    <w:p>
      <w:pPr>
        <w:spacing w:after="200" w:before="0"/>
      </w:pPr>
      <w:r>
        <w:rPr>
          <w:color w:val="333333"/>
          <w:sz w:val="21"/>
          <w:szCs w:val="21"/>
        </w:rPr>
        <w:t xml:space="preserve"/>
      </w:r>
    </w:p>
    <w:p>
      <w:pPr>
        <w:pStyle w:val="Heading3"/>
      </w:pPr>
      <w:r>
        <w:t xml:space="preserve">Solidité financière</w:t>
      </w:r>
    </w:p>
    <w:p>
      <w:pPr>
        <w:spacing w:after="140" w:before="0"/>
      </w:pPr>
      <w:r>
        <w:rPr>
          <w:color w:val="7A7A7A"/>
          <w:sz w:val="18"/>
          <w:szCs w:val="18"/>
        </w:rPr>
        <w:t xml:space="preserve">D1_SC1_SSC3 — poids au sein du critère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Rating, gearing, EBITDA, liquidité, cash-flow, capacité d’injection equity.</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Investment Grade ; gearing faible ; liquidité suffisante ; EBITDA stable.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États financiers audités, rating, analyse interne banque.</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Très solide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Sponsor dispose d’une capacité financière élevée pour soutenir le projet en cas de stress.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Solide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Sponsor financièrement sain mais non nécessairement investment grade.</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Moyenne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Sponsor avec capacité financière limitée ou dépendante de la conjoncture.</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Fragile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Sponsor présentant une tension financière ou une capacité de soutien incertaine.</w:t>
            </w:r>
          </w:p>
        </w:tc>
      </w:tr>
    </w:tbl>
    <w:p>
      <w:pPr>
        <w:spacing w:after="200" w:before="0"/>
      </w:pPr>
      <w:r>
        <w:rPr>
          <w:color w:val="333333"/>
          <w:sz w:val="21"/>
          <w:szCs w:val="21"/>
        </w:rPr>
        <w:t xml:space="preserve"/>
      </w:r>
    </w:p>
    <w:p>
      <w:pPr>
        <w:pStyle w:val="Heading2"/>
      </w:pPr>
      <w:r>
        <w:t xml:space="preserve">D1_SC2 · Shareholder Structure</w:t>
      </w:r>
    </w:p>
    <w:p>
      <w:pPr>
        <w:spacing w:after="120" w:before="0"/>
      </w:pPr>
      <w:r>
        <w:rPr>
          <w:i/>
          <w:iCs/>
          <w:color w:val="7A7A7A"/>
          <w:sz w:val="19"/>
          <w:szCs w:val="19"/>
        </w:rPr>
        <w:t xml:space="preserve">Poids au sein du domaine : 30.</w:t>
      </w:r>
    </w:p>
    <w:p>
      <w:pPr>
        <w:pStyle w:val="Heading3"/>
      </w:pPr>
      <w:r>
        <w:t xml:space="preserve">Répartition capital</w:t>
      </w:r>
    </w:p>
    <w:p>
      <w:pPr>
        <w:spacing w:after="140" w:before="0"/>
      </w:pPr>
      <w:r>
        <w:rPr>
          <w:color w:val="7A7A7A"/>
          <w:sz w:val="18"/>
          <w:szCs w:val="18"/>
        </w:rPr>
        <w:t xml:space="preserve">D1_SC2_SSC1 — poids au sein du critère :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Parts capital, droits de vote, pacte d’actionnaires.</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Sponsor principal ≥50% ou contrôle clair ; pacte stable.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Registre commerce, statuts, pacte d’actionnaires.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Structure claire et équilibrée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Actionnariat stable avec sponsor de référence clairement identifié et capacité de décision.</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Structure acceptable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Actionnariat lisible avec gouvernance globalement claire.</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Structure complexe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Actionnariat dispersé ou avec plusieurs intérêts pouvant ralentir la décision.</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Structure opaque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Actionnariat peu transparent ou difficile à contrôler.</w:t>
            </w:r>
          </w:p>
        </w:tc>
      </w:tr>
    </w:tbl>
    <w:p>
      <w:pPr>
        <w:spacing w:after="200" w:before="0"/>
      </w:pPr>
      <w:r>
        <w:rPr>
          <w:color w:val="333333"/>
          <w:sz w:val="21"/>
          <w:szCs w:val="21"/>
        </w:rPr>
        <w:t xml:space="preserve"/>
      </w:r>
    </w:p>
    <w:p>
      <w:pPr>
        <w:pStyle w:val="Heading3"/>
      </w:pPr>
      <w:r>
        <w:t xml:space="preserve">Alignement intérêts</w:t>
      </w:r>
    </w:p>
    <w:p>
      <w:pPr>
        <w:spacing w:after="140" w:before="0"/>
      </w:pPr>
      <w:r>
        <w:rPr>
          <w:color w:val="7A7A7A"/>
          <w:sz w:val="18"/>
          <w:szCs w:val="18"/>
        </w:rPr>
        <w:t xml:space="preserve">D1_SC2_SSC2 — poids au sein du critère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Equity investi, clauses de lock-up, obligations de support.</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Equity significatif, lock-up, support agreement ferme.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Pacte d’actionnaires, term sheet, contrats de financement.</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Alignement fort</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Les actionnaires ont des intérêts économiques convergents et restent engagés sur la durée.</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Alignement correct</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Les intérêts sont globalement alignés avec quelques clauses à renforcer.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Alignement partiel</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Certains actionnaires peuvent avoir des objectifs divergents.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Alignement faible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Risque d’abandon ou de désengagement d’un actionnaire clé.</w:t>
            </w:r>
          </w:p>
        </w:tc>
      </w:tr>
    </w:tbl>
    <w:p>
      <w:pPr>
        <w:spacing w:after="200" w:before="0"/>
      </w:pPr>
      <w:r>
        <w:rPr>
          <w:color w:val="333333"/>
          <w:sz w:val="21"/>
          <w:szCs w:val="21"/>
        </w:rPr>
        <w:t xml:space="preserve"/>
      </w:r>
    </w:p>
    <w:p>
      <w:pPr>
        <w:pStyle w:val="Heading3"/>
      </w:pPr>
      <w:r>
        <w:t xml:space="preserve">Engagement long terme</w:t>
      </w:r>
    </w:p>
    <w:p>
      <w:pPr>
        <w:spacing w:after="140" w:before="0"/>
      </w:pPr>
      <w:r>
        <w:rPr>
          <w:color w:val="7A7A7A"/>
          <w:sz w:val="18"/>
          <w:szCs w:val="18"/>
        </w:rPr>
        <w:t xml:space="preserve">D1_SC2_SSC3 — poids au sein du critère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Lock-up, sponsor support, obligations equity.</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Lock-up ≥ durée construction + ramp-up ; support ferme.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Pacte actionnaires, shareholder support agreement.</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Engagement ferme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Sponsor engagé jusqu’à maturité ou période longue avec support contractuel.</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Engagement satisfaisant</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Engagement prévu sur une période suffisante pour sécuriser le projet.</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Engagement limité</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Engagement temporel ou financier insuffisant pour absorber les aléas.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Engagement absent</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Sponsor opportuniste ou absence d’obligation de soutien.</w:t>
            </w:r>
          </w:p>
        </w:tc>
      </w:tr>
    </w:tbl>
    <w:p>
      <w:pPr>
        <w:spacing w:after="200" w:before="0"/>
      </w:pPr>
      <w:r>
        <w:rPr>
          <w:color w:val="333333"/>
          <w:sz w:val="21"/>
          <w:szCs w:val="21"/>
        </w:rPr>
        <w:t xml:space="preserve"/>
      </w:r>
    </w:p>
    <w:p>
      <w:pPr>
        <w:pStyle w:val="Heading2"/>
      </w:pPr>
      <w:r>
        <w:t xml:space="preserve">D1_SC3 · Governance</w:t>
      </w:r>
    </w:p>
    <w:p>
      <w:pPr>
        <w:spacing w:after="120" w:before="0"/>
      </w:pPr>
      <w:r>
        <w:rPr>
          <w:i/>
          <w:iCs/>
          <w:color w:val="7A7A7A"/>
          <w:sz w:val="19"/>
          <w:szCs w:val="19"/>
        </w:rPr>
        <w:t xml:space="preserve">Poids au sein du domaine : 20.</w:t>
      </w:r>
    </w:p>
    <w:p>
      <w:pPr>
        <w:pStyle w:val="Heading3"/>
      </w:pPr>
      <w:r>
        <w:t xml:space="preserve">Structure décisionnelle</w:t>
      </w:r>
    </w:p>
    <w:p>
      <w:pPr>
        <w:spacing w:after="140" w:before="0"/>
      </w:pPr>
      <w:r>
        <w:rPr>
          <w:color w:val="7A7A7A"/>
          <w:sz w:val="18"/>
          <w:szCs w:val="18"/>
        </w:rPr>
        <w:t xml:space="preserve">D1_SC3_SSC1 — poids au sein du critère :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Comité projet, CA SPV, délégations, procédures.</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Comités formalisés, seuils décisionnels, reporting régulier.</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Statuts SPV, organigramme, procédures internes.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Gouvernance robuste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Organes de décision clairs, comités définis, séparation des rôles.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Gouvernance correcte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Structure de gouvernance présente mais perfectible.</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Gouvernance faible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Décisions centralisées ou responsabilités insuffisamment formalisées.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Gouvernance opaque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Absence de gouvernance claire ou forte concentration du pouvoir.</w:t>
            </w:r>
          </w:p>
        </w:tc>
      </w:tr>
    </w:tbl>
    <w:p>
      <w:pPr>
        <w:spacing w:after="200" w:before="0"/>
      </w:pPr>
      <w:r>
        <w:rPr>
          <w:color w:val="333333"/>
          <w:sz w:val="21"/>
          <w:szCs w:val="21"/>
        </w:rPr>
        <w:t xml:space="preserve"/>
      </w:r>
    </w:p>
    <w:p>
      <w:pPr>
        <w:pStyle w:val="Heading3"/>
      </w:pPr>
      <w:r>
        <w:t xml:space="preserve">Transparence</w:t>
      </w:r>
    </w:p>
    <w:p>
      <w:pPr>
        <w:spacing w:after="140" w:before="0"/>
      </w:pPr>
      <w:r>
        <w:rPr>
          <w:color w:val="7A7A7A"/>
          <w:sz w:val="18"/>
          <w:szCs w:val="18"/>
        </w:rPr>
        <w:t xml:space="preserve">D1_SC3_SSC2 — poids au sein du critère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Qualité data room, audits, reporting.</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Data room complète ; comptes audités ; absence incohérence.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Data room, états financiers audités, DD.</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Très transparente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Informations fiables, auditées, accessibles et cohérentes.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Bonne transparence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Information suffisante avec quelques compléments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Transparence moyenne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Informations partielles ou retards de transmission.</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Transparence faible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Information insuffisante ou non fiable.</w:t>
            </w:r>
          </w:p>
        </w:tc>
      </w:tr>
    </w:tbl>
    <w:p>
      <w:pPr>
        <w:spacing w:after="200" w:before="0"/>
      </w:pPr>
      <w:r>
        <w:rPr>
          <w:color w:val="333333"/>
          <w:sz w:val="21"/>
          <w:szCs w:val="21"/>
        </w:rPr>
        <w:t xml:space="preserve"/>
      </w:r>
    </w:p>
    <w:p>
      <w:pPr>
        <w:pStyle w:val="Heading3"/>
      </w:pPr>
      <w:r>
        <w:t xml:space="preserve">Reporting</w:t>
      </w:r>
    </w:p>
    <w:p>
      <w:pPr>
        <w:spacing w:after="140" w:before="0"/>
      </w:pPr>
      <w:r>
        <w:rPr>
          <w:color w:val="7A7A7A"/>
          <w:sz w:val="18"/>
          <w:szCs w:val="18"/>
        </w:rPr>
        <w:t xml:space="preserve">D1_SC3_SSC3 — poids au sein du critère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Fréquence, contenu, KPI, audits.</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Mensuel pendant construction ; trimestriel exploitation ; KPI complets.</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Contrats financement, procédures reporting.</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Reporting complet</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Reporting régulier, standardisé et auditable.</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Reporting satisfaisant</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Reporting régulier mais avec quelques limites.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Reporting limité</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Reporting peu détaillé ou peu fréquent.</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Reporting absent/faible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Absence de reporting structuré.</w:t>
            </w:r>
          </w:p>
        </w:tc>
      </w:tr>
    </w:tbl>
    <w:p>
      <w:pPr>
        <w:spacing w:after="200" w:before="0"/>
      </w:pPr>
      <w:r>
        <w:rPr>
          <w:color w:val="333333"/>
          <w:sz w:val="21"/>
          <w:szCs w:val="21"/>
        </w:rPr>
        <w:t xml:space="preserve"/>
      </w:r>
    </w:p>
    <w:p>
      <w:r>
        <w:br w:type="page"/>
      </w:r>
    </w:p>
    <w:p>
      <w:pPr>
        <w:pStyle w:val="Heading1"/>
      </w:pPr>
      <w:r>
        <w:t xml:space="preserve">D2 · Caractéristiques du projet</w:t>
      </w:r>
    </w:p>
    <w:p>
      <w:pPr>
        <w:spacing w:after="200" w:before="0"/>
      </w:pPr>
      <w:r>
        <w:rPr>
          <w:i/>
          <w:iCs/>
          <w:color w:val="7A7A7A"/>
          <w:sz w:val="21"/>
          <w:szCs w:val="21"/>
        </w:rPr>
        <w:t xml:space="preserve">Poids dans la note finale : 10 sur 100. 3 critères, 9 questions.</w:t>
      </w:r>
    </w:p>
    <w:p>
      <w:pPr>
        <w:pStyle w:val="Heading2"/>
      </w:pPr>
      <w:r>
        <w:t xml:space="preserve">D2_SC1 · Technical Complexity</w:t>
      </w:r>
    </w:p>
    <w:p>
      <w:pPr>
        <w:spacing w:after="120" w:before="0"/>
      </w:pPr>
      <w:r>
        <w:rPr>
          <w:i/>
          <w:iCs/>
          <w:color w:val="7A7A7A"/>
          <w:sz w:val="19"/>
          <w:szCs w:val="19"/>
        </w:rPr>
        <w:t xml:space="preserve">Poids au sein du domaine : 40.</w:t>
      </w:r>
    </w:p>
    <w:p>
      <w:pPr>
        <w:pStyle w:val="Heading3"/>
      </w:pPr>
      <w:r>
        <w:t xml:space="preserve">Technologie</w:t>
      </w:r>
    </w:p>
    <w:p>
      <w:pPr>
        <w:spacing w:after="140" w:before="0"/>
      </w:pPr>
      <w:r>
        <w:rPr>
          <w:color w:val="7A7A7A"/>
          <w:sz w:val="18"/>
          <w:szCs w:val="18"/>
        </w:rPr>
        <w:t xml:space="preserve">D2_SC1_SSC1 — poids au sein du critère :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3"/>
      </w:pPr>
      <w:r>
        <w:t xml:space="preserve">Maturité technique</w:t>
      </w:r>
    </w:p>
    <w:p>
      <w:pPr>
        <w:spacing w:after="140" w:before="0"/>
      </w:pPr>
      <w:r>
        <w:rPr>
          <w:color w:val="7A7A7A"/>
          <w:sz w:val="18"/>
          <w:szCs w:val="18"/>
        </w:rPr>
        <w:t xml:space="preserve">D2_SC1_SSC2 — poids au sein du critère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3"/>
      </w:pPr>
      <w:r>
        <w:t xml:space="preserve">Innovation</w:t>
      </w:r>
    </w:p>
    <w:p>
      <w:pPr>
        <w:spacing w:after="140" w:before="0"/>
      </w:pPr>
      <w:r>
        <w:rPr>
          <w:color w:val="7A7A7A"/>
          <w:sz w:val="18"/>
          <w:szCs w:val="18"/>
        </w:rPr>
        <w:t xml:space="preserve">D2_SC1_SSC3 — poids au sein du critère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2"/>
      </w:pPr>
      <w:r>
        <w:t xml:space="preserve">D2_SC2 · Location Risk</w:t>
      </w:r>
    </w:p>
    <w:p>
      <w:pPr>
        <w:spacing w:after="120" w:before="0"/>
      </w:pPr>
      <w:r>
        <w:rPr>
          <w:i/>
          <w:iCs/>
          <w:color w:val="7A7A7A"/>
          <w:sz w:val="19"/>
          <w:szCs w:val="19"/>
        </w:rPr>
        <w:t xml:space="preserve">Poids au sein du domaine : 30.</w:t>
      </w:r>
    </w:p>
    <w:p>
      <w:pPr>
        <w:pStyle w:val="Heading3"/>
      </w:pPr>
      <w:r>
        <w:t xml:space="preserve">Pays</w:t>
      </w:r>
    </w:p>
    <w:p>
      <w:pPr>
        <w:spacing w:after="140" w:before="0"/>
      </w:pPr>
      <w:r>
        <w:rPr>
          <w:color w:val="7A7A7A"/>
          <w:sz w:val="18"/>
          <w:szCs w:val="18"/>
        </w:rPr>
        <w:t xml:space="preserve">D2_SC2_SSC1 — poids au sein du critère :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3"/>
      </w:pPr>
      <w:r>
        <w:t xml:space="preserve">Site</w:t>
      </w:r>
    </w:p>
    <w:p>
      <w:pPr>
        <w:spacing w:after="140" w:before="0"/>
      </w:pPr>
      <w:r>
        <w:rPr>
          <w:color w:val="7A7A7A"/>
          <w:sz w:val="18"/>
          <w:szCs w:val="18"/>
        </w:rPr>
        <w:t xml:space="preserve">D2_SC2_SSC2 — poids au sein du critère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3"/>
      </w:pPr>
      <w:r>
        <w:t xml:space="preserve">Accès infrastructure</w:t>
      </w:r>
    </w:p>
    <w:p>
      <w:pPr>
        <w:spacing w:after="140" w:before="0"/>
      </w:pPr>
      <w:r>
        <w:rPr>
          <w:color w:val="7A7A7A"/>
          <w:sz w:val="18"/>
          <w:szCs w:val="18"/>
        </w:rPr>
        <w:t xml:space="preserve">D2_SC2_SSC3 — poids au sein du critère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2"/>
      </w:pPr>
      <w:r>
        <w:t xml:space="preserve">D2_SC3 · Project Size &amp; Structure</w:t>
      </w:r>
    </w:p>
    <w:p>
      <w:pPr>
        <w:spacing w:after="120" w:before="0"/>
      </w:pPr>
      <w:r>
        <w:rPr>
          <w:i/>
          <w:iCs/>
          <w:color w:val="7A7A7A"/>
          <w:sz w:val="19"/>
          <w:szCs w:val="19"/>
        </w:rPr>
        <w:t xml:space="preserve">Poids au sein du domaine : 30.</w:t>
      </w:r>
    </w:p>
    <w:p>
      <w:pPr>
        <w:pStyle w:val="Heading3"/>
      </w:pPr>
      <w:r>
        <w:t xml:space="preserve">Taille CAPEX</w:t>
      </w:r>
    </w:p>
    <w:p>
      <w:pPr>
        <w:spacing w:after="140" w:before="0"/>
      </w:pPr>
      <w:r>
        <w:rPr>
          <w:color w:val="7A7A7A"/>
          <w:sz w:val="18"/>
          <w:szCs w:val="18"/>
        </w:rPr>
        <w:t xml:space="preserve">D2_SC3_SSC1 — poids au sein du critère :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3"/>
      </w:pPr>
      <w:r>
        <w:t xml:space="preserve">Complexité structure</w:t>
      </w:r>
    </w:p>
    <w:p>
      <w:pPr>
        <w:spacing w:after="140" w:before="0"/>
      </w:pPr>
      <w:r>
        <w:rPr>
          <w:color w:val="7A7A7A"/>
          <w:sz w:val="18"/>
          <w:szCs w:val="18"/>
        </w:rPr>
        <w:t xml:space="preserve">D2_SC3_SSC2 — poids au sein du critère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3"/>
      </w:pPr>
      <w:r>
        <w:t xml:space="preserve">Planning</w:t>
      </w:r>
    </w:p>
    <w:p>
      <w:pPr>
        <w:spacing w:after="140" w:before="0"/>
      </w:pPr>
      <w:r>
        <w:rPr>
          <w:color w:val="7A7A7A"/>
          <w:sz w:val="18"/>
          <w:szCs w:val="18"/>
        </w:rPr>
        <w:t xml:space="preserve">D2_SC3_SSC3 — poids au sein du critère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r>
        <w:br w:type="page"/>
      </w:r>
    </w:p>
    <w:p>
      <w:pPr>
        <w:pStyle w:val="Heading1"/>
      </w:pPr>
      <w:r>
        <w:t xml:space="preserve">D3 · Risque de construction</w:t>
      </w:r>
    </w:p>
    <w:p>
      <w:pPr>
        <w:spacing w:after="200" w:before="0"/>
      </w:pPr>
      <w:r>
        <w:rPr>
          <w:i/>
          <w:iCs/>
          <w:color w:val="7A7A7A"/>
          <w:sz w:val="21"/>
          <w:szCs w:val="21"/>
        </w:rPr>
        <w:t xml:space="preserve">Poids dans la note finale : 15 sur 100. 3 critères, 9 questions.</w:t>
      </w:r>
    </w:p>
    <w:p>
      <w:pPr>
        <w:pStyle w:val="Heading2"/>
      </w:pPr>
      <w:r>
        <w:t xml:space="preserve">D3_SC1 · EPC Completion Risk</w:t>
      </w:r>
    </w:p>
    <w:p>
      <w:pPr>
        <w:spacing w:after="120" w:before="0"/>
      </w:pPr>
      <w:r>
        <w:rPr>
          <w:i/>
          <w:iCs/>
          <w:color w:val="7A7A7A"/>
          <w:sz w:val="19"/>
          <w:szCs w:val="19"/>
        </w:rPr>
        <w:t xml:space="preserve">Poids au sein du domaine : 40.</w:t>
      </w:r>
    </w:p>
    <w:p>
      <w:pPr>
        <w:pStyle w:val="Heading3"/>
      </w:pPr>
      <w:r>
        <w:t xml:space="preserve">Type contrat EPC</w:t>
      </w:r>
    </w:p>
    <w:p>
      <w:pPr>
        <w:spacing w:after="140" w:before="0"/>
      </w:pPr>
      <w:r>
        <w:rPr>
          <w:color w:val="7A7A7A"/>
          <w:sz w:val="18"/>
          <w:szCs w:val="18"/>
        </w:rPr>
        <w:t xml:space="preserve">D3_SC1_SSC1 — poids au sein du critère :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Prix fixe, scope, délai, LDs, performance tests.</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Prix fixe ; LDs &gt;10% CAPEX ; scope complet.</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Contrat EPC, legal DD.</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EPC lump sum turnkey</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Contrat clé en main, prix fixe, délai garanti, performance garantie.</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Prix ferme ajustements limités</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Contrat globalement sécurisé avec ajustements encadrés.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Prix révisable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Risque de surcoût partiellement porté par la SPV.</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Non forfaitaire/cost plus</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Risque de coût largement porté par le projet.</w:t>
            </w:r>
          </w:p>
        </w:tc>
      </w:tr>
    </w:tbl>
    <w:p>
      <w:pPr>
        <w:spacing w:after="200" w:before="0"/>
      </w:pPr>
      <w:r>
        <w:rPr>
          <w:color w:val="333333"/>
          <w:sz w:val="21"/>
          <w:szCs w:val="21"/>
        </w:rPr>
        <w:t xml:space="preserve"/>
      </w:r>
    </w:p>
    <w:p>
      <w:pPr>
        <w:pStyle w:val="Heading3"/>
      </w:pPr>
      <w:r>
        <w:t xml:space="preserve">Expérience EPC</w:t>
      </w:r>
    </w:p>
    <w:p>
      <w:pPr>
        <w:spacing w:after="140" w:before="0"/>
      </w:pPr>
      <w:r>
        <w:rPr>
          <w:color w:val="7A7A7A"/>
          <w:sz w:val="18"/>
          <w:szCs w:val="18"/>
        </w:rPr>
        <w:t xml:space="preserve">D3_SC1_SSC2 — poids au sein du critère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Projets similaires, rating, états financiers, litiges.</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&gt;5 projets similaires ; rating solide ; aucun litige majeur récent.</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Due diligence technique, états financiers EPC.</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EPC international majeur</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Constructeur très expérimenté et financièrement solide.</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EPC régional solide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Expérience confirmée dans la région/secteur.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EPC moyen</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Expérience partielle ou taille limitée.</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EPC faible/nouveau</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Faible expérience ou fragilité financière.</w:t>
            </w:r>
          </w:p>
        </w:tc>
      </w:tr>
    </w:tbl>
    <w:p>
      <w:pPr>
        <w:spacing w:after="200" w:before="0"/>
      </w:pPr>
      <w:r>
        <w:rPr>
          <w:color w:val="333333"/>
          <w:sz w:val="21"/>
          <w:szCs w:val="21"/>
        </w:rPr>
        <w:t xml:space="preserve"/>
      </w:r>
    </w:p>
    <w:p>
      <w:pPr>
        <w:pStyle w:val="Heading3"/>
      </w:pPr>
      <w:r>
        <w:t xml:space="preserve">Garanties performance</w:t>
      </w:r>
    </w:p>
    <w:p>
      <w:pPr>
        <w:spacing w:after="140" w:before="0"/>
      </w:pPr>
      <w:r>
        <w:rPr>
          <w:color w:val="7A7A7A"/>
          <w:sz w:val="18"/>
          <w:szCs w:val="18"/>
        </w:rPr>
        <w:t xml:space="preserve">D3_SC1_SSC3 — poids au sein du critère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LDs, PCG, performance bond, caps.</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LDs &gt;10% CAPEX + performance bond/PCG.</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Contrat EPC, legal DD.</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Garanties fortes</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LDs et garanties couvrent correctement retard/sous-performance.</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Garanties correctes</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Garanties présentes mais caps moins élevés.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Garanties faibles</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Garanties limitées ou exclusions importantes.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Absence de garanties</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Aucune protection crédible contre retard/sous-performance.</w:t>
            </w:r>
          </w:p>
        </w:tc>
      </w:tr>
    </w:tbl>
    <w:p>
      <w:pPr>
        <w:spacing w:after="200" w:before="0"/>
      </w:pPr>
      <w:r>
        <w:rPr>
          <w:color w:val="333333"/>
          <w:sz w:val="21"/>
          <w:szCs w:val="21"/>
        </w:rPr>
        <w:t xml:space="preserve"/>
      </w:r>
    </w:p>
    <w:p>
      <w:pPr>
        <w:pStyle w:val="Heading2"/>
      </w:pPr>
      <w:r>
        <w:t xml:space="preserve">D3_SC2 · Interfaces Risk</w:t>
      </w:r>
    </w:p>
    <w:p>
      <w:pPr>
        <w:spacing w:after="120" w:before="0"/>
      </w:pPr>
      <w:r>
        <w:rPr>
          <w:i/>
          <w:iCs/>
          <w:color w:val="7A7A7A"/>
          <w:sz w:val="19"/>
          <w:szCs w:val="19"/>
        </w:rPr>
        <w:t xml:space="preserve">Poids au sein du domaine : 30.</w:t>
      </w:r>
    </w:p>
    <w:p>
      <w:pPr>
        <w:pStyle w:val="Heading3"/>
      </w:pPr>
      <w:r>
        <w:t xml:space="preserve">Complexité interfaces</w:t>
      </w:r>
    </w:p>
    <w:p>
      <w:pPr>
        <w:spacing w:after="140" w:before="0"/>
      </w:pPr>
      <w:r>
        <w:rPr>
          <w:color w:val="7A7A7A"/>
          <w:sz w:val="18"/>
          <w:szCs w:val="18"/>
        </w:rPr>
        <w:t xml:space="preserve">D3_SC2_SSC1 — poids au sein du critère :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3"/>
      </w:pPr>
      <w:r>
        <w:t xml:space="preserve">Coordinateur</w:t>
      </w:r>
    </w:p>
    <w:p>
      <w:pPr>
        <w:spacing w:after="140" w:before="0"/>
      </w:pPr>
      <w:r>
        <w:rPr>
          <w:color w:val="7A7A7A"/>
          <w:sz w:val="18"/>
          <w:szCs w:val="18"/>
        </w:rPr>
        <w:t xml:space="preserve">D3_SC2_SSC2 — poids au sein du critère :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3"/>
      </w:pPr>
      <w:r>
        <w:t xml:space="preserve">Gouvernance projet</w:t>
      </w:r>
    </w:p>
    <w:p>
      <w:pPr>
        <w:spacing w:after="140" w:before="0"/>
      </w:pPr>
      <w:r>
        <w:rPr>
          <w:color w:val="7A7A7A"/>
          <w:sz w:val="18"/>
          <w:szCs w:val="18"/>
        </w:rPr>
        <w:t xml:space="preserve">D3_SC2_SSC3 — poids au sein du critère :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2"/>
      </w:pPr>
      <w:r>
        <w:t xml:space="preserve">D3_SC3 · Insurance Coverage</w:t>
      </w:r>
    </w:p>
    <w:p>
      <w:pPr>
        <w:spacing w:after="120" w:before="0"/>
      </w:pPr>
      <w:r>
        <w:rPr>
          <w:i/>
          <w:iCs/>
          <w:color w:val="7A7A7A"/>
          <w:sz w:val="19"/>
          <w:szCs w:val="19"/>
        </w:rPr>
        <w:t xml:space="preserve">Poids au sein du domaine : 30.</w:t>
      </w:r>
    </w:p>
    <w:p>
      <w:pPr>
        <w:pStyle w:val="Heading3"/>
      </w:pPr>
      <w:r>
        <w:t xml:space="preserve">Type polices</w:t>
      </w:r>
    </w:p>
    <w:p>
      <w:pPr>
        <w:spacing w:after="140" w:before="0"/>
      </w:pPr>
      <w:r>
        <w:rPr>
          <w:color w:val="7A7A7A"/>
          <w:sz w:val="18"/>
          <w:szCs w:val="18"/>
        </w:rPr>
        <w:t xml:space="preserve">D3_SC3_SSC1 — poids au sein du critère :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3"/>
      </w:pPr>
      <w:r>
        <w:t xml:space="preserve">Couverture CAPEX</w:t>
      </w:r>
    </w:p>
    <w:p>
      <w:pPr>
        <w:spacing w:after="140" w:before="0"/>
      </w:pPr>
      <w:r>
        <w:rPr>
          <w:color w:val="7A7A7A"/>
          <w:sz w:val="18"/>
          <w:szCs w:val="18"/>
        </w:rPr>
        <w:t xml:space="preserve">D3_SC3_SSC2 — poids au sein du critère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Montant assuré, dette couverte, valeur garantie.</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&gt;95% CAPEX ou &gt;120% dette selon le cas.</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Polices assurance, valorisation garanties.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Couverture très forte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Assurances/garanties couvrent quasi totalement l’exposition.</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Couverture bonne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Couverture suffisante avec quelques limites.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Couverture partielle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Couverture insuffisante nécessitant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Couverture faible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Sous-couverture importante.</w:t>
            </w:r>
          </w:p>
        </w:tc>
      </w:tr>
    </w:tbl>
    <w:p>
      <w:pPr>
        <w:spacing w:after="200" w:before="0"/>
      </w:pPr>
      <w:r>
        <w:rPr>
          <w:color w:val="333333"/>
          <w:sz w:val="21"/>
          <w:szCs w:val="21"/>
        </w:rPr>
        <w:t xml:space="preserve"/>
      </w:r>
    </w:p>
    <w:p>
      <w:pPr>
        <w:pStyle w:val="Heading3"/>
      </w:pPr>
      <w:r>
        <w:t xml:space="preserve">Qualité assureur</w:t>
      </w:r>
    </w:p>
    <w:p>
      <w:pPr>
        <w:spacing w:after="140" w:before="0"/>
      </w:pPr>
      <w:r>
        <w:rPr>
          <w:color w:val="7A7A7A"/>
          <w:sz w:val="18"/>
          <w:szCs w:val="18"/>
        </w:rPr>
        <w:t xml:space="preserve">D3_SC3_SSC3 — poids au sein du critère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r>
        <w:br w:type="page"/>
      </w:r>
    </w:p>
    <w:p>
      <w:pPr>
        <w:pStyle w:val="Heading1"/>
      </w:pPr>
      <w:r>
        <w:t xml:space="preserve">D4 · Risque de marché</w:t>
      </w:r>
    </w:p>
    <w:p>
      <w:pPr>
        <w:spacing w:after="200" w:before="0"/>
      </w:pPr>
      <w:r>
        <w:rPr>
          <w:i/>
          <w:iCs/>
          <w:color w:val="7A7A7A"/>
          <w:sz w:val="21"/>
          <w:szCs w:val="21"/>
        </w:rPr>
        <w:t xml:space="preserve">Poids dans la note finale : 10 sur 100. 3 critères, 9 questions.</w:t>
      </w:r>
    </w:p>
    <w:p>
      <w:pPr>
        <w:pStyle w:val="Heading2"/>
      </w:pPr>
      <w:r>
        <w:t xml:space="preserve">D4_SC1 · Demand Risk</w:t>
      </w:r>
    </w:p>
    <w:p>
      <w:pPr>
        <w:spacing w:after="120" w:before="0"/>
      </w:pPr>
      <w:r>
        <w:rPr>
          <w:i/>
          <w:iCs/>
          <w:color w:val="7A7A7A"/>
          <w:sz w:val="19"/>
          <w:szCs w:val="19"/>
        </w:rPr>
        <w:t xml:space="preserve">Poids au sein du domaine : 40.</w:t>
      </w:r>
    </w:p>
    <w:p>
      <w:pPr>
        <w:pStyle w:val="Heading3"/>
      </w:pPr>
      <w:r>
        <w:t xml:space="preserve">Stabilité demande</w:t>
      </w:r>
    </w:p>
    <w:p>
      <w:pPr>
        <w:spacing w:after="140" w:before="0"/>
      </w:pPr>
      <w:r>
        <w:rPr>
          <w:color w:val="7A7A7A"/>
          <w:sz w:val="18"/>
          <w:szCs w:val="18"/>
        </w:rPr>
        <w:t xml:space="preserve">D4_SC1_SSC1 — poids au sein du critère :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3"/>
      </w:pPr>
      <w:r>
        <w:t xml:space="preserve">Prévisions marché</w:t>
      </w:r>
    </w:p>
    <w:p>
      <w:pPr>
        <w:spacing w:after="140" w:before="0"/>
      </w:pPr>
      <w:r>
        <w:rPr>
          <w:color w:val="7A7A7A"/>
          <w:sz w:val="18"/>
          <w:szCs w:val="18"/>
        </w:rPr>
        <w:t xml:space="preserve">D4_SC1_SSC2 — poids au sein du critère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3"/>
      </w:pPr>
      <w:r>
        <w:t xml:space="preserve">Sensibilité économique</w:t>
      </w:r>
    </w:p>
    <w:p>
      <w:pPr>
        <w:spacing w:after="140" w:before="0"/>
      </w:pPr>
      <w:r>
        <w:rPr>
          <w:color w:val="7A7A7A"/>
          <w:sz w:val="18"/>
          <w:szCs w:val="18"/>
        </w:rPr>
        <w:t xml:space="preserve">D4_SC1_SSC3 — poids au sein du critère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2"/>
      </w:pPr>
      <w:r>
        <w:t xml:space="preserve">D4_SC2 · Price Risk</w:t>
      </w:r>
    </w:p>
    <w:p>
      <w:pPr>
        <w:spacing w:after="120" w:before="0"/>
      </w:pPr>
      <w:r>
        <w:rPr>
          <w:i/>
          <w:iCs/>
          <w:color w:val="7A7A7A"/>
          <w:sz w:val="19"/>
          <w:szCs w:val="19"/>
        </w:rPr>
        <w:t xml:space="preserve">Poids au sein du domaine : 30.</w:t>
      </w:r>
    </w:p>
    <w:p>
      <w:pPr>
        <w:pStyle w:val="Heading3"/>
      </w:pPr>
      <w:r>
        <w:t xml:space="preserve">Volatilité prix</w:t>
      </w:r>
    </w:p>
    <w:p>
      <w:pPr>
        <w:spacing w:after="140" w:before="0"/>
      </w:pPr>
      <w:r>
        <w:rPr>
          <w:color w:val="7A7A7A"/>
          <w:sz w:val="18"/>
          <w:szCs w:val="18"/>
        </w:rPr>
        <w:t xml:space="preserve">D4_SC2_SSC1 — poids au sein du critère :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3"/>
      </w:pPr>
      <w:r>
        <w:t xml:space="preserve">Indexation</w:t>
      </w:r>
    </w:p>
    <w:p>
      <w:pPr>
        <w:spacing w:after="140" w:before="0"/>
      </w:pPr>
      <w:r>
        <w:rPr>
          <w:color w:val="7A7A7A"/>
          <w:sz w:val="18"/>
          <w:szCs w:val="18"/>
        </w:rPr>
        <w:t xml:space="preserve">D4_SC2_SSC2 — poids au sein du critère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3"/>
      </w:pPr>
      <w:r>
        <w:t xml:space="preserve">Mécanisme pricing</w:t>
      </w:r>
    </w:p>
    <w:p>
      <w:pPr>
        <w:spacing w:after="140" w:before="0"/>
      </w:pPr>
      <w:r>
        <w:rPr>
          <w:color w:val="7A7A7A"/>
          <w:sz w:val="18"/>
          <w:szCs w:val="18"/>
        </w:rPr>
        <w:t xml:space="preserve">D4_SC2_SSC3 — poids au sein du critère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2"/>
      </w:pPr>
      <w:r>
        <w:t xml:space="preserve">D4_SC3 · Competition</w:t>
      </w:r>
    </w:p>
    <w:p>
      <w:pPr>
        <w:spacing w:after="120" w:before="0"/>
      </w:pPr>
      <w:r>
        <w:rPr>
          <w:i/>
          <w:iCs/>
          <w:color w:val="7A7A7A"/>
          <w:sz w:val="19"/>
          <w:szCs w:val="19"/>
        </w:rPr>
        <w:t xml:space="preserve">Poids au sein du domaine : 30.</w:t>
      </w:r>
    </w:p>
    <w:p>
      <w:pPr>
        <w:pStyle w:val="Heading3"/>
      </w:pPr>
      <w:r>
        <w:t xml:space="preserve">Intensité concurrentielle</w:t>
      </w:r>
    </w:p>
    <w:p>
      <w:pPr>
        <w:spacing w:after="140" w:before="0"/>
      </w:pPr>
      <w:r>
        <w:rPr>
          <w:color w:val="7A7A7A"/>
          <w:sz w:val="18"/>
          <w:szCs w:val="18"/>
        </w:rPr>
        <w:t xml:space="preserve">D4_SC3_SSC1 — poids au sein du critère :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3"/>
      </w:pPr>
      <w:r>
        <w:t xml:space="preserve">Barrières entrée</w:t>
      </w:r>
    </w:p>
    <w:p>
      <w:pPr>
        <w:spacing w:after="140" w:before="0"/>
      </w:pPr>
      <w:r>
        <w:rPr>
          <w:color w:val="7A7A7A"/>
          <w:sz w:val="18"/>
          <w:szCs w:val="18"/>
        </w:rPr>
        <w:t xml:space="preserve">D4_SC3_SSC2 — poids au sein du critère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3"/>
      </w:pPr>
      <w:r>
        <w:t xml:space="preserve">Positionnement projet</w:t>
      </w:r>
    </w:p>
    <w:p>
      <w:pPr>
        <w:spacing w:after="140" w:before="0"/>
      </w:pPr>
      <w:r>
        <w:rPr>
          <w:color w:val="7A7A7A"/>
          <w:sz w:val="18"/>
          <w:szCs w:val="18"/>
        </w:rPr>
        <w:t xml:space="preserve">D4_SC3_SSC3 — poids au sein du critère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r>
        <w:br w:type="page"/>
      </w:r>
    </w:p>
    <w:p>
      <w:pPr>
        <w:pStyle w:val="Heading1"/>
      </w:pPr>
      <w:r>
        <w:t xml:space="preserve">D5 · Risque opérationnel</w:t>
      </w:r>
    </w:p>
    <w:p>
      <w:pPr>
        <w:spacing w:after="200" w:before="0"/>
      </w:pPr>
      <w:r>
        <w:rPr>
          <w:i/>
          <w:iCs/>
          <w:color w:val="7A7A7A"/>
          <w:sz w:val="21"/>
          <w:szCs w:val="21"/>
        </w:rPr>
        <w:t xml:space="preserve">Poids dans la note finale : 10 sur 100. 3 critères, 9 questions.</w:t>
      </w:r>
    </w:p>
    <w:p>
      <w:pPr>
        <w:pStyle w:val="Heading2"/>
      </w:pPr>
      <w:r>
        <w:t xml:space="preserve">D5_SC1 · O&amp;M Capability</w:t>
      </w:r>
    </w:p>
    <w:p>
      <w:pPr>
        <w:spacing w:after="120" w:before="0"/>
      </w:pPr>
      <w:r>
        <w:rPr>
          <w:i/>
          <w:iCs/>
          <w:color w:val="7A7A7A"/>
          <w:sz w:val="19"/>
          <w:szCs w:val="19"/>
        </w:rPr>
        <w:t xml:space="preserve">Poids au sein du domaine : 40.</w:t>
      </w:r>
    </w:p>
    <w:p>
      <w:pPr>
        <w:pStyle w:val="Heading3"/>
      </w:pPr>
      <w:r>
        <w:t xml:space="preserve">Expérience opérateur</w:t>
      </w:r>
    </w:p>
    <w:p>
      <w:pPr>
        <w:spacing w:after="140" w:before="0"/>
      </w:pPr>
      <w:r>
        <w:rPr>
          <w:color w:val="7A7A7A"/>
          <w:sz w:val="18"/>
          <w:szCs w:val="18"/>
        </w:rPr>
        <w:t xml:space="preserve">D5_SC1_SSC1 — poids au sein du critère :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3"/>
      </w:pPr>
      <w:r>
        <w:t xml:space="preserve">Performance historique</w:t>
      </w:r>
    </w:p>
    <w:p>
      <w:pPr>
        <w:spacing w:after="140" w:before="0"/>
      </w:pPr>
      <w:r>
        <w:rPr>
          <w:color w:val="7A7A7A"/>
          <w:sz w:val="18"/>
          <w:szCs w:val="18"/>
        </w:rPr>
        <w:t xml:space="preserve">D5_SC1_SSC2 — poids au sein du critère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3"/>
      </w:pPr>
      <w:r>
        <w:t xml:space="preserve">Ressources techniques</w:t>
      </w:r>
    </w:p>
    <w:p>
      <w:pPr>
        <w:spacing w:after="140" w:before="0"/>
      </w:pPr>
      <w:r>
        <w:rPr>
          <w:color w:val="7A7A7A"/>
          <w:sz w:val="18"/>
          <w:szCs w:val="18"/>
        </w:rPr>
        <w:t xml:space="preserve">D5_SC1_SSC3 — poids au sein du critère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2"/>
      </w:pPr>
      <w:r>
        <w:t xml:space="preserve">D5_SC2 · Operational Stability</w:t>
      </w:r>
    </w:p>
    <w:p>
      <w:pPr>
        <w:spacing w:after="120" w:before="0"/>
      </w:pPr>
      <w:r>
        <w:rPr>
          <w:i/>
          <w:iCs/>
          <w:color w:val="7A7A7A"/>
          <w:sz w:val="19"/>
          <w:szCs w:val="19"/>
        </w:rPr>
        <w:t xml:space="preserve">Poids au sein du domaine : 30.</w:t>
      </w:r>
    </w:p>
    <w:p>
      <w:pPr>
        <w:pStyle w:val="Heading3"/>
      </w:pPr>
      <w:r>
        <w:t xml:space="preserve">Fiabilité opérations</w:t>
      </w:r>
    </w:p>
    <w:p>
      <w:pPr>
        <w:spacing w:after="140" w:before="0"/>
      </w:pPr>
      <w:r>
        <w:rPr>
          <w:color w:val="7A7A7A"/>
          <w:sz w:val="18"/>
          <w:szCs w:val="18"/>
        </w:rPr>
        <w:t xml:space="preserve">D5_SC2_SSC1 — poids au sein du critère :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3"/>
      </w:pPr>
      <w:r>
        <w:t xml:space="preserve">Maintenance</w:t>
      </w:r>
    </w:p>
    <w:p>
      <w:pPr>
        <w:spacing w:after="140" w:before="0"/>
      </w:pPr>
      <w:r>
        <w:rPr>
          <w:color w:val="7A7A7A"/>
          <w:sz w:val="18"/>
          <w:szCs w:val="18"/>
        </w:rPr>
        <w:t xml:space="preserve">D5_SC2_SSC2 — poids au sein du critère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3"/>
      </w:pPr>
      <w:r>
        <w:t xml:space="preserve">Dépendance fournisseurs</w:t>
      </w:r>
    </w:p>
    <w:p>
      <w:pPr>
        <w:spacing w:after="140" w:before="0"/>
      </w:pPr>
      <w:r>
        <w:rPr>
          <w:color w:val="7A7A7A"/>
          <w:sz w:val="18"/>
          <w:szCs w:val="18"/>
        </w:rPr>
        <w:t xml:space="preserve">D5_SC2_SSC3 — poids au sein du critère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2"/>
      </w:pPr>
      <w:r>
        <w:t xml:space="preserve">D5_SC3 · Cost Control</w:t>
      </w:r>
    </w:p>
    <w:p>
      <w:pPr>
        <w:spacing w:after="120" w:before="0"/>
      </w:pPr>
      <w:r>
        <w:rPr>
          <w:i/>
          <w:iCs/>
          <w:color w:val="7A7A7A"/>
          <w:sz w:val="19"/>
          <w:szCs w:val="19"/>
        </w:rPr>
        <w:t xml:space="preserve">Poids au sein du domaine : 30.</w:t>
      </w:r>
    </w:p>
    <w:p>
      <w:pPr>
        <w:pStyle w:val="Heading3"/>
      </w:pPr>
      <w:r>
        <w:t xml:space="preserve">Structure coûts</w:t>
      </w:r>
    </w:p>
    <w:p>
      <w:pPr>
        <w:spacing w:after="140" w:before="0"/>
      </w:pPr>
      <w:r>
        <w:rPr>
          <w:color w:val="7A7A7A"/>
          <w:sz w:val="18"/>
          <w:szCs w:val="18"/>
        </w:rPr>
        <w:t xml:space="preserve">D5_SC3_SSC1 — poids au sein du critère :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3"/>
      </w:pPr>
      <w:r>
        <w:t xml:space="preserve">Sensibilité inflation</w:t>
      </w:r>
    </w:p>
    <w:p>
      <w:pPr>
        <w:spacing w:after="140" w:before="0"/>
      </w:pPr>
      <w:r>
        <w:rPr>
          <w:color w:val="7A7A7A"/>
          <w:sz w:val="18"/>
          <w:szCs w:val="18"/>
        </w:rPr>
        <w:t xml:space="preserve">D5_SC3_SSC2 — poids au sein du critère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3"/>
      </w:pPr>
      <w:r>
        <w:t xml:space="preserve">Capacité optimisation</w:t>
      </w:r>
    </w:p>
    <w:p>
      <w:pPr>
        <w:spacing w:after="140" w:before="0"/>
      </w:pPr>
      <w:r>
        <w:rPr>
          <w:color w:val="7A7A7A"/>
          <w:sz w:val="18"/>
          <w:szCs w:val="18"/>
        </w:rPr>
        <w:t xml:space="preserve">D5_SC3_SSC3 — poids au sein du critère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r>
        <w:br w:type="page"/>
      </w:r>
    </w:p>
    <w:p>
      <w:pPr>
        <w:pStyle w:val="Heading1"/>
      </w:pPr>
      <w:r>
        <w:t xml:space="preserve">D6 · Risque de contrepartie</w:t>
      </w:r>
    </w:p>
    <w:p>
      <w:pPr>
        <w:spacing w:after="200" w:before="0"/>
      </w:pPr>
      <w:r>
        <w:rPr>
          <w:i/>
          <w:iCs/>
          <w:color w:val="7A7A7A"/>
          <w:sz w:val="21"/>
          <w:szCs w:val="21"/>
        </w:rPr>
        <w:t xml:space="preserve">Poids dans la note finale : 10 sur 100. 3 critères, 9 questions.</w:t>
      </w:r>
    </w:p>
    <w:p>
      <w:pPr>
        <w:pStyle w:val="Heading2"/>
      </w:pPr>
      <w:r>
        <w:t xml:space="preserve">D6_SC1 · Offtaker Risk</w:t>
      </w:r>
    </w:p>
    <w:p>
      <w:pPr>
        <w:spacing w:after="120" w:before="0"/>
      </w:pPr>
      <w:r>
        <w:rPr>
          <w:i/>
          <w:iCs/>
          <w:color w:val="7A7A7A"/>
          <w:sz w:val="19"/>
          <w:szCs w:val="19"/>
        </w:rPr>
        <w:t xml:space="preserve">Poids au sein du domaine : 40.</w:t>
      </w:r>
    </w:p>
    <w:p>
      <w:pPr>
        <w:pStyle w:val="Heading3"/>
      </w:pPr>
      <w:r>
        <w:t xml:space="preserve">Qualité crédit</w:t>
      </w:r>
    </w:p>
    <w:p>
      <w:pPr>
        <w:spacing w:after="140" w:before="0"/>
      </w:pPr>
      <w:r>
        <w:rPr>
          <w:color w:val="7A7A7A"/>
          <w:sz w:val="18"/>
          <w:szCs w:val="18"/>
        </w:rPr>
        <w:t xml:space="preserve">D6_SC1_SSC1 — poids au sein du critère : 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Rating, solvabilité, liquidité, historique paiement.</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Rating ≥BBB- ou équivalent interne fort ; aucun retard significatif.</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Agences rating, états financiers, base interne.</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Investment Grade / souverain fort</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Contrepartie très solvable avec historique impeccable.</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Solide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Contrepartie solvable mais non forcément IG.</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Moyenne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Solvabilité correcte mais vulnérable au cycle.</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Fragile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Risque élevé de non-paiement.</w:t>
            </w:r>
          </w:p>
        </w:tc>
      </w:tr>
    </w:tbl>
    <w:p>
      <w:pPr>
        <w:spacing w:after="200" w:before="0"/>
      </w:pPr>
      <w:r>
        <w:rPr>
          <w:color w:val="333333"/>
          <w:sz w:val="21"/>
          <w:szCs w:val="21"/>
        </w:rPr>
        <w:t xml:space="preserve"/>
      </w:r>
    </w:p>
    <w:p>
      <w:pPr>
        <w:pStyle w:val="Heading3"/>
      </w:pPr>
      <w:r>
        <w:t xml:space="preserve">Historique paiement</w:t>
      </w:r>
    </w:p>
    <w:p>
      <w:pPr>
        <w:spacing w:after="140" w:before="0"/>
      </w:pPr>
      <w:r>
        <w:rPr>
          <w:color w:val="7A7A7A"/>
          <w:sz w:val="18"/>
          <w:szCs w:val="18"/>
        </w:rPr>
        <w:t xml:space="preserve">D6_SC1_SSC2 — poids au sein du critère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3"/>
      </w:pPr>
      <w:r>
        <w:t xml:space="preserve">Dépendance projet</w:t>
      </w:r>
    </w:p>
    <w:p>
      <w:pPr>
        <w:spacing w:after="140" w:before="0"/>
      </w:pPr>
      <w:r>
        <w:rPr>
          <w:color w:val="7A7A7A"/>
          <w:sz w:val="18"/>
          <w:szCs w:val="18"/>
        </w:rPr>
        <w:t xml:space="preserve">D6_SC1_SSC3 — poids au sein du critère :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2"/>
      </w:pPr>
      <w:r>
        <w:t xml:space="preserve">D6_SC2 · Supplier Risk</w:t>
      </w:r>
    </w:p>
    <w:p>
      <w:pPr>
        <w:spacing w:after="120" w:before="0"/>
      </w:pPr>
      <w:r>
        <w:rPr>
          <w:i/>
          <w:iCs/>
          <w:color w:val="7A7A7A"/>
          <w:sz w:val="19"/>
          <w:szCs w:val="19"/>
        </w:rPr>
        <w:t xml:space="preserve">Poids au sein du domaine : 30.</w:t>
      </w:r>
    </w:p>
    <w:p>
      <w:pPr>
        <w:pStyle w:val="Heading3"/>
      </w:pPr>
      <w:r>
        <w:t xml:space="preserve">Fiabilité fournisseurs</w:t>
      </w:r>
    </w:p>
    <w:p>
      <w:pPr>
        <w:spacing w:after="140" w:before="0"/>
      </w:pPr>
      <w:r>
        <w:rPr>
          <w:color w:val="7A7A7A"/>
          <w:sz w:val="18"/>
          <w:szCs w:val="18"/>
        </w:rPr>
        <w:t xml:space="preserve">D6_SC2_SSC1 — poids au sein du critère :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3"/>
      </w:pPr>
      <w:r>
        <w:t xml:space="preserve">Diversification</w:t>
      </w:r>
    </w:p>
    <w:p>
      <w:pPr>
        <w:spacing w:after="140" w:before="0"/>
      </w:pPr>
      <w:r>
        <w:rPr>
          <w:color w:val="7A7A7A"/>
          <w:sz w:val="18"/>
          <w:szCs w:val="18"/>
        </w:rPr>
        <w:t xml:space="preserve">D6_SC2_SSC2 — poids au sein du critère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3"/>
      </w:pPr>
      <w:r>
        <w:t xml:space="preserve">Risque supply chain</w:t>
      </w:r>
    </w:p>
    <w:p>
      <w:pPr>
        <w:spacing w:after="140" w:before="0"/>
      </w:pPr>
      <w:r>
        <w:rPr>
          <w:color w:val="7A7A7A"/>
          <w:sz w:val="18"/>
          <w:szCs w:val="18"/>
        </w:rPr>
        <w:t xml:space="preserve">D6_SC2_SSC3 — poids au sein du critère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2"/>
      </w:pPr>
      <w:r>
        <w:t xml:space="preserve">D6_SC3 · Financial Partners</w:t>
      </w:r>
    </w:p>
    <w:p>
      <w:pPr>
        <w:spacing w:after="120" w:before="0"/>
      </w:pPr>
      <w:r>
        <w:rPr>
          <w:i/>
          <w:iCs/>
          <w:color w:val="7A7A7A"/>
          <w:sz w:val="19"/>
          <w:szCs w:val="19"/>
        </w:rPr>
        <w:t xml:space="preserve">Poids au sein du domaine : 30.</w:t>
      </w:r>
    </w:p>
    <w:p>
      <w:pPr>
        <w:pStyle w:val="Heading3"/>
      </w:pPr>
      <w:r>
        <w:t xml:space="preserve">Qualité prêteurs</w:t>
      </w:r>
    </w:p>
    <w:p>
      <w:pPr>
        <w:spacing w:after="140" w:before="0"/>
      </w:pPr>
      <w:r>
        <w:rPr>
          <w:color w:val="7A7A7A"/>
          <w:sz w:val="18"/>
          <w:szCs w:val="18"/>
        </w:rPr>
        <w:t xml:space="preserve">D6_SC3_SSC1 — poids au sein du critère :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3"/>
      </w:pPr>
      <w:r>
        <w:t xml:space="preserve">Structure financement</w:t>
      </w:r>
    </w:p>
    <w:p>
      <w:pPr>
        <w:spacing w:after="140" w:before="0"/>
      </w:pPr>
      <w:r>
        <w:rPr>
          <w:color w:val="7A7A7A"/>
          <w:sz w:val="18"/>
          <w:szCs w:val="18"/>
        </w:rPr>
        <w:t xml:space="preserve">D6_SC3_SSC2 — poids au sein du critère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3"/>
      </w:pPr>
      <w:r>
        <w:t xml:space="preserve">Alignement intérêts</w:t>
      </w:r>
    </w:p>
    <w:p>
      <w:pPr>
        <w:spacing w:after="140" w:before="0"/>
      </w:pPr>
      <w:r>
        <w:rPr>
          <w:color w:val="7A7A7A"/>
          <w:sz w:val="18"/>
          <w:szCs w:val="18"/>
        </w:rPr>
        <w:t xml:space="preserve">D6_SC3_SSC3 — poids au sein du critère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r>
        <w:br w:type="page"/>
      </w:r>
    </w:p>
    <w:p>
      <w:pPr>
        <w:pStyle w:val="Heading1"/>
      </w:pPr>
      <w:r>
        <w:t xml:space="preserve">D7 · Structure financière et flux de trésorerie</w:t>
      </w:r>
    </w:p>
    <w:p>
      <w:pPr>
        <w:spacing w:after="200" w:before="0"/>
      </w:pPr>
      <w:r>
        <w:rPr>
          <w:i/>
          <w:iCs/>
          <w:color w:val="7A7A7A"/>
          <w:sz w:val="21"/>
          <w:szCs w:val="21"/>
        </w:rPr>
        <w:t xml:space="preserve">Poids dans la note finale : 15 sur 100. 3 critères, 9 questions.</w:t>
      </w:r>
    </w:p>
    <w:p>
      <w:pPr>
        <w:pStyle w:val="Heading2"/>
      </w:pPr>
      <w:r>
        <w:t xml:space="preserve">D7_SC1 · Financial Structure</w:t>
      </w:r>
    </w:p>
    <w:p>
      <w:pPr>
        <w:spacing w:after="120" w:before="0"/>
      </w:pPr>
      <w:r>
        <w:rPr>
          <w:i/>
          <w:iCs/>
          <w:color w:val="7A7A7A"/>
          <w:sz w:val="19"/>
          <w:szCs w:val="19"/>
        </w:rPr>
        <w:t xml:space="preserve">Poids au sein du domaine : 35.</w:t>
      </w:r>
    </w:p>
    <w:p>
      <w:pPr>
        <w:pStyle w:val="Heading3"/>
      </w:pPr>
      <w:r>
        <w:t xml:space="preserve">Leverage</w:t>
      </w:r>
    </w:p>
    <w:p>
      <w:pPr>
        <w:spacing w:after="140" w:before="0"/>
      </w:pPr>
      <w:r>
        <w:rPr>
          <w:color w:val="7A7A7A"/>
          <w:sz w:val="18"/>
          <w:szCs w:val="18"/>
        </w:rPr>
        <w:t xml:space="preserve">D7_SC1_SSC1 — poids au sein du critère :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Debt/Equity, equity %, gearing projet.</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D/E ≤70/30 ou equity ≥30%.</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Term sheet, financial model.</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Leverage prudent</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Dette/fonds propres conservateur.</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Leverage acceptable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Endettement cohérent avec le secteur.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Leverage élevé</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Structure tendue nécessitant protections fortes.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Leverage excessif</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Fonds propres insuffisants.</w:t>
            </w:r>
          </w:p>
        </w:tc>
      </w:tr>
    </w:tbl>
    <w:p>
      <w:pPr>
        <w:spacing w:after="200" w:before="0"/>
      </w:pPr>
      <w:r>
        <w:rPr>
          <w:color w:val="333333"/>
          <w:sz w:val="21"/>
          <w:szCs w:val="21"/>
        </w:rPr>
        <w:t xml:space="preserve"/>
      </w:r>
    </w:p>
    <w:p>
      <w:pPr>
        <w:pStyle w:val="Heading3"/>
      </w:pPr>
      <w:r>
        <w:t xml:space="preserve">Support sponsor</w:t>
      </w:r>
    </w:p>
    <w:p>
      <w:pPr>
        <w:spacing w:after="140" w:before="0"/>
      </w:pPr>
      <w:r>
        <w:rPr>
          <w:color w:val="7A7A7A"/>
          <w:sz w:val="18"/>
          <w:szCs w:val="18"/>
        </w:rPr>
        <w:t xml:space="preserve">D7_SC1_SSC2 — poids au sein du critère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3"/>
      </w:pPr>
      <w:r>
        <w:t xml:space="preserve">Réserves</w:t>
      </w:r>
    </w:p>
    <w:p>
      <w:pPr>
        <w:spacing w:after="140" w:before="0"/>
      </w:pPr>
      <w:r>
        <w:rPr>
          <w:color w:val="7A7A7A"/>
          <w:sz w:val="18"/>
          <w:szCs w:val="18"/>
        </w:rPr>
        <w:t xml:space="preserve">D7_SC1_SSC3 — poids au sein du critère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2"/>
      </w:pPr>
      <w:r>
        <w:t xml:space="preserve">D7_SC2 · Cash Flow Predictability</w:t>
      </w:r>
    </w:p>
    <w:p>
      <w:pPr>
        <w:spacing w:after="120" w:before="0"/>
      </w:pPr>
      <w:r>
        <w:rPr>
          <w:i/>
          <w:iCs/>
          <w:color w:val="7A7A7A"/>
          <w:sz w:val="19"/>
          <w:szCs w:val="19"/>
        </w:rPr>
        <w:t xml:space="preserve">Poids au sein du domaine : 30.</w:t>
      </w:r>
    </w:p>
    <w:p>
      <w:pPr>
        <w:pStyle w:val="Heading3"/>
      </w:pPr>
      <w:r>
        <w:t xml:space="preserve">Visibilité revenus</w:t>
      </w:r>
    </w:p>
    <w:p>
      <w:pPr>
        <w:spacing w:after="140" w:before="0"/>
      </w:pPr>
      <w:r>
        <w:rPr>
          <w:color w:val="7A7A7A"/>
          <w:sz w:val="18"/>
          <w:szCs w:val="18"/>
        </w:rPr>
        <w:t xml:space="preserve">D7_SC2_SSC1 — poids au sein du critère :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3"/>
      </w:pPr>
      <w:r>
        <w:t xml:space="preserve">Price risk</w:t>
      </w:r>
    </w:p>
    <w:p>
      <w:pPr>
        <w:spacing w:after="140" w:before="0"/>
      </w:pPr>
      <w:r>
        <w:rPr>
          <w:color w:val="7A7A7A"/>
          <w:sz w:val="18"/>
          <w:szCs w:val="18"/>
        </w:rPr>
        <w:t xml:space="preserve">D7_SC2_SSC2 — poids au sein du critère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3"/>
      </w:pPr>
      <w:r>
        <w:t xml:space="preserve">Volume risk</w:t>
      </w:r>
    </w:p>
    <w:p>
      <w:pPr>
        <w:spacing w:after="140" w:before="0"/>
      </w:pPr>
      <w:r>
        <w:rPr>
          <w:color w:val="7A7A7A"/>
          <w:sz w:val="18"/>
          <w:szCs w:val="18"/>
        </w:rPr>
        <w:t xml:space="preserve">D7_SC2_SSC3 — poids au sein du critère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2"/>
      </w:pPr>
      <w:r>
        <w:t xml:space="preserve">D7_SC3 · Debt Service Capacity</w:t>
      </w:r>
    </w:p>
    <w:p>
      <w:pPr>
        <w:spacing w:after="120" w:before="0"/>
      </w:pPr>
      <w:r>
        <w:rPr>
          <w:i/>
          <w:iCs/>
          <w:color w:val="7A7A7A"/>
          <w:sz w:val="19"/>
          <w:szCs w:val="19"/>
        </w:rPr>
        <w:t xml:space="preserve">Poids au sein du domaine : 35.</w:t>
      </w:r>
    </w:p>
    <w:p>
      <w:pPr>
        <w:pStyle w:val="Heading3"/>
      </w:pPr>
      <w:r>
        <w:t xml:space="preserve">DSCR</w:t>
      </w:r>
    </w:p>
    <w:p>
      <w:pPr>
        <w:spacing w:after="140" w:before="0"/>
      </w:pPr>
      <w:r>
        <w:rPr>
          <w:color w:val="7A7A7A"/>
          <w:sz w:val="18"/>
          <w:szCs w:val="18"/>
        </w:rPr>
        <w:t xml:space="preserve">D7_SC3_SSC1 — poids au sein du critère : 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DSCR min, DSCR moyen, DSCR stressé.</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DSCR min ≥1.30x et DSCR moyen ≥1.40x.</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audité, sensibilité banque.</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Très robuste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DSCR confortable en base case et en stress modéré.</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Robuste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Capacité de service de la dette satisfaisante.</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Limité</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Marge de sécurité faible ; sensibilité importante.</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Projet insuffisamment couvert par les flux.</w:t>
            </w:r>
          </w:p>
        </w:tc>
      </w:tr>
    </w:tbl>
    <w:p>
      <w:pPr>
        <w:spacing w:after="200" w:before="0"/>
      </w:pPr>
      <w:r>
        <w:rPr>
          <w:color w:val="333333"/>
          <w:sz w:val="21"/>
          <w:szCs w:val="21"/>
        </w:rPr>
        <w:t xml:space="preserve"/>
      </w:r>
    </w:p>
    <w:p>
      <w:pPr>
        <w:pStyle w:val="Heading3"/>
      </w:pPr>
      <w:r>
        <w:t xml:space="preserve">LLCR</w:t>
      </w:r>
    </w:p>
    <w:p>
      <w:pPr>
        <w:spacing w:after="140" w:before="0"/>
      </w:pPr>
      <w:r>
        <w:rPr>
          <w:color w:val="7A7A7A"/>
          <w:sz w:val="18"/>
          <w:szCs w:val="18"/>
        </w:rPr>
        <w:t xml:space="preserve">D7_SC3_SSC2 — poids au sein du critère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LLCR, valeur actuelle CFADS, dette restante.</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LLCR ≥1.50x.</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Très robuste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Couverture long terme très confortable.</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Robuste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Couverture long terme correcte.</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Moyen</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Couverture long terme faible.</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Faible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Capacité long terme insuffisante.</w:t>
            </w:r>
          </w:p>
        </w:tc>
      </w:tr>
    </w:tbl>
    <w:p>
      <w:pPr>
        <w:spacing w:after="200" w:before="0"/>
      </w:pPr>
      <w:r>
        <w:rPr>
          <w:color w:val="333333"/>
          <w:sz w:val="21"/>
          <w:szCs w:val="21"/>
        </w:rPr>
        <w:t xml:space="preserve"/>
      </w:r>
    </w:p>
    <w:p>
      <w:pPr>
        <w:pStyle w:val="Heading3"/>
      </w:pPr>
      <w:r>
        <w:t xml:space="preserve">Stress resilience</w:t>
      </w:r>
    </w:p>
    <w:p>
      <w:pPr>
        <w:spacing w:after="140" w:before="0"/>
      </w:pPr>
      <w:r>
        <w:rPr>
          <w:color w:val="7A7A7A"/>
          <w:sz w:val="18"/>
          <w:szCs w:val="18"/>
        </w:rPr>
        <w:t xml:space="preserve">D7_SC3_SSC3 — poids au sein du critère :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r>
        <w:br w:type="page"/>
      </w:r>
    </w:p>
    <w:p>
      <w:pPr>
        <w:pStyle w:val="Heading1"/>
      </w:pPr>
      <w:r>
        <w:t xml:space="preserve">D8 · Juridique et documentation</w:t>
      </w:r>
    </w:p>
    <w:p>
      <w:pPr>
        <w:spacing w:after="200" w:before="0"/>
      </w:pPr>
      <w:r>
        <w:rPr>
          <w:i/>
          <w:iCs/>
          <w:color w:val="7A7A7A"/>
          <w:sz w:val="21"/>
          <w:szCs w:val="21"/>
        </w:rPr>
        <w:t xml:space="preserve">Poids dans la note finale : 10 sur 100. 3 critères, 9 questions.</w:t>
      </w:r>
    </w:p>
    <w:p>
      <w:pPr>
        <w:pStyle w:val="Heading2"/>
      </w:pPr>
      <w:r>
        <w:t xml:space="preserve">D8_SC1 · Contractual Framework</w:t>
      </w:r>
    </w:p>
    <w:p>
      <w:pPr>
        <w:spacing w:after="120" w:before="0"/>
      </w:pPr>
      <w:r>
        <w:rPr>
          <w:i/>
          <w:iCs/>
          <w:color w:val="7A7A7A"/>
          <w:sz w:val="19"/>
          <w:szCs w:val="19"/>
        </w:rPr>
        <w:t xml:space="preserve">Poids au sein du domaine : 40.</w:t>
      </w:r>
    </w:p>
    <w:p>
      <w:pPr>
        <w:pStyle w:val="Heading3"/>
      </w:pPr>
      <w:r>
        <w:t xml:space="preserve">Complétude contrats</w:t>
      </w:r>
    </w:p>
    <w:p>
      <w:pPr>
        <w:spacing w:after="140" w:before="0"/>
      </w:pPr>
      <w:r>
        <w:rPr>
          <w:color w:val="7A7A7A"/>
          <w:sz w:val="18"/>
          <w:szCs w:val="18"/>
        </w:rPr>
        <w:t xml:space="preserve">D8_SC1_SSC1 — poids au sein du critère :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3"/>
      </w:pPr>
      <w:r>
        <w:t xml:space="preserve">Bankability</w:t>
      </w:r>
    </w:p>
    <w:p>
      <w:pPr>
        <w:spacing w:after="140" w:before="0"/>
      </w:pPr>
      <w:r>
        <w:rPr>
          <w:color w:val="7A7A7A"/>
          <w:sz w:val="18"/>
          <w:szCs w:val="18"/>
        </w:rPr>
        <w:t xml:space="preserve">D8_SC1_SSC2 — poids au sein du critère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3"/>
      </w:pPr>
      <w:r>
        <w:t xml:space="preserve">Direct agreements</w:t>
      </w:r>
    </w:p>
    <w:p>
      <w:pPr>
        <w:spacing w:after="140" w:before="0"/>
      </w:pPr>
      <w:r>
        <w:rPr>
          <w:color w:val="7A7A7A"/>
          <w:sz w:val="18"/>
          <w:szCs w:val="18"/>
        </w:rPr>
        <w:t xml:space="preserve">D8_SC1_SSC3 — poids au sein du critère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2"/>
      </w:pPr>
      <w:r>
        <w:t xml:space="preserve">D8_SC2 · Security Package</w:t>
      </w:r>
    </w:p>
    <w:p>
      <w:pPr>
        <w:spacing w:after="120" w:before="0"/>
      </w:pPr>
      <w:r>
        <w:rPr>
          <w:i/>
          <w:iCs/>
          <w:color w:val="7A7A7A"/>
          <w:sz w:val="19"/>
          <w:szCs w:val="19"/>
        </w:rPr>
        <w:t xml:space="preserve">Poids au sein du domaine : 35.</w:t>
      </w:r>
    </w:p>
    <w:p>
      <w:pPr>
        <w:pStyle w:val="Heading3"/>
      </w:pPr>
      <w:r>
        <w:t xml:space="preserve">Type garanties</w:t>
      </w:r>
    </w:p>
    <w:p>
      <w:pPr>
        <w:spacing w:after="140" w:before="0"/>
      </w:pPr>
      <w:r>
        <w:rPr>
          <w:color w:val="7A7A7A"/>
          <w:sz w:val="18"/>
          <w:szCs w:val="18"/>
        </w:rPr>
        <w:t xml:space="preserve">D8_SC2_SSC1 — poids au sein du critère :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3"/>
      </w:pPr>
      <w:r>
        <w:t xml:space="preserve">Enforceability</w:t>
      </w:r>
    </w:p>
    <w:p>
      <w:pPr>
        <w:spacing w:after="140" w:before="0"/>
      </w:pPr>
      <w:r>
        <w:rPr>
          <w:color w:val="7A7A7A"/>
          <w:sz w:val="18"/>
          <w:szCs w:val="18"/>
        </w:rPr>
        <w:t xml:space="preserve">D8_SC2_SSC2 — poids au sein du critère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3"/>
      </w:pPr>
      <w:r>
        <w:t xml:space="preserve">Couverture</w:t>
      </w:r>
    </w:p>
    <w:p>
      <w:pPr>
        <w:spacing w:after="140" w:before="0"/>
      </w:pPr>
      <w:r>
        <w:rPr>
          <w:color w:val="7A7A7A"/>
          <w:sz w:val="18"/>
          <w:szCs w:val="18"/>
        </w:rPr>
        <w:t xml:space="preserve">D8_SC2_SSC3 — poids au sein du critère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Montant assuré, dette couverte, valeur garantie.</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&gt;95% CAPEX ou &gt;120% dette selon le cas.</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Polices assurance, valorisation garanties.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Couverture très forte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Assurances/garanties couvrent quasi totalement l’exposition.</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Couverture bonne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Couverture suffisante avec quelques limites.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Couverture partielle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Couverture insuffisante nécessitant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Couverture faible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Sous-couverture importante.</w:t>
            </w:r>
          </w:p>
        </w:tc>
      </w:tr>
    </w:tbl>
    <w:p>
      <w:pPr>
        <w:spacing w:after="200" w:before="0"/>
      </w:pPr>
      <w:r>
        <w:rPr>
          <w:color w:val="333333"/>
          <w:sz w:val="21"/>
          <w:szCs w:val="21"/>
        </w:rPr>
        <w:t xml:space="preserve"/>
      </w:r>
    </w:p>
    <w:p>
      <w:pPr>
        <w:pStyle w:val="Heading2"/>
      </w:pPr>
      <w:r>
        <w:t xml:space="preserve">D8_SC3 · Legal Environment</w:t>
      </w:r>
    </w:p>
    <w:p>
      <w:pPr>
        <w:spacing w:after="120" w:before="0"/>
      </w:pPr>
      <w:r>
        <w:rPr>
          <w:i/>
          <w:iCs/>
          <w:color w:val="7A7A7A"/>
          <w:sz w:val="19"/>
          <w:szCs w:val="19"/>
        </w:rPr>
        <w:t xml:space="preserve">Poids au sein du domaine : 25.</w:t>
      </w:r>
    </w:p>
    <w:p>
      <w:pPr>
        <w:pStyle w:val="Heading3"/>
      </w:pPr>
      <w:r>
        <w:t xml:space="preserve">Stabilité réglementaire</w:t>
      </w:r>
    </w:p>
    <w:p>
      <w:pPr>
        <w:spacing w:after="140" w:before="0"/>
      </w:pPr>
      <w:r>
        <w:rPr>
          <w:color w:val="7A7A7A"/>
          <w:sz w:val="18"/>
          <w:szCs w:val="18"/>
        </w:rPr>
        <w:t xml:space="preserve">D8_SC3_SSC1 — poids au sein du critère :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3"/>
      </w:pPr>
      <w:r>
        <w:t xml:space="preserve">Autorisations</w:t>
      </w:r>
    </w:p>
    <w:p>
      <w:pPr>
        <w:spacing w:after="140" w:before="0"/>
      </w:pPr>
      <w:r>
        <w:rPr>
          <w:color w:val="7A7A7A"/>
          <w:sz w:val="18"/>
          <w:szCs w:val="18"/>
        </w:rPr>
        <w:t xml:space="preserve">D8_SC3_SSC2 — poids au sein du critère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Permis, EIE, licences, conformité réglementaire.</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100% documents critiques obtenus ; aucune réserve majeure.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Autorisations, EIE, legal DD.</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Conformité complète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Toutes les autorisations et exigences sont obtenues sans réserve majeure.</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Conformité quasi complète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Quelques réserves mineures non bloquantes.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Conformité partielle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Autorisations ou obligations importantes encore en cours.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Non conformité/absence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Autorisation critique manquante ou non-conformité majeure.</w:t>
            </w:r>
          </w:p>
        </w:tc>
      </w:tr>
    </w:tbl>
    <w:p>
      <w:pPr>
        <w:spacing w:after="200" w:before="0"/>
      </w:pPr>
      <w:r>
        <w:rPr>
          <w:color w:val="333333"/>
          <w:sz w:val="21"/>
          <w:szCs w:val="21"/>
        </w:rPr>
        <w:t xml:space="preserve"/>
      </w:r>
    </w:p>
    <w:p>
      <w:pPr>
        <w:pStyle w:val="Heading3"/>
      </w:pPr>
      <w:r>
        <w:t xml:space="preserve">Litiges</w:t>
      </w:r>
    </w:p>
    <w:p>
      <w:pPr>
        <w:spacing w:after="140" w:before="0"/>
      </w:pPr>
      <w:r>
        <w:rPr>
          <w:color w:val="7A7A7A"/>
          <w:sz w:val="18"/>
          <w:szCs w:val="18"/>
        </w:rPr>
        <w:t xml:space="preserve">D8_SC3_SSC3 — poids au sein du critère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r>
        <w:br w:type="page"/>
      </w:r>
    </w:p>
    <w:p>
      <w:pPr>
        <w:pStyle w:val="Heading1"/>
      </w:pPr>
      <w:r>
        <w:t xml:space="preserve">D9 · ESG et risque climatique</w:t>
      </w:r>
    </w:p>
    <w:p>
      <w:pPr>
        <w:spacing w:after="200" w:before="0"/>
      </w:pPr>
      <w:r>
        <w:rPr>
          <w:i/>
          <w:iCs/>
          <w:color w:val="7A7A7A"/>
          <w:sz w:val="21"/>
          <w:szCs w:val="21"/>
        </w:rPr>
        <w:t xml:space="preserve">Poids dans la note finale : 10 sur 100. 4 critères, 12 questions.</w:t>
      </w:r>
    </w:p>
    <w:p>
      <w:pPr>
        <w:pStyle w:val="Heading2"/>
      </w:pPr>
      <w:r>
        <w:t xml:space="preserve">D9_SC1 · Environmental</w:t>
      </w:r>
    </w:p>
    <w:p>
      <w:pPr>
        <w:spacing w:after="120" w:before="0"/>
      </w:pPr>
      <w:r>
        <w:rPr>
          <w:i/>
          <w:iCs/>
          <w:color w:val="7A7A7A"/>
          <w:sz w:val="19"/>
          <w:szCs w:val="19"/>
        </w:rPr>
        <w:t xml:space="preserve">Poids au sein du domaine : 30.</w:t>
      </w:r>
    </w:p>
    <w:p>
      <w:pPr>
        <w:pStyle w:val="Heading3"/>
      </w:pPr>
      <w:r>
        <w:t xml:space="preserve">Impact environnemental</w:t>
      </w:r>
    </w:p>
    <w:p>
      <w:pPr>
        <w:spacing w:after="140" w:before="0"/>
      </w:pPr>
      <w:r>
        <w:rPr>
          <w:color w:val="7A7A7A"/>
          <w:sz w:val="18"/>
          <w:szCs w:val="18"/>
        </w:rPr>
        <w:t xml:space="preserve">D9_SC1_SSC1 — poids au sein du critère :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3"/>
      </w:pPr>
      <w:r>
        <w:t xml:space="preserve">Conformité</w:t>
      </w:r>
    </w:p>
    <w:p>
      <w:pPr>
        <w:spacing w:after="140" w:before="0"/>
      </w:pPr>
      <w:r>
        <w:rPr>
          <w:color w:val="7A7A7A"/>
          <w:sz w:val="18"/>
          <w:szCs w:val="18"/>
        </w:rPr>
        <w:t xml:space="preserve">D9_SC1_SSC2 — poids au sein du critère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Permis, EIE, licences, conformité réglementaire.</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100% documents critiques obtenus ; aucune réserve majeure.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Autorisations, EIE, legal DD.</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Conformité complète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Toutes les autorisations et exigences sont obtenues sans réserve majeure.</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Conformité quasi complète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Quelques réserves mineures non bloquantes.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Conformité partielle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Autorisations ou obligations importantes encore en cours.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Non conformité/absence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Autorisation critique manquante ou non-conformité majeure.</w:t>
            </w:r>
          </w:p>
        </w:tc>
      </w:tr>
    </w:tbl>
    <w:p>
      <w:pPr>
        <w:spacing w:after="200" w:before="0"/>
      </w:pPr>
      <w:r>
        <w:rPr>
          <w:color w:val="333333"/>
          <w:sz w:val="21"/>
          <w:szCs w:val="21"/>
        </w:rPr>
        <w:t xml:space="preserve"/>
      </w:r>
    </w:p>
    <w:p>
      <w:pPr>
        <w:pStyle w:val="Heading3"/>
      </w:pPr>
      <w:r>
        <w:t xml:space="preserve">Efficience ressources</w:t>
      </w:r>
    </w:p>
    <w:p>
      <w:pPr>
        <w:spacing w:after="140" w:before="0"/>
      </w:pPr>
      <w:r>
        <w:rPr>
          <w:color w:val="7A7A7A"/>
          <w:sz w:val="18"/>
          <w:szCs w:val="18"/>
        </w:rPr>
        <w:t xml:space="preserve">D9_SC1_SSC3 — poids au sein du critère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2"/>
      </w:pPr>
      <w:r>
        <w:t xml:space="preserve">D9_SC2 · Social</w:t>
      </w:r>
    </w:p>
    <w:p>
      <w:pPr>
        <w:spacing w:after="120" w:before="0"/>
      </w:pPr>
      <w:r>
        <w:rPr>
          <w:i/>
          <w:iCs/>
          <w:color w:val="7A7A7A"/>
          <w:sz w:val="19"/>
          <w:szCs w:val="19"/>
        </w:rPr>
        <w:t xml:space="preserve">Poids au sein du domaine : 20.</w:t>
      </w:r>
    </w:p>
    <w:p>
      <w:pPr>
        <w:pStyle w:val="Heading3"/>
      </w:pPr>
      <w:r>
        <w:t xml:space="preserve">Impact communautés</w:t>
      </w:r>
    </w:p>
    <w:p>
      <w:pPr>
        <w:spacing w:after="140" w:before="0"/>
      </w:pPr>
      <w:r>
        <w:rPr>
          <w:color w:val="7A7A7A"/>
          <w:sz w:val="18"/>
          <w:szCs w:val="18"/>
        </w:rPr>
        <w:t xml:space="preserve">D9_SC2_SSC1 — poids au sein du critère :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3"/>
      </w:pPr>
      <w:r>
        <w:t xml:space="preserve">Conditions travail</w:t>
      </w:r>
    </w:p>
    <w:p>
      <w:pPr>
        <w:spacing w:after="140" w:before="0"/>
      </w:pPr>
      <w:r>
        <w:rPr>
          <w:color w:val="7A7A7A"/>
          <w:sz w:val="18"/>
          <w:szCs w:val="18"/>
        </w:rPr>
        <w:t xml:space="preserve">D9_SC2_SSC2 — poids au sein du critère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3"/>
      </w:pPr>
      <w:r>
        <w:t xml:space="preserve">Engagement parties prenantes</w:t>
      </w:r>
    </w:p>
    <w:p>
      <w:pPr>
        <w:spacing w:after="140" w:before="0"/>
      </w:pPr>
      <w:r>
        <w:rPr>
          <w:color w:val="7A7A7A"/>
          <w:sz w:val="18"/>
          <w:szCs w:val="18"/>
        </w:rPr>
        <w:t xml:space="preserve">D9_SC2_SSC3 — poids au sein du critère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2"/>
      </w:pPr>
      <w:r>
        <w:t xml:space="preserve">D9_SC3 · Governance</w:t>
      </w:r>
    </w:p>
    <w:p>
      <w:pPr>
        <w:spacing w:after="120" w:before="0"/>
      </w:pPr>
      <w:r>
        <w:rPr>
          <w:i/>
          <w:iCs/>
          <w:color w:val="7A7A7A"/>
          <w:sz w:val="19"/>
          <w:szCs w:val="19"/>
        </w:rPr>
        <w:t xml:space="preserve">Poids au sein du domaine : 20.</w:t>
      </w:r>
    </w:p>
    <w:p>
      <w:pPr>
        <w:pStyle w:val="Heading3"/>
      </w:pPr>
      <w:r>
        <w:t xml:space="preserve">Reporting</w:t>
      </w:r>
    </w:p>
    <w:p>
      <w:pPr>
        <w:spacing w:after="140" w:before="0"/>
      </w:pPr>
      <w:r>
        <w:rPr>
          <w:color w:val="7A7A7A"/>
          <w:sz w:val="18"/>
          <w:szCs w:val="18"/>
        </w:rPr>
        <w:t xml:space="preserve">D9_SC3_SSC1 — poids au sein du critère :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3"/>
      </w:pPr>
      <w:r>
        <w:t xml:space="preserve">Structure gouvernance</w:t>
      </w:r>
    </w:p>
    <w:p>
      <w:pPr>
        <w:spacing w:after="140" w:before="0"/>
      </w:pPr>
      <w:r>
        <w:rPr>
          <w:color w:val="7A7A7A"/>
          <w:sz w:val="18"/>
          <w:szCs w:val="18"/>
        </w:rPr>
        <w:t xml:space="preserve">D9_SC3_SSC2 — poids au sein du critère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3"/>
      </w:pPr>
      <w:r>
        <w:t xml:space="preserve">Politique ESG</w:t>
      </w:r>
    </w:p>
    <w:p>
      <w:pPr>
        <w:spacing w:after="140" w:before="0"/>
      </w:pPr>
      <w:r>
        <w:rPr>
          <w:color w:val="7A7A7A"/>
          <w:sz w:val="18"/>
          <w:szCs w:val="18"/>
        </w:rPr>
        <w:t xml:space="preserve">D9_SC3_SSC3 — poids au sein du critère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2"/>
      </w:pPr>
      <w:r>
        <w:t xml:space="preserve">D9_SC4 · Climate Risk</w:t>
      </w:r>
    </w:p>
    <w:p>
      <w:pPr>
        <w:pBdr>
          <w:left w:val="single" w:color="E8790F" w:sz="18" w:space="8"/>
        </w:pBdr>
        <w:shd w:fill="FDEBD3" w:color="auto" w:val="clear"/>
        <w:spacing w:after="200" w:before="120" w:line="300"/>
        <w:ind w:left="160" w:right="160"/>
      </w:pPr>
      <w:r>
        <w:rPr>
          <w:b/>
          <w:bCs/>
          <w:color w:val="5A3A1E"/>
        </w:rPr>
        <w:t xml:space="preserve">Dans l'écran de scoring PF</w:t>
      </w:r>
      <w:r>
        <w:br/>
        <w:t xml:space="preserve"/>
      </w:r>
      <w:r>
        <w:t xml:space="preserve">Le risque climatique se renseigne aléa par aléa dans l'onglet Climat (bloc 14), décrit en section 8 : exposition, source, adaptation, données de transition et scénario climatique.</w:t>
      </w:r>
    </w:p>
    <w:p>
      <w:pPr>
        <w:spacing w:after="120" w:before="0"/>
      </w:pPr>
      <w:r>
        <w:rPr>
          <w:i/>
          <w:iCs/>
          <w:color w:val="7A7A7A"/>
          <w:sz w:val="19"/>
          <w:szCs w:val="19"/>
        </w:rPr>
        <w:t xml:space="preserve">Poids au sein du domaine : 30.</w:t>
      </w:r>
    </w:p>
    <w:p>
      <w:pPr>
        <w:pStyle w:val="Heading3"/>
      </w:pPr>
      <w:r>
        <w:t xml:space="preserve">Risque physique</w:t>
      </w:r>
    </w:p>
    <w:p>
      <w:pPr>
        <w:spacing w:after="140" w:before="0"/>
      </w:pPr>
      <w:r>
        <w:rPr>
          <w:color w:val="7A7A7A"/>
          <w:sz w:val="18"/>
          <w:szCs w:val="18"/>
        </w:rPr>
        <w:t xml:space="preserve">D9_SC4_SSC1 — poids au sein du critère :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Cartes inondation/sécheresse/chaleur, historique sinistres.</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Zone faible risque ; événement critique rare (&lt;1/20 ans).</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Études climatiques, autorités locales, Banque mondiale.</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Faible exposition</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Site peu exposé aux aléas climatiques majeurs.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Exposition modérée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Risques présents mais mitigables techniquement.</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Exposition élevée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Risque climatique significatif nécessitant CAPEX/adaptation.</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Exposition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Risque climatique pouvant compromettre la viabilité.</w:t>
            </w:r>
          </w:p>
        </w:tc>
      </w:tr>
    </w:tbl>
    <w:p>
      <w:pPr>
        <w:spacing w:after="200" w:before="0"/>
      </w:pPr>
      <w:r>
        <w:rPr>
          <w:color w:val="333333"/>
          <w:sz w:val="21"/>
          <w:szCs w:val="21"/>
        </w:rPr>
        <w:t xml:space="preserve"/>
      </w:r>
    </w:p>
    <w:p>
      <w:pPr>
        <w:pStyle w:val="Heading3"/>
      </w:pPr>
      <w:r>
        <w:t xml:space="preserve">Risque transition</w:t>
      </w:r>
    </w:p>
    <w:p>
      <w:pPr>
        <w:spacing w:after="140" w:before="0"/>
      </w:pPr>
      <w:r>
        <w:rPr>
          <w:color w:val="7A7A7A"/>
          <w:sz w:val="18"/>
          <w:szCs w:val="18"/>
        </w:rPr>
        <w:t xml:space="preserve">D9_SC4_SSC2 — poids au sein du critère :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pPr>
        <w:pStyle w:val="Heading3"/>
      </w:pPr>
      <w:r>
        <w:t xml:space="preserve">Intensité carbone</w:t>
      </w:r>
    </w:p>
    <w:p>
      <w:pPr>
        <w:spacing w:after="140" w:before="0"/>
      </w:pPr>
      <w:r>
        <w:rPr>
          <w:color w:val="7A7A7A"/>
          <w:sz w:val="18"/>
          <w:szCs w:val="18"/>
        </w:rPr>
        <w:t xml:space="preserve">D9_SC4_SSC3 — poids au sein du critère :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Indicateurs à examiner</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KPI spécifique, documents contractuels, benchmark sectoriel, avis DD.</w:t>
            </w:r>
          </w:p>
        </w:tc>
      </w:tr>
      <w:tr>
        <w:trPr>
          <w:tblHeader w:val="off"/>
        </w:trPr>
        <w:tc>
          <w:tcPr>
            <w:tcW w:type="dxa" w:w="2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Seuil de référence</w:t>
            </w:r>
          </w:p>
        </w:tc>
        <w:tc>
          <w:tcPr>
            <w:tcW w:type="dxa" w:w="6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Performance meilleure que benchmark ; aucun point bloquant ; documentation complète.</w:t>
            </w:r>
          </w:p>
        </w:tc>
      </w:tr>
      <w:tr>
        <w:trPr>
          <w:tblHeader w:val="off"/>
        </w:trPr>
        <w:tc>
          <w:tcPr>
            <w:tcW w:type="dxa" w:w="2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Sources documentaires</w:t>
            </w:r>
          </w:p>
        </w:tc>
        <w:tc>
          <w:tcPr>
            <w:tcW w:type="dxa" w:w="6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Financial model, contrats, due diligence, rapports externes.</w:t>
            </w:r>
          </w:p>
        </w:tc>
      </w:tr>
    </w:tbl>
    <w:p>
      <w:pPr>
        <w:spacing w:after="100" w:before="0"/>
      </w:pPr>
      <w:r>
        <w:rPr>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26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Réponse</w:t>
            </w:r>
          </w:p>
        </w:tc>
        <w:tc>
          <w:tcPr>
            <w:tcW w:type="dxa" w:w="59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Quand la retenir</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10</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très favorable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sous-sous-critère présente une robustesse élevée, documentée et validée par des sources indépendantes.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8</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favorable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maîtrisé avec quelques points d’amélioration mineurs.</w:t>
            </w:r>
          </w:p>
        </w:tc>
      </w:tr>
      <w:tr>
        <w:trPr>
          <w:tblHeader w:val="off"/>
        </w:trPr>
        <w:tc>
          <w:tcPr>
            <w:tcW w:type="dxa" w:w="8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5</w:t>
            </w:r>
          </w:p>
        </w:tc>
        <w:tc>
          <w:tcPr>
            <w:tcW w:type="dxa" w:w="26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Niveau moyen / vigilance</w:t>
            </w:r>
          </w:p>
        </w:tc>
        <w:tc>
          <w:tcPr>
            <w:tcW w:type="dxa" w:w="59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Choisir lorsque le risque est partiellement maîtrisé et nécessite des conditions ou mitigants.</w:t>
            </w:r>
          </w:p>
        </w:tc>
      </w:tr>
      <w:tr>
        <w:trPr>
          <w:tblHeader w:val="off"/>
        </w:trPr>
        <w:tc>
          <w:tcPr>
            <w:tcW w:type="dxa" w:w="8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2</w:t>
            </w:r>
          </w:p>
        </w:tc>
        <w:tc>
          <w:tcPr>
            <w:tcW w:type="dxa" w:w="26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Niveau défavorable / critique</w:t>
            </w:r>
          </w:p>
        </w:tc>
        <w:tc>
          <w:tcPr>
            <w:tcW w:type="dxa" w:w="59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Choisir lorsque le risque est élevé, peu documenté ou susceptible d’impacter la viabilité du projet.</w:t>
            </w:r>
          </w:p>
        </w:tc>
      </w:tr>
    </w:tbl>
    <w:p>
      <w:pPr>
        <w:spacing w:after="200" w:before="0"/>
      </w:pPr>
      <w:r>
        <w:rPr>
          <w:color w:val="333333"/>
          <w:sz w:val="21"/>
          <w:szCs w:val="21"/>
        </w:rPr>
        <w:t xml:space="preserve"/>
      </w:r>
    </w:p>
    <w:p>
      <w:r>
        <w:br w:type="page"/>
      </w:r>
    </w:p>
    <w:p>
      <w:pPr>
        <w:pStyle w:val="Heading1"/>
      </w:pPr>
      <w:r>
        <w:t xml:space="preserve">5. Annexes</w:t>
      </w:r>
    </w:p>
    <w:p>
      <w:pPr>
        <w:pStyle w:val="Heading2"/>
      </w:pPr>
      <w:r>
        <w:t xml:space="preserve">5.1 Barème de notation</w:t>
      </w:r>
    </w:p>
    <w:p>
      <w:pPr>
        <w:spacing w:after="120" w:before="0"/>
      </w:pPr>
      <w:r>
        <w:rPr>
          <w:color w:val="7A7A7A"/>
          <w:sz w:val="21"/>
          <w:szCs w:val="21"/>
        </w:rPr>
        <w:t xml:space="preserve">Le score global, sur cent, se convertit en note selon le barème suivant. Ce barème est un paramètre de la banque, modifiable par la Direction des Risques.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80"/>
        <w:gridCol w:w="1400"/>
        <w:gridCol w:w="3280"/>
      </w:tblGrid>
      <w:tr>
        <w:trPr>
          <w:tblHeader/>
        </w:trPr>
        <w:tc>
          <w:tcPr>
            <w:tcW w:type="dxa" w:w="14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328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Score</w:t>
            </w:r>
          </w:p>
        </w:tc>
        <w:tc>
          <w:tcPr>
            <w:tcW w:type="dxa" w:w="14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Note</w:t>
            </w:r>
          </w:p>
        </w:tc>
        <w:tc>
          <w:tcPr>
            <w:tcW w:type="dxa" w:w="328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Score</w:t>
            </w:r>
          </w:p>
        </w:tc>
      </w:tr>
      <w:tr>
        <w:trPr>
          <w:tblHeader w:val="off"/>
        </w:trPr>
        <w:tc>
          <w:tcPr>
            <w:tcW w:type="dxa" w:w="1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AAA</w:t>
            </w:r>
          </w:p>
        </w:tc>
        <w:tc>
          <w:tcPr>
            <w:tcW w:type="dxa" w:w="328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95 à 100</w:t>
            </w:r>
          </w:p>
        </w:tc>
        <w:tc>
          <w:tcPr>
            <w:tcW w:type="dxa" w:w="1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B</w:t>
            </w:r>
          </w:p>
        </w:tc>
        <w:tc>
          <w:tcPr>
            <w:tcW w:type="dxa" w:w="328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55 à 65</w:t>
            </w:r>
          </w:p>
        </w:tc>
      </w:tr>
      <w:tr>
        <w:trPr>
          <w:tblHeader w:val="off"/>
        </w:trPr>
        <w:tc>
          <w:tcPr>
            <w:tcW w:type="dxa" w:w="1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AA</w:t>
            </w:r>
          </w:p>
        </w:tc>
        <w:tc>
          <w:tcPr>
            <w:tcW w:type="dxa" w:w="328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90 à 95</w:t>
            </w:r>
          </w:p>
        </w:tc>
        <w:tc>
          <w:tcPr>
            <w:tcW w:type="dxa" w:w="1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CCC</w:t>
            </w:r>
          </w:p>
        </w:tc>
        <w:tc>
          <w:tcPr>
            <w:tcW w:type="dxa" w:w="328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45 à 55</w:t>
            </w:r>
          </w:p>
        </w:tc>
      </w:tr>
      <w:tr>
        <w:trPr>
          <w:tblHeader w:val="off"/>
        </w:trPr>
        <w:tc>
          <w:tcPr>
            <w:tcW w:type="dxa" w:w="1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A</w:t>
            </w:r>
          </w:p>
        </w:tc>
        <w:tc>
          <w:tcPr>
            <w:tcW w:type="dxa" w:w="328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85 à 90</w:t>
            </w:r>
          </w:p>
        </w:tc>
        <w:tc>
          <w:tcPr>
            <w:tcW w:type="dxa" w:w="1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CC</w:t>
            </w:r>
          </w:p>
        </w:tc>
        <w:tc>
          <w:tcPr>
            <w:tcW w:type="dxa" w:w="328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35 à 45</w:t>
            </w:r>
          </w:p>
        </w:tc>
      </w:tr>
      <w:tr>
        <w:trPr>
          <w:tblHeader w:val="off"/>
        </w:trPr>
        <w:tc>
          <w:tcPr>
            <w:tcW w:type="dxa" w:w="1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BBB</w:t>
            </w:r>
          </w:p>
        </w:tc>
        <w:tc>
          <w:tcPr>
            <w:tcW w:type="dxa" w:w="328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75 à 85</w:t>
            </w:r>
          </w:p>
        </w:tc>
        <w:tc>
          <w:tcPr>
            <w:tcW w:type="dxa" w:w="14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C</w:t>
            </w:r>
          </w:p>
        </w:tc>
        <w:tc>
          <w:tcPr>
            <w:tcW w:type="dxa" w:w="328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25 à 35</w:t>
            </w:r>
          </w:p>
        </w:tc>
      </w:tr>
      <w:tr>
        <w:trPr>
          <w:tblHeader w:val="off"/>
        </w:trPr>
        <w:tc>
          <w:tcPr>
            <w:tcW w:type="dxa" w:w="1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BB</w:t>
            </w:r>
          </w:p>
        </w:tc>
        <w:tc>
          <w:tcPr>
            <w:tcW w:type="dxa" w:w="328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65 à 75</w:t>
            </w:r>
          </w:p>
        </w:tc>
        <w:tc>
          <w:tcPr>
            <w:tcW w:type="dxa" w:w="14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D</w:t>
            </w:r>
          </w:p>
        </w:tc>
        <w:tc>
          <w:tcPr>
            <w:tcW w:type="dxa" w:w="328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0 à 25</w:t>
            </w:r>
          </w:p>
        </w:tc>
      </w:tr>
    </w:tbl>
    <w:p>
      <w:pPr>
        <w:pBdr>
          <w:left w:val="single" w:color="E8790F" w:sz="18" w:space="8"/>
        </w:pBdr>
        <w:shd w:fill="FDEBD3" w:color="auto" w:val="clear"/>
        <w:spacing w:after="200" w:before="120" w:line="300"/>
        <w:ind w:left="160" w:right="160"/>
      </w:pPr>
      <w:r>
        <w:rPr>
          <w:b/>
          <w:bCs/>
          <w:color w:val="5A3A1E"/>
        </w:rPr>
        <w:t xml:space="preserve">Dans l'écran de scoring PF</w:t>
      </w:r>
      <w:r>
        <w:br/>
        <w:t xml:space="preserve"/>
      </w:r>
      <w:r>
        <w:t xml:space="preserve">Le barème ci-dessus est celui de l'ancienne grille. L'écran de scoring Project Finance convertit le score en une note de 1 à 10, puis la note approuvée (après plafonds) en grade de l'échelle de la banque, selon le tableau suivant (paramètres candidats, modifiables dans le paramétrage du modèle).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28"/>
        <w:gridCol w:w="1376"/>
        <w:gridCol w:w="3304"/>
        <w:gridCol w:w="1652"/>
      </w:tblGrid>
      <w:tr>
        <w:trPr>
          <w:tblHeader/>
        </w:trPr>
        <w:tc>
          <w:tcPr>
            <w:tcW w:type="dxa" w:w="3028"/>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left"/>
            </w:pPr>
            <w:r>
              <w:rPr>
                <w:b/>
                <w:bCs/>
                <w:color w:val="FFFFFF"/>
                <w:sz w:val="19"/>
                <w:szCs w:val="19"/>
              </w:rPr>
              <w:t xml:space="preserve">Score sur 100</w:t>
            </w:r>
          </w:p>
        </w:tc>
        <w:tc>
          <w:tcPr>
            <w:tcW w:type="dxa" w:w="1376"/>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center"/>
            </w:pPr>
            <w:r>
              <w:rPr>
                <w:b/>
                <w:bCs/>
                <w:color w:val="FFFFFF"/>
                <w:sz w:val="19"/>
                <w:szCs w:val="19"/>
              </w:rPr>
              <w:t xml:space="preserve">Note</w:t>
            </w:r>
          </w:p>
        </w:tc>
        <w:tc>
          <w:tcPr>
            <w:tcW w:type="dxa" w:w="3304"/>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left"/>
            </w:pPr>
            <w:r>
              <w:rPr>
                <w:b/>
                <w:bCs/>
                <w:color w:val="FFFFFF"/>
                <w:sz w:val="19"/>
                <w:szCs w:val="19"/>
              </w:rPr>
              <w:t xml:space="preserve">Libellé</w:t>
            </w:r>
          </w:p>
        </w:tc>
        <w:tc>
          <w:tcPr>
            <w:tcW w:type="dxa" w:w="1652"/>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center"/>
            </w:pPr>
            <w:r>
              <w:rPr>
                <w:b/>
                <w:bCs/>
                <w:color w:val="FFFFFF"/>
                <w:sz w:val="19"/>
                <w:szCs w:val="19"/>
              </w:rPr>
              <w:t xml:space="preserve">Grade</w:t>
            </w:r>
          </w:p>
        </w:tc>
      </w:tr>
      <w:tr>
        <w:trPr>
          <w:cantSplit/>
        </w:trPr>
        <w:tc>
          <w:tcPr>
            <w:tcW w:type="dxa" w:w="3028"/>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92 et plus</w:t>
            </w:r>
          </w:p>
        </w:tc>
        <w:tc>
          <w:tcPr>
            <w:tcW w:type="dxa" w:w="137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9"/>
                <w:szCs w:val="19"/>
              </w:rPr>
              <w:t xml:space="preserve">10</w:t>
            </w:r>
          </w:p>
        </w:tc>
        <w:tc>
          <w:tcPr>
            <w:tcW w:type="dxa" w:w="330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Excellent</w:t>
            </w:r>
          </w:p>
        </w:tc>
        <w:tc>
          <w:tcPr>
            <w:tcW w:type="dxa" w:w="165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9"/>
                <w:szCs w:val="19"/>
              </w:rPr>
              <w:t xml:space="preserve">AAA</w:t>
            </w:r>
          </w:p>
        </w:tc>
      </w:tr>
      <w:tr>
        <w:trPr>
          <w:cantSplit/>
        </w:trPr>
        <w:tc>
          <w:tcPr>
            <w:tcW w:type="dxa" w:w="3028"/>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86 à 92</w:t>
            </w:r>
          </w:p>
        </w:tc>
        <w:tc>
          <w:tcPr>
            <w:tcW w:type="dxa" w:w="137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9"/>
                <w:szCs w:val="19"/>
              </w:rPr>
              <w:t xml:space="preserve">9</w:t>
            </w:r>
          </w:p>
        </w:tc>
        <w:tc>
          <w:tcPr>
            <w:tcW w:type="dxa" w:w="330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Très solide</w:t>
            </w:r>
          </w:p>
        </w:tc>
        <w:tc>
          <w:tcPr>
            <w:tcW w:type="dxa" w:w="165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9"/>
                <w:szCs w:val="19"/>
              </w:rPr>
              <w:t xml:space="preserve">AA</w:t>
            </w:r>
          </w:p>
        </w:tc>
      </w:tr>
      <w:tr>
        <w:trPr>
          <w:cantSplit/>
        </w:trPr>
        <w:tc>
          <w:tcPr>
            <w:tcW w:type="dxa" w:w="3028"/>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80 à 86</w:t>
            </w:r>
          </w:p>
        </w:tc>
        <w:tc>
          <w:tcPr>
            <w:tcW w:type="dxa" w:w="137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9"/>
                <w:szCs w:val="19"/>
              </w:rPr>
              <w:t xml:space="preserve">8</w:t>
            </w:r>
          </w:p>
        </w:tc>
        <w:tc>
          <w:tcPr>
            <w:tcW w:type="dxa" w:w="330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Solide</w:t>
            </w:r>
          </w:p>
        </w:tc>
        <w:tc>
          <w:tcPr>
            <w:tcW w:type="dxa" w:w="165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9"/>
                <w:szCs w:val="19"/>
              </w:rPr>
              <w:t xml:space="preserve">A</w:t>
            </w:r>
          </w:p>
        </w:tc>
      </w:tr>
      <w:tr>
        <w:trPr>
          <w:cantSplit/>
        </w:trPr>
        <w:tc>
          <w:tcPr>
            <w:tcW w:type="dxa" w:w="3028"/>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73 à 80</w:t>
            </w:r>
          </w:p>
        </w:tc>
        <w:tc>
          <w:tcPr>
            <w:tcW w:type="dxa" w:w="137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9"/>
                <w:szCs w:val="19"/>
              </w:rPr>
              <w:t xml:space="preserve">7</w:t>
            </w:r>
          </w:p>
        </w:tc>
        <w:tc>
          <w:tcPr>
            <w:tcW w:type="dxa" w:w="330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Satisfaisant</w:t>
            </w:r>
          </w:p>
        </w:tc>
        <w:tc>
          <w:tcPr>
            <w:tcW w:type="dxa" w:w="165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9"/>
                <w:szCs w:val="19"/>
              </w:rPr>
              <w:t xml:space="preserve">BBB</w:t>
            </w:r>
          </w:p>
        </w:tc>
      </w:tr>
      <w:tr>
        <w:trPr>
          <w:cantSplit/>
        </w:trPr>
        <w:tc>
          <w:tcPr>
            <w:tcW w:type="dxa" w:w="3028"/>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66 à 73</w:t>
            </w:r>
          </w:p>
        </w:tc>
        <w:tc>
          <w:tcPr>
            <w:tcW w:type="dxa" w:w="137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9"/>
                <w:szCs w:val="19"/>
              </w:rPr>
              <w:t xml:space="preserve">6</w:t>
            </w:r>
          </w:p>
        </w:tc>
        <w:tc>
          <w:tcPr>
            <w:tcW w:type="dxa" w:w="330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Acceptable</w:t>
            </w:r>
          </w:p>
        </w:tc>
        <w:tc>
          <w:tcPr>
            <w:tcW w:type="dxa" w:w="165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9"/>
                <w:szCs w:val="19"/>
              </w:rPr>
              <w:t xml:space="preserve">BB</w:t>
            </w:r>
          </w:p>
        </w:tc>
      </w:tr>
      <w:tr>
        <w:trPr>
          <w:cantSplit/>
        </w:trPr>
        <w:tc>
          <w:tcPr>
            <w:tcW w:type="dxa" w:w="3028"/>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58 à 66</w:t>
            </w:r>
          </w:p>
        </w:tc>
        <w:tc>
          <w:tcPr>
            <w:tcW w:type="dxa" w:w="137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9"/>
                <w:szCs w:val="19"/>
              </w:rPr>
              <w:t xml:space="preserve">5</w:t>
            </w:r>
          </w:p>
        </w:tc>
        <w:tc>
          <w:tcPr>
            <w:tcW w:type="dxa" w:w="330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Moyen</w:t>
            </w:r>
          </w:p>
        </w:tc>
        <w:tc>
          <w:tcPr>
            <w:tcW w:type="dxa" w:w="165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9"/>
                <w:szCs w:val="19"/>
              </w:rPr>
              <w:t xml:space="preserve">B</w:t>
            </w:r>
          </w:p>
        </w:tc>
      </w:tr>
      <w:tr>
        <w:trPr>
          <w:cantSplit/>
        </w:trPr>
        <w:tc>
          <w:tcPr>
            <w:tcW w:type="dxa" w:w="3028"/>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50 à 58</w:t>
            </w:r>
          </w:p>
        </w:tc>
        <w:tc>
          <w:tcPr>
            <w:tcW w:type="dxa" w:w="137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9"/>
                <w:szCs w:val="19"/>
              </w:rPr>
              <w:t xml:space="preserve">4</w:t>
            </w:r>
          </w:p>
        </w:tc>
        <w:tc>
          <w:tcPr>
            <w:tcW w:type="dxa" w:w="330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Fragile</w:t>
            </w:r>
          </w:p>
        </w:tc>
        <w:tc>
          <w:tcPr>
            <w:tcW w:type="dxa" w:w="165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9"/>
                <w:szCs w:val="19"/>
              </w:rPr>
              <w:t xml:space="preserve">CCC</w:t>
            </w:r>
          </w:p>
        </w:tc>
      </w:tr>
      <w:tr>
        <w:trPr>
          <w:cantSplit/>
        </w:trPr>
        <w:tc>
          <w:tcPr>
            <w:tcW w:type="dxa" w:w="3028"/>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42 à 50</w:t>
            </w:r>
          </w:p>
        </w:tc>
        <w:tc>
          <w:tcPr>
            <w:tcW w:type="dxa" w:w="137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9"/>
                <w:szCs w:val="19"/>
              </w:rPr>
              <w:t xml:space="preserve">3</w:t>
            </w:r>
          </w:p>
        </w:tc>
        <w:tc>
          <w:tcPr>
            <w:tcW w:type="dxa" w:w="330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Préoccupant</w:t>
            </w:r>
          </w:p>
        </w:tc>
        <w:tc>
          <w:tcPr>
            <w:tcW w:type="dxa" w:w="165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9"/>
                <w:szCs w:val="19"/>
              </w:rPr>
              <w:t xml:space="preserve">CC</w:t>
            </w:r>
          </w:p>
        </w:tc>
      </w:tr>
      <w:tr>
        <w:trPr>
          <w:cantSplit/>
        </w:trPr>
        <w:tc>
          <w:tcPr>
            <w:tcW w:type="dxa" w:w="3028"/>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32 à 42</w:t>
            </w:r>
          </w:p>
        </w:tc>
        <w:tc>
          <w:tcPr>
            <w:tcW w:type="dxa" w:w="137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9"/>
                <w:szCs w:val="19"/>
              </w:rPr>
              <w:t xml:space="preserve">2</w:t>
            </w:r>
          </w:p>
        </w:tc>
        <w:tc>
          <w:tcPr>
            <w:tcW w:type="dxa" w:w="330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Critique</w:t>
            </w:r>
          </w:p>
        </w:tc>
        <w:tc>
          <w:tcPr>
            <w:tcW w:type="dxa" w:w="165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9"/>
                <w:szCs w:val="19"/>
              </w:rPr>
              <w:t xml:space="preserve">C</w:t>
            </w:r>
          </w:p>
        </w:tc>
      </w:tr>
      <w:tr>
        <w:trPr>
          <w:cantSplit/>
        </w:trPr>
        <w:tc>
          <w:tcPr>
            <w:tcW w:type="dxa" w:w="3028"/>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moins de 32</w:t>
            </w:r>
          </w:p>
        </w:tc>
        <w:tc>
          <w:tcPr>
            <w:tcW w:type="dxa" w:w="137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9"/>
                <w:szCs w:val="19"/>
              </w:rPr>
              <w:t xml:space="preserve">1</w:t>
            </w:r>
          </w:p>
        </w:tc>
        <w:tc>
          <w:tcPr>
            <w:tcW w:type="dxa" w:w="330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Très critique</w:t>
            </w:r>
          </w:p>
        </w:tc>
        <w:tc>
          <w:tcPr>
            <w:tcW w:type="dxa" w:w="165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9"/>
                <w:szCs w:val="19"/>
              </w:rPr>
              <w:t xml:space="preserve">D</w:t>
            </w:r>
          </w:p>
        </w:tc>
      </w:tr>
    </w:tbl>
    <w:p>
      <w:pPr>
        <w:spacing w:after="120"/>
      </w:pPr>
    </w:p>
    <w:p>
      <w:pPr>
        <w:pStyle w:val="Heading2"/>
      </w:pPr>
      <w:r>
        <w:t xml:space="preserve">5.2 Seuils rédhibitoires</w:t>
      </w:r>
    </w:p>
    <w:p>
      <w:pPr>
        <w:pBdr>
          <w:left w:val="single" w:color="E8790F" w:sz="18" w:space="8"/>
        </w:pBdr>
        <w:shd w:fill="FDEBD3" w:color="auto" w:val="clear"/>
        <w:spacing w:after="200" w:before="120" w:line="300"/>
        <w:ind w:left="160" w:right="160"/>
      </w:pPr>
      <w:r>
        <w:rPr>
          <w:b/>
          <w:bCs/>
          <w:color w:val="5A3A1E"/>
        </w:rPr>
        <w:t xml:space="preserve">Ancienne grille</w:t>
      </w:r>
      <w:r>
        <w:br/>
        <w:t xml:space="preserve"/>
      </w:r>
      <w:r>
        <w:t xml:space="preserve">Ces deux seuils rédhibitoires sont ceux de l'ancien questionnaire. Dans l'écran de scoring Project Finance, ils sont remplacés par 17 plafonds de note et 12 verrous, présentés à la suite de cette annexe.</w:t>
      </w:r>
    </w:p>
    <w:p>
      <w:pPr>
        <w:spacing w:after="120" w:before="0"/>
      </w:pPr>
      <w:r>
        <w:rPr>
          <w:color w:val="7A7A7A"/>
          <w:sz w:val="21"/>
          <w:szCs w:val="21"/>
        </w:rPr>
        <w:t xml:space="preserve">Deux constats interdisent l'approbation du dossier, quelle que soit la note obtenue. Le score reste calculé et affiché ; c'est l'approbation qui est bloquée. Le comité conserve la faculté de lever le blocage en le motivant.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5160"/>
      </w:tblGrid>
      <w:tr>
        <w:trPr>
          <w:tblHeader/>
        </w:trPr>
        <w:tc>
          <w:tcPr>
            <w:tcW w:type="dxa" w:w="21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Seuil</w:t>
            </w:r>
          </w:p>
        </w:tc>
        <w:tc>
          <w:tcPr>
            <w:tcW w:type="dxa" w:w="21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Déclenchement</w:t>
            </w:r>
          </w:p>
        </w:tc>
        <w:tc>
          <w:tcPr>
            <w:tcW w:type="dxa" w:w="516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Ce que cela signifie</w:t>
            </w:r>
          </w:p>
        </w:tc>
      </w:tr>
      <w:tr>
        <w:trPr>
          <w:tblHeader w:val="off"/>
        </w:trPr>
        <w:tc>
          <w:tcPr>
            <w:tcW w:type="dxa" w:w="21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DSCR minimum</w:t>
            </w:r>
          </w:p>
        </w:tc>
        <w:tc>
          <w:tcPr>
            <w:tcW w:type="dxa" w:w="21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inférieur à 1,10×</w:t>
            </w:r>
          </w:p>
        </w:tc>
        <w:tc>
          <w:tcPr>
            <w:tcW w:type="dxa" w:w="516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La capacité de service de la dette est insuffisante : le projet ne dégage pas assez de flux pour rembourser.</w:t>
            </w:r>
          </w:p>
        </w:tc>
      </w:tr>
      <w:tr>
        <w:trPr>
          <w:tblHeader w:val="off"/>
        </w:trPr>
        <w:tc>
          <w:tcPr>
            <w:tcW w:type="dxa" w:w="21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Part de fonds propres</w:t>
            </w:r>
          </w:p>
        </w:tc>
        <w:tc>
          <w:tcPr>
            <w:tcW w:type="dxa" w:w="21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inférieure à 20 %</w:t>
            </w:r>
          </w:p>
        </w:tc>
        <w:tc>
          <w:tcPr>
            <w:tcW w:type="dxa" w:w="516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L'engagement des sponsors est trop faible au regard du risque porté par la banque.</w:t>
            </w:r>
          </w:p>
        </w:tc>
      </w:tr>
    </w:tbl>
    <w:p>
      <w:pPr>
        <w:spacing w:after="120" w:before="140"/>
      </w:pPr>
      <w:r>
        <w:rPr>
          <w:i/>
          <w:iCs/>
          <w:color w:val="E8790F"/>
          <w:sz w:val="21"/>
          <w:szCs w:val="21"/>
        </w:rPr>
        <w:t xml:space="preserve">Une question laissée sans réponse ne déclenche jamais de blocage : l'absence de DSCR renseigné n'est pas un mauvais DSCR.</w:t>
      </w:r>
    </w:p>
    <w:p>
      <w:pPr>
        <w:pStyle w:val="Heading3"/>
      </w:pPr>
      <w:r>
        <w:t xml:space="preserve">Les 17 plafonds de l'écran de scoring PF</w:t>
      </w:r>
    </w:p>
    <w:p>
      <w:pPr>
        <w:spacing w:after="140" w:line="300"/>
      </w:pPr>
      <w:r>
        <w:t xml:space="preserve">Un plafond est une note maximale imposée par un fait objectif : la note approuvée est la plus basse entre la note calculée et les plafonds actifs. L'analyste ne les choisit pas : il saisit les données (bloc 7 et onglet Climat) et l'outil les évalue. C16 et C17 ne s'appliquent que lorsque le lot 2 du volet climatique est activé.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13"/>
        <w:gridCol w:w="7305"/>
        <w:gridCol w:w="1142"/>
      </w:tblGrid>
      <w:tr>
        <w:trPr>
          <w:tblHeader/>
        </w:trPr>
        <w:tc>
          <w:tcPr>
            <w:tcW w:type="dxa" w:w="913"/>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left"/>
            </w:pPr>
            <w:r>
              <w:rPr>
                <w:b/>
                <w:bCs/>
                <w:color w:val="FFFFFF"/>
                <w:sz w:val="18"/>
                <w:szCs w:val="18"/>
              </w:rPr>
              <w:t xml:space="preserve">Code</w:t>
            </w:r>
          </w:p>
        </w:tc>
        <w:tc>
          <w:tcPr>
            <w:tcW w:type="dxa" w:w="7305"/>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left"/>
            </w:pPr>
            <w:r>
              <w:rPr>
                <w:b/>
                <w:bCs/>
                <w:color w:val="FFFFFF"/>
                <w:sz w:val="18"/>
                <w:szCs w:val="18"/>
              </w:rPr>
              <w:t xml:space="preserve">Fait générateur</w:t>
            </w:r>
          </w:p>
        </w:tc>
        <w:tc>
          <w:tcPr>
            <w:tcW w:type="dxa" w:w="1142"/>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center"/>
            </w:pPr>
            <w:r>
              <w:rPr>
                <w:b/>
                <w:bCs/>
                <w:color w:val="FFFFFF"/>
                <w:sz w:val="18"/>
                <w:szCs w:val="18"/>
              </w:rPr>
              <w:t xml:space="preserve">Note max.</w:t>
            </w:r>
          </w:p>
        </w:tc>
      </w:tr>
      <w:tr>
        <w:trPr>
          <w:cantSplit/>
        </w:trPr>
        <w:tc>
          <w:tcPr>
            <w:tcW w:type="dxa" w:w="913"/>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8"/>
                <w:szCs w:val="18"/>
              </w:rPr>
              <w:t xml:space="preserve">C1</w:t>
            </w:r>
          </w:p>
        </w:tc>
        <w:tc>
          <w:tcPr>
            <w:tcW w:type="dxa" w:w="730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DSCR minimum de base inférieur à 1,05x sur une échéance</w:t>
            </w:r>
          </w:p>
        </w:tc>
        <w:tc>
          <w:tcPr>
            <w:tcW w:type="dxa" w:w="114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8"/>
                <w:szCs w:val="18"/>
              </w:rPr>
              <w:t xml:space="preserve">3</w:t>
            </w:r>
          </w:p>
        </w:tc>
      </w:tr>
      <w:tr>
        <w:trPr>
          <w:cantSplit/>
        </w:trPr>
        <w:tc>
          <w:tcPr>
            <w:tcW w:type="dxa" w:w="913"/>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8"/>
                <w:szCs w:val="18"/>
              </w:rPr>
              <w:t xml:space="preserve">C2</w:t>
            </w:r>
          </w:p>
        </w:tc>
        <w:tc>
          <w:tcPr>
            <w:tcW w:type="dxa" w:w="730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DSCR minimum de base sous le seuil critique du couple régime × secteur</w:t>
            </w:r>
          </w:p>
        </w:tc>
        <w:tc>
          <w:tcPr>
            <w:tcW w:type="dxa" w:w="114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8"/>
                <w:szCs w:val="18"/>
              </w:rPr>
              <w:t xml:space="preserve">5</w:t>
            </w:r>
          </w:p>
        </w:tc>
      </w:tr>
      <w:tr>
        <w:trPr>
          <w:cantSplit/>
        </w:trPr>
        <w:tc>
          <w:tcPr>
            <w:tcW w:type="dxa" w:w="913"/>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8"/>
                <w:szCs w:val="18"/>
              </w:rPr>
              <w:t xml:space="preserve">C3</w:t>
            </w:r>
          </w:p>
        </w:tc>
        <w:tc>
          <w:tcPr>
            <w:tcW w:type="dxa" w:w="730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DSCR minimum sous scénario défavorable inférieur à 1,00x</w:t>
            </w:r>
          </w:p>
        </w:tc>
        <w:tc>
          <w:tcPr>
            <w:tcW w:type="dxa" w:w="114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8"/>
                <w:szCs w:val="18"/>
              </w:rPr>
              <w:t xml:space="preserve">4</w:t>
            </w:r>
          </w:p>
        </w:tc>
      </w:tr>
      <w:tr>
        <w:trPr>
          <w:cantSplit/>
        </w:trPr>
        <w:tc>
          <w:tcPr>
            <w:tcW w:type="dxa" w:w="913"/>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8"/>
                <w:szCs w:val="18"/>
              </w:rPr>
              <w:t xml:space="preserve">C4</w:t>
            </w:r>
          </w:p>
        </w:tc>
        <w:tc>
          <w:tcPr>
            <w:tcW w:type="dxa" w:w="730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LLCR inférieur à 1,10x</w:t>
            </w:r>
          </w:p>
        </w:tc>
        <w:tc>
          <w:tcPr>
            <w:tcW w:type="dxa" w:w="114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8"/>
                <w:szCs w:val="18"/>
              </w:rPr>
              <w:t xml:space="preserve">4</w:t>
            </w:r>
          </w:p>
        </w:tc>
      </w:tr>
      <w:tr>
        <w:trPr>
          <w:cantSplit/>
        </w:trPr>
        <w:tc>
          <w:tcPr>
            <w:tcW w:type="dxa" w:w="913"/>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8"/>
                <w:szCs w:val="18"/>
              </w:rPr>
              <w:t xml:space="preserve">C5</w:t>
            </w:r>
          </w:p>
        </w:tc>
        <w:tc>
          <w:tcPr>
            <w:tcW w:type="dxa" w:w="730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Contrat de revenus expirant avant la dernière échéance de dette, sans solution documentée</w:t>
            </w:r>
          </w:p>
        </w:tc>
        <w:tc>
          <w:tcPr>
            <w:tcW w:type="dxa" w:w="114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8"/>
                <w:szCs w:val="18"/>
              </w:rPr>
              <w:t xml:space="preserve">5</w:t>
            </w:r>
          </w:p>
        </w:tc>
      </w:tr>
      <w:tr>
        <w:trPr>
          <w:cantSplit/>
        </w:trPr>
        <w:tc>
          <w:tcPr>
            <w:tcW w:type="dxa" w:w="913"/>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8"/>
                <w:szCs w:val="18"/>
              </w:rPr>
              <w:t xml:space="preserve">C6</w:t>
            </w:r>
          </w:p>
        </w:tc>
        <w:tc>
          <w:tcPr>
            <w:tcW w:type="dxa" w:w="730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Exposition nette en devises non couverte supérieure à 25 % du service de dette annuel</w:t>
            </w:r>
          </w:p>
        </w:tc>
        <w:tc>
          <w:tcPr>
            <w:tcW w:type="dxa" w:w="114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8"/>
                <w:szCs w:val="18"/>
              </w:rPr>
              <w:t xml:space="preserve">5</w:t>
            </w:r>
          </w:p>
        </w:tc>
      </w:tr>
      <w:tr>
        <w:trPr>
          <w:cantSplit/>
        </w:trPr>
        <w:tc>
          <w:tcPr>
            <w:tcW w:type="dxa" w:w="913"/>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8"/>
                <w:szCs w:val="18"/>
              </w:rPr>
              <w:t xml:space="preserve">C7</w:t>
            </w:r>
          </w:p>
        </w:tc>
        <w:tc>
          <w:tcPr>
            <w:tcW w:type="dxa" w:w="730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DSRA absente ou inférieure à 3 mois de service de dette</w:t>
            </w:r>
          </w:p>
        </w:tc>
        <w:tc>
          <w:tcPr>
            <w:tcW w:type="dxa" w:w="114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8"/>
                <w:szCs w:val="18"/>
              </w:rPr>
              <w:t xml:space="preserve">6</w:t>
            </w:r>
          </w:p>
        </w:tc>
      </w:tr>
      <w:tr>
        <w:trPr>
          <w:cantSplit/>
        </w:trPr>
        <w:tc>
          <w:tcPr>
            <w:tcW w:type="dxa" w:w="913"/>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8"/>
                <w:szCs w:val="18"/>
              </w:rPr>
              <w:t xml:space="preserve">C8</w:t>
            </w:r>
          </w:p>
        </w:tc>
        <w:tc>
          <w:tcPr>
            <w:tcW w:type="dxa" w:w="730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Dette à refinancer à maturité supérieure à 30 % du nominal, sans stratégie approuvée</w:t>
            </w:r>
          </w:p>
        </w:tc>
        <w:tc>
          <w:tcPr>
            <w:tcW w:type="dxa" w:w="114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8"/>
                <w:szCs w:val="18"/>
              </w:rPr>
              <w:t xml:space="preserve">5</w:t>
            </w:r>
          </w:p>
        </w:tc>
      </w:tr>
      <w:tr>
        <w:trPr>
          <w:cantSplit/>
        </w:trPr>
        <w:tc>
          <w:tcPr>
            <w:tcW w:type="dxa" w:w="913"/>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8"/>
                <w:szCs w:val="18"/>
              </w:rPr>
              <w:t xml:space="preserve">C9</w:t>
            </w:r>
          </w:p>
        </w:tc>
        <w:tc>
          <w:tcPr>
            <w:tcW w:type="dxa" w:w="730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Quote-part de dette supérieure à 85 % du plan de financement</w:t>
            </w:r>
          </w:p>
        </w:tc>
        <w:tc>
          <w:tcPr>
            <w:tcW w:type="dxa" w:w="114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8"/>
                <w:szCs w:val="18"/>
              </w:rPr>
              <w:t xml:space="preserve">5</w:t>
            </w:r>
          </w:p>
        </w:tc>
      </w:tr>
      <w:tr>
        <w:trPr>
          <w:cantSplit/>
        </w:trPr>
        <w:tc>
          <w:tcPr>
            <w:tcW w:type="dxa" w:w="913"/>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8"/>
                <w:szCs w:val="18"/>
              </w:rPr>
              <w:t xml:space="preserve">C10</w:t>
            </w:r>
          </w:p>
        </w:tc>
        <w:tc>
          <w:tcPr>
            <w:tcW w:type="dxa" w:w="730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Acheteur portant plus de 85 % des recettes et de qualité interne inférieure à BBB−</w:t>
            </w:r>
          </w:p>
        </w:tc>
        <w:tc>
          <w:tcPr>
            <w:tcW w:type="dxa" w:w="114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8"/>
                <w:szCs w:val="18"/>
              </w:rPr>
              <w:t xml:space="preserve">6</w:t>
            </w:r>
          </w:p>
        </w:tc>
      </w:tr>
      <w:tr>
        <w:trPr>
          <w:cantSplit/>
        </w:trPr>
        <w:tc>
          <w:tcPr>
            <w:tcW w:type="dxa" w:w="913"/>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8"/>
                <w:szCs w:val="18"/>
              </w:rPr>
              <w:t xml:space="preserve">C11</w:t>
            </w:r>
          </w:p>
        </w:tc>
        <w:tc>
          <w:tcPr>
            <w:tcW w:type="dxa" w:w="730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Risque climatique physique élevé au site sans plan d'adaptation financé (lot 2 : au moins un aléa élevé sans adaptation financée)</w:t>
            </w:r>
          </w:p>
        </w:tc>
        <w:tc>
          <w:tcPr>
            <w:tcW w:type="dxa" w:w="114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8"/>
                <w:szCs w:val="18"/>
              </w:rPr>
              <w:t xml:space="preserve">6</w:t>
            </w:r>
          </w:p>
        </w:tc>
      </w:tr>
      <w:tr>
        <w:trPr>
          <w:cantSplit/>
        </w:trPr>
        <w:tc>
          <w:tcPr>
            <w:tcW w:type="dxa" w:w="913"/>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8"/>
                <w:szCs w:val="18"/>
              </w:rPr>
              <w:t xml:space="preserve">C12</w:t>
            </w:r>
          </w:p>
        </w:tc>
        <w:tc>
          <w:tcPr>
            <w:tcW w:type="dxa" w:w="730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Capacité résiduelle du sponsor insuffisante pour l'appel d'equity restant</w:t>
            </w:r>
          </w:p>
        </w:tc>
        <w:tc>
          <w:tcPr>
            <w:tcW w:type="dxa" w:w="114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8"/>
                <w:szCs w:val="18"/>
              </w:rPr>
              <w:t xml:space="preserve">6</w:t>
            </w:r>
          </w:p>
        </w:tc>
      </w:tr>
      <w:tr>
        <w:trPr>
          <w:cantSplit/>
        </w:trPr>
        <w:tc>
          <w:tcPr>
            <w:tcW w:type="dxa" w:w="913"/>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8"/>
                <w:szCs w:val="18"/>
              </w:rPr>
              <w:t xml:space="preserve">C13</w:t>
            </w:r>
          </w:p>
        </w:tc>
        <w:tc>
          <w:tcPr>
            <w:tcW w:type="dxa" w:w="730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Opérateur non remplaçable et contrat O&amp;M expirant plus de 5 ans avant la dette</w:t>
            </w:r>
          </w:p>
        </w:tc>
        <w:tc>
          <w:tcPr>
            <w:tcW w:type="dxa" w:w="114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8"/>
                <w:szCs w:val="18"/>
              </w:rPr>
              <w:t xml:space="preserve">7</w:t>
            </w:r>
          </w:p>
        </w:tc>
      </w:tr>
      <w:tr>
        <w:trPr>
          <w:cantSplit/>
        </w:trPr>
        <w:tc>
          <w:tcPr>
            <w:tcW w:type="dxa" w:w="913"/>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8"/>
                <w:szCs w:val="18"/>
              </w:rPr>
              <w:t xml:space="preserve">C14</w:t>
            </w:r>
          </w:p>
        </w:tc>
        <w:tc>
          <w:tcPr>
            <w:tcW w:type="dxa" w:w="730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Exposition du groupe bancaire sur un facteur commun au-delà de la limite interne</w:t>
            </w:r>
          </w:p>
        </w:tc>
        <w:tc>
          <w:tcPr>
            <w:tcW w:type="dxa" w:w="114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8"/>
                <w:szCs w:val="18"/>
              </w:rPr>
              <w:t xml:space="preserve">6</w:t>
            </w:r>
          </w:p>
        </w:tc>
      </w:tr>
      <w:tr>
        <w:trPr>
          <w:cantSplit/>
        </w:trPr>
        <w:tc>
          <w:tcPr>
            <w:tcW w:type="dxa" w:w="913"/>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8"/>
                <w:szCs w:val="18"/>
              </w:rPr>
              <w:t xml:space="preserve">C15</w:t>
            </w:r>
          </w:p>
        </w:tc>
        <w:tc>
          <w:tcPr>
            <w:tcW w:type="dxa" w:w="730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Note issue d'une évaluation partielle (statut provisoire)</w:t>
            </w:r>
          </w:p>
        </w:tc>
        <w:tc>
          <w:tcPr>
            <w:tcW w:type="dxa" w:w="114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8"/>
                <w:szCs w:val="18"/>
              </w:rPr>
              <w:t xml:space="preserve">6</w:t>
            </w:r>
          </w:p>
        </w:tc>
      </w:tr>
      <w:tr>
        <w:trPr>
          <w:cantSplit/>
        </w:trPr>
        <w:tc>
          <w:tcPr>
            <w:tcW w:type="dxa" w:w="913"/>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8"/>
                <w:szCs w:val="18"/>
              </w:rPr>
              <w:t xml:space="preserve">C16</w:t>
            </w:r>
          </w:p>
        </w:tc>
        <w:tc>
          <w:tcPr>
            <w:tcW w:type="dxa" w:w="730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Risque de transition élevé sans plan de transition crédible (lot 2 du volet climatique)</w:t>
            </w:r>
          </w:p>
        </w:tc>
        <w:tc>
          <w:tcPr>
            <w:tcW w:type="dxa" w:w="114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8"/>
                <w:szCs w:val="18"/>
              </w:rPr>
              <w:t xml:space="preserve">6</w:t>
            </w:r>
          </w:p>
        </w:tc>
      </w:tr>
      <w:tr>
        <w:trPr>
          <w:cantSplit/>
        </w:trPr>
        <w:tc>
          <w:tcPr>
            <w:tcW w:type="dxa" w:w="913"/>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8"/>
                <w:szCs w:val="18"/>
              </w:rPr>
              <w:t xml:space="preserve">C17</w:t>
            </w:r>
          </w:p>
        </w:tc>
        <w:tc>
          <w:tcPr>
            <w:tcW w:type="dxa" w:w="7305"/>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Au moins deux aléas climatiques pertinents élevés sans adaptation financée (lot 2 du volet climatique)</w:t>
            </w:r>
          </w:p>
        </w:tc>
        <w:tc>
          <w:tcPr>
            <w:tcW w:type="dxa" w:w="114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8"/>
                <w:szCs w:val="18"/>
              </w:rPr>
              <w:t xml:space="preserve">5</w:t>
            </w:r>
          </w:p>
        </w:tc>
      </w:tr>
    </w:tbl>
    <w:p>
      <w:pPr>
        <w:spacing w:after="120"/>
      </w:pPr>
    </w:p>
    <w:p>
      <w:pPr>
        <w:pStyle w:val="Heading3"/>
      </w:pPr>
      <w:r>
        <w:t xml:space="preserve">Les 12 verrous</w:t>
      </w:r>
    </w:p>
    <w:p>
      <w:pPr>
        <w:spacing w:after="140" w:line="300"/>
      </w:pPr>
      <w:r>
        <w:t xml:space="preserve">Une exclusion X1 à X4 (activité interdite, autorisation impossible, contrepartie sous sanctions ou en défaut) empêche toute note : le dossier est hors périmètre. Un blocage B1 à B8 (contrat de revenus ou EPC non signé, besoin non couvert, droit d'occupation, avis sur les sûretés, modèle de flux, complétude, acceptabilité environnementale) laisse calculer la note mais la rend provisoire et indique le stade bloqué : octroi, décaissement ou validation de la notation.</w:t>
      </w:r>
    </w:p>
    <w:p>
      <w:pPr>
        <w:pStyle w:val="Heading2"/>
      </w:pPr>
      <w:r>
        <w:t xml:space="preserve">5.3 Les douze secteurs calibrés</w:t>
      </w:r>
    </w:p>
    <w:p>
      <w:pPr>
        <w:spacing w:after="120" w:before="0"/>
      </w:pPr>
      <w:r>
        <w:rPr>
          <w:color w:val="7A7A7A"/>
          <w:sz w:val="21"/>
          <w:szCs w:val="21"/>
        </w:rPr>
        <w:t xml:space="preserve">Le secteur choisi commande le calibrage sectoriel : écart de seuil DSCR, données sectorielles (bloc 4), scénario défavorable de référence (bloc 6), aléas présélectionnés et scénario climatique de référence (bloc 14). Le secteur est obligatoire : sans lui, ni les seuils DSCR ni la note ne sont calculés.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rPr>
          <w:tblHeader/>
        </w:trPr>
        <w:tc>
          <w:tcPr>
            <w:tcW w:type="dxa" w:w="15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Code</w:t>
            </w:r>
          </w:p>
        </w:tc>
        <w:tc>
          <w:tcPr>
            <w:tcW w:type="dxa" w:w="318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Secteur</w:t>
            </w:r>
          </w:p>
        </w:tc>
        <w:tc>
          <w:tcPr>
            <w:tcW w:type="dxa" w:w="150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Code</w:t>
            </w:r>
          </w:p>
        </w:tc>
        <w:tc>
          <w:tcPr>
            <w:tcW w:type="dxa" w:w="3180"/>
            <w:tcBorders>
              <w:top w:val="single" w:color="D9D9D9" w:sz="4"/>
              <w:left w:val="single" w:color="D9D9D9" w:sz="4"/>
              <w:bottom w:val="single" w:color="D9D9D9" w:sz="4"/>
              <w:right w:val="single" w:color="D9D9D9" w:sz="4"/>
            </w:tcBorders>
            <w:shd w:fill="E8790F" w:color="auto" w:val="clear"/>
            <w:tcMar>
              <w:top w:type="dxa" w:w="90"/>
              <w:left w:type="dxa" w:w="110"/>
              <w:bottom w:type="dxa" w:w="90"/>
              <w:right w:type="dxa" w:w="110"/>
            </w:tcMar>
          </w:tcPr>
          <w:p>
            <w:pPr>
              <w:spacing w:after="0"/>
            </w:pPr>
            <w:r>
              <w:rPr>
                <w:b/>
                <w:bCs/>
                <w:color w:val="FFFFFF"/>
                <w:sz w:val="18"/>
                <w:szCs w:val="18"/>
              </w:rPr>
              <w:t xml:space="preserve">Secteur</w:t>
            </w:r>
          </w:p>
        </w:tc>
      </w:tr>
      <w:tr>
        <w:trPr>
          <w:tblHeader w:val="off"/>
        </w:trPr>
        <w:tc>
          <w:tcPr>
            <w:tcW w:type="dxa" w:w="15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ENR</w:t>
            </w:r>
          </w:p>
        </w:tc>
        <w:tc>
          <w:tcPr>
            <w:tcW w:type="dxa" w:w="318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Énergies renouvelables</w:t>
            </w:r>
          </w:p>
        </w:tc>
        <w:tc>
          <w:tcPr>
            <w:tcW w:type="dxa" w:w="15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TOU</w:t>
            </w:r>
          </w:p>
        </w:tc>
        <w:tc>
          <w:tcPr>
            <w:tcW w:type="dxa" w:w="318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Tourisme / Hôtellerie</w:t>
            </w:r>
          </w:p>
        </w:tc>
      </w:tr>
      <w:tr>
        <w:trPr>
          <w:tblHeader w:val="off"/>
        </w:trPr>
        <w:tc>
          <w:tcPr>
            <w:tcW w:type="dxa" w:w="15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EAU</w:t>
            </w:r>
          </w:p>
        </w:tc>
        <w:tc>
          <w:tcPr>
            <w:tcW w:type="dxa" w:w="318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Eau / Dessalement</w:t>
            </w:r>
          </w:p>
        </w:tc>
        <w:tc>
          <w:tcPr>
            <w:tcW w:type="dxa" w:w="15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TEL</w:t>
            </w:r>
          </w:p>
        </w:tc>
        <w:tc>
          <w:tcPr>
            <w:tcW w:type="dxa" w:w="318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Télécom / Data centers</w:t>
            </w:r>
          </w:p>
        </w:tc>
      </w:tr>
      <w:tr>
        <w:trPr>
          <w:tblHeader w:val="off"/>
        </w:trPr>
        <w:tc>
          <w:tcPr>
            <w:tcW w:type="dxa" w:w="15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TRA</w:t>
            </w:r>
          </w:p>
        </w:tc>
        <w:tc>
          <w:tcPr>
            <w:tcW w:type="dxa" w:w="318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Transport / Autoroutes</w:t>
            </w:r>
          </w:p>
        </w:tc>
        <w:tc>
          <w:tcPr>
            <w:tcW w:type="dxa" w:w="15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SAN</w:t>
            </w:r>
          </w:p>
        </w:tc>
        <w:tc>
          <w:tcPr>
            <w:tcW w:type="dxa" w:w="318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Santé / Cliniques</w:t>
            </w:r>
          </w:p>
        </w:tc>
      </w:tr>
      <w:tr>
        <w:trPr>
          <w:tblHeader w:val="off"/>
        </w:trPr>
        <w:tc>
          <w:tcPr>
            <w:tcW w:type="dxa" w:w="15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POR</w:t>
            </w:r>
          </w:p>
        </w:tc>
        <w:tc>
          <w:tcPr>
            <w:tcW w:type="dxa" w:w="318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Ports / Logistique</w:t>
            </w:r>
          </w:p>
        </w:tc>
        <w:tc>
          <w:tcPr>
            <w:tcW w:type="dxa" w:w="15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AGR</w:t>
            </w:r>
          </w:p>
        </w:tc>
        <w:tc>
          <w:tcPr>
            <w:tcW w:type="dxa" w:w="318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Agro-industrie</w:t>
            </w:r>
          </w:p>
        </w:tc>
      </w:tr>
      <w:tr>
        <w:trPr>
          <w:tblHeader w:val="off"/>
        </w:trPr>
        <w:tc>
          <w:tcPr>
            <w:tcW w:type="dxa" w:w="15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b/>
                <w:bCs/>
                <w:color w:val="333333"/>
                <w:sz w:val="19"/>
                <w:szCs w:val="19"/>
              </w:rPr>
              <w:t xml:space="preserve">IND</w:t>
            </w:r>
          </w:p>
        </w:tc>
        <w:tc>
          <w:tcPr>
            <w:tcW w:type="dxa" w:w="318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Industrie / Manufacturing</w:t>
            </w:r>
          </w:p>
        </w:tc>
        <w:tc>
          <w:tcPr>
            <w:tcW w:type="dxa" w:w="150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ETH</w:t>
            </w:r>
          </w:p>
        </w:tc>
        <w:tc>
          <w:tcPr>
            <w:tcW w:type="dxa" w:w="3180"/>
            <w:tcBorders>
              <w:top w:val="single" w:color="D9D9D9" w:sz="4"/>
              <w:left w:val="single" w:color="D9D9D9" w:sz="4"/>
              <w:bottom w:val="single" w:color="D9D9D9" w:sz="4"/>
              <w:right w:val="single" w:color="D9D9D9" w:sz="4"/>
            </w:tcBorders>
            <w:shd w:fill="FEF5EA" w:color="auto" w:val="clear"/>
            <w:tcMar>
              <w:top w:type="dxa" w:w="90"/>
              <w:left w:type="dxa" w:w="110"/>
              <w:bottom w:type="dxa" w:w="90"/>
              <w:right w:type="dxa" w:w="110"/>
            </w:tcMar>
          </w:tcPr>
          <w:p>
            <w:pPr>
              <w:spacing w:after="0"/>
            </w:pPr>
            <w:r>
              <w:rPr>
                <w:color w:val="333333"/>
                <w:sz w:val="19"/>
                <w:szCs w:val="19"/>
              </w:rPr>
              <w:t xml:space="preserve">Énergie thermique / Gaz</w:t>
            </w:r>
          </w:p>
        </w:tc>
      </w:tr>
      <w:tr>
        <w:trPr>
          <w:tblHeader w:val="off"/>
        </w:trPr>
        <w:tc>
          <w:tcPr>
            <w:tcW w:type="dxa" w:w="15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b/>
                <w:bCs/>
                <w:color w:val="333333"/>
                <w:sz w:val="19"/>
                <w:szCs w:val="19"/>
              </w:rPr>
              <w:t xml:space="preserve">MIN</w:t>
            </w:r>
          </w:p>
        </w:tc>
        <w:tc>
          <w:tcPr>
            <w:tcW w:type="dxa" w:w="318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Mines / Extraction</w:t>
            </w:r>
          </w:p>
        </w:tc>
        <w:tc>
          <w:tcPr>
            <w:tcW w:type="dxa" w:w="150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IMMO-REND</w:t>
            </w:r>
          </w:p>
        </w:tc>
        <w:tc>
          <w:tcPr>
            <w:tcW w:type="dxa" w:w="3180"/>
            <w:tcBorders>
              <w:top w:val="single" w:color="D9D9D9" w:sz="4"/>
              <w:left w:val="single" w:color="D9D9D9" w:sz="4"/>
              <w:bottom w:val="single" w:color="D9D9D9" w:sz="4"/>
              <w:right w:val="single" w:color="D9D9D9" w:sz="4"/>
            </w:tcBorders>
            <w:shd w:fill="FFFFFF" w:color="auto" w:val="clear"/>
            <w:tcMar>
              <w:top w:type="dxa" w:w="90"/>
              <w:left w:type="dxa" w:w="110"/>
              <w:bottom w:type="dxa" w:w="90"/>
              <w:right w:type="dxa" w:w="110"/>
            </w:tcMar>
          </w:tcPr>
          <w:p>
            <w:pPr>
              <w:spacing w:after="0"/>
            </w:pPr>
            <w:r>
              <w:rPr>
                <w:color w:val="333333"/>
                <w:sz w:val="19"/>
                <w:szCs w:val="19"/>
              </w:rPr>
              <w:t xml:space="preserve">Immobilier de rendement</w:t>
            </w:r>
          </w:p>
        </w:tc>
      </w:tr>
    </w:tbl>
    <w:p>
      <w:pPr>
        <w:pStyle w:val="Heading1"/>
        <w:pageBreakBefore/>
      </w:pPr>
      <w:r>
        <w:t xml:space="preserve">6. Bloc 6 : scénario défavorable et calcul du choc</w:t>
      </w:r>
    </w:p>
    <w:p>
      <w:pPr>
        <w:spacing w:after="140" w:line="300"/>
      </w:pPr>
      <w:r>
        <w:t xml:space="preserve">Le bloc 6 de l'écran de scoring Project Finance porte l'échéancier daté et le scénario défavorable. Le DSCR stressé minimum qui en résulte est l'indicateur N2 du noyau financier ; s'il passe sous 1,00x, le plafond C3 limite la note à 4.</w:t>
      </w:r>
    </w:p>
    <w:p>
      <w:pPr>
        <w:pStyle w:val="Heading2"/>
      </w:pPr>
      <w:r>
        <w:t xml:space="preserve">6.1 Ce que vous saisissez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4784"/>
        <w:gridCol w:w="2496"/>
      </w:tblGrid>
      <w:tr>
        <w:trPr>
          <w:tblHeader/>
        </w:trPr>
        <w:tc>
          <w:tcPr>
            <w:tcW w:type="dxa" w:w="2080"/>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left"/>
            </w:pPr>
            <w:r>
              <w:rPr>
                <w:b/>
                <w:bCs/>
                <w:color w:val="FFFFFF"/>
                <w:sz w:val="19"/>
                <w:szCs w:val="19"/>
              </w:rPr>
              <w:t xml:space="preserve">Champ</w:t>
            </w:r>
          </w:p>
        </w:tc>
        <w:tc>
          <w:tcPr>
            <w:tcW w:type="dxa" w:w="4784"/>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left"/>
            </w:pPr>
            <w:r>
              <w:rPr>
                <w:b/>
                <w:bCs/>
                <w:color w:val="FFFFFF"/>
                <w:sz w:val="19"/>
                <w:szCs w:val="19"/>
              </w:rPr>
              <w:t xml:space="preserve">Ce que vous saisissez</w:t>
            </w:r>
          </w:p>
        </w:tc>
        <w:tc>
          <w:tcPr>
            <w:tcW w:type="dxa" w:w="2496"/>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left"/>
            </w:pPr>
            <w:r>
              <w:rPr>
                <w:b/>
                <w:bCs/>
                <w:color w:val="FFFFFF"/>
                <w:sz w:val="19"/>
                <w:szCs w:val="19"/>
              </w:rPr>
              <w:t xml:space="preserve">Exemple</w:t>
            </w:r>
          </w:p>
        </w:tc>
      </w:tr>
      <w:tr>
        <w:trPr>
          <w:cantSplit/>
        </w:trPr>
        <w:tc>
          <w:tcPr>
            <w:tcW w:type="dxa" w:w="2080"/>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9"/>
                <w:szCs w:val="19"/>
              </w:rPr>
              <w:t xml:space="preserve">Choc sur les CFADS</w:t>
            </w:r>
          </w:p>
        </w:tc>
        <w:tc>
          <w:tcPr>
            <w:tcW w:type="dxa" w:w="478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Baisse du CFADS dans le scénario défavorable, en pourcentage (95 % au plus). Il s'applique à chaque période de l'échéancier, sauf à celles qui ont un CFADS stressé saisi.</w:t>
            </w:r>
          </w:p>
        </w:tc>
        <w:tc>
          <w:tcPr>
            <w:tcW w:type="dxa" w:w="249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13,8 %</w:t>
            </w:r>
          </w:p>
        </w:tc>
      </w:tr>
      <w:tr>
        <w:trPr>
          <w:cantSplit/>
        </w:trPr>
        <w:tc>
          <w:tcPr>
            <w:tcW w:type="dxa" w:w="2080"/>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9"/>
                <w:szCs w:val="19"/>
              </w:rPr>
              <w:t xml:space="preserve">Description du scénario</w:t>
            </w:r>
          </w:p>
        </w:tc>
        <w:tc>
          <w:tcPr>
            <w:tcW w:type="dxa" w:w="478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Le risque principal du projet et les hypothèses chiffrées retenues, en une phrase.</w:t>
            </w:r>
          </w:p>
        </w:tc>
        <w:tc>
          <w:tcPr>
            <w:tcW w:type="dxa" w:w="249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Production P90 (− 8 %) et charges + 10 %</w:t>
            </w:r>
          </w:p>
        </w:tc>
      </w:tr>
      <w:tr>
        <w:trPr>
          <w:cantSplit/>
        </w:trPr>
        <w:tc>
          <w:tcPr>
            <w:tcW w:type="dxa" w:w="2080"/>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9"/>
                <w:szCs w:val="19"/>
              </w:rPr>
              <w:t xml:space="preserve">Échéancier daté</w:t>
            </w:r>
          </w:p>
        </w:tc>
        <w:tc>
          <w:tcPr>
            <w:tcW w:type="dxa" w:w="478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Période, CFADS central, service de la dette et, si le modèle financier le donne, CFADS stressé ; montants en MMAD. Le bouton « Coller depuis Excel » reprend les colonnes copiées d'un tableur.</w:t>
            </w:r>
          </w:p>
        </w:tc>
        <w:tc>
          <w:tcPr>
            <w:tcW w:type="dxa" w:w="249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S1 2028 ; 25,9 ; 19,45 ; 22,3</w:t>
            </w:r>
          </w:p>
        </w:tc>
      </w:tr>
    </w:tbl>
    <w:p>
      <w:pPr>
        <w:spacing w:after="120"/>
      </w:pPr>
    </w:p>
    <w:p>
      <w:pPr>
        <w:spacing w:after="140" w:line="300"/>
      </w:pPr>
      <w:r>
        <w:t xml:space="preserve">Le choc est obligatoire : tant qu'il n'est pas saisi, l'écran le signale dans les saisies manquantes, car un DSCR stressé égal au DSCR central serait trop favorable.</w:t>
      </w:r>
    </w:p>
    <w:p>
      <w:pPr>
        <w:pStyle w:val="Heading2"/>
      </w:pPr>
      <w:r>
        <w:t xml:space="preserve">6.2 La bibliothèque des scénarios de référence</w:t>
      </w:r>
    </w:p>
    <w:p>
      <w:pPr>
        <w:spacing w:after="140" w:line="300"/>
      </w:pPr>
      <w:r>
        <w:t xml:space="preserve">Une fois le secteur choisi (bloc 1), le bloc 6 affiche le scénario défavorable de référence du secteur : le risque qui fait le plus bouger les flux, une description et la source des chiffres. Le bouton « Reprendre cette description » la copie dans la description du scénario ; la valeur porte alors l'origine « Repris de la bibliothèque de référence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2"/>
        <w:gridCol w:w="2392"/>
        <w:gridCol w:w="936"/>
        <w:gridCol w:w="936"/>
        <w:gridCol w:w="3744"/>
      </w:tblGrid>
      <w:tr>
        <w:trPr>
          <w:tblHeader/>
        </w:trPr>
        <w:tc>
          <w:tcPr>
            <w:tcW w:type="dxa" w:w="1352"/>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left"/>
            </w:pPr>
            <w:r>
              <w:rPr>
                <w:b/>
                <w:bCs/>
                <w:color w:val="FFFFFF"/>
                <w:sz w:val="18"/>
                <w:szCs w:val="18"/>
              </w:rPr>
              <w:t xml:space="preserve">Secteur</w:t>
            </w:r>
          </w:p>
        </w:tc>
        <w:tc>
          <w:tcPr>
            <w:tcW w:type="dxa" w:w="2392"/>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left"/>
            </w:pPr>
            <w:r>
              <w:rPr>
                <w:b/>
                <w:bCs/>
                <w:color w:val="FFFFFF"/>
                <w:sz w:val="18"/>
                <w:szCs w:val="18"/>
              </w:rPr>
              <w:t xml:space="preserve">Risque principal</w:t>
            </w:r>
          </w:p>
        </w:tc>
        <w:tc>
          <w:tcPr>
            <w:tcW w:type="dxa" w:w="936"/>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center"/>
            </w:pPr>
            <w:r>
              <w:rPr>
                <w:b/>
                <w:bCs/>
                <w:color w:val="FFFFFF"/>
                <w:sz w:val="18"/>
                <w:szCs w:val="18"/>
              </w:rPr>
              <w:t xml:space="preserve">Recettes</w:t>
            </w:r>
          </w:p>
        </w:tc>
        <w:tc>
          <w:tcPr>
            <w:tcW w:type="dxa" w:w="936"/>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center"/>
            </w:pPr>
            <w:r>
              <w:rPr>
                <w:b/>
                <w:bCs/>
                <w:color w:val="FFFFFF"/>
                <w:sz w:val="18"/>
                <w:szCs w:val="18"/>
              </w:rPr>
              <w:t xml:space="preserve">Charges</w:t>
            </w:r>
          </w:p>
        </w:tc>
        <w:tc>
          <w:tcPr>
            <w:tcW w:type="dxa" w:w="3744"/>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left"/>
            </w:pPr>
            <w:r>
              <w:rPr>
                <w:b/>
                <w:bCs/>
                <w:color w:val="FFFFFF"/>
                <w:sz w:val="18"/>
                <w:szCs w:val="18"/>
              </w:rPr>
              <w:t xml:space="preserve">Scénario proposé</w:t>
            </w:r>
          </w:p>
        </w:tc>
      </w:tr>
      <w:tr>
        <w:trPr>
          <w:cantSplit/>
        </w:trPr>
        <w:tc>
          <w:tcPr>
            <w:tcW w:type="dxa" w:w="135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8"/>
                <w:szCs w:val="18"/>
              </w:rPr>
              <w:t xml:space="preserve">ENR</w:t>
            </w:r>
          </w:p>
        </w:tc>
        <w:tc>
          <w:tcPr>
            <w:tcW w:type="dxa" w:w="239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Ressource (ensoleillement, vent)</w:t>
            </w:r>
          </w:p>
        </w:tc>
        <w:tc>
          <w:tcPr>
            <w:tcW w:type="dxa" w:w="93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8"/>
                <w:szCs w:val="18"/>
              </w:rPr>
              <w:t xml:space="preserve">− 8 %</w:t>
            </w:r>
          </w:p>
        </w:tc>
        <w:tc>
          <w:tcPr>
            <w:tcW w:type="dxa" w:w="93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8"/>
                <w:szCs w:val="18"/>
              </w:rPr>
              <w:t xml:space="preserve">+ 10 %</w:t>
            </w:r>
          </w:p>
        </w:tc>
        <w:tc>
          <w:tcPr>
            <w:tcW w:type="dxa" w:w="374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Production P90 à un an et charges + 10 %</w:t>
            </w:r>
          </w:p>
        </w:tc>
      </w:tr>
      <w:tr>
        <w:trPr>
          <w:cantSplit/>
        </w:trPr>
        <w:tc>
          <w:tcPr>
            <w:tcW w:type="dxa" w:w="135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8"/>
                <w:szCs w:val="18"/>
              </w:rPr>
              <w:t xml:space="preserve">EAU</w:t>
            </w:r>
          </w:p>
        </w:tc>
        <w:tc>
          <w:tcPr>
            <w:tcW w:type="dxa" w:w="239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Disponibilité et coût de l'énergie</w:t>
            </w:r>
          </w:p>
        </w:tc>
        <w:tc>
          <w:tcPr>
            <w:tcW w:type="dxa" w:w="93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8"/>
                <w:szCs w:val="18"/>
              </w:rPr>
              <w:t xml:space="preserve">− 5 %</w:t>
            </w:r>
          </w:p>
        </w:tc>
        <w:tc>
          <w:tcPr>
            <w:tcW w:type="dxa" w:w="93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8"/>
                <w:szCs w:val="18"/>
              </w:rPr>
              <w:t xml:space="preserve">+ 15 %</w:t>
            </w:r>
          </w:p>
        </w:tc>
        <w:tc>
          <w:tcPr>
            <w:tcW w:type="dxa" w:w="374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Disponibilité ramenée à 93 %, coût de l'énergie non répercuté</w:t>
            </w:r>
          </w:p>
        </w:tc>
      </w:tr>
      <w:tr>
        <w:trPr>
          <w:cantSplit/>
        </w:trPr>
        <w:tc>
          <w:tcPr>
            <w:tcW w:type="dxa" w:w="135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8"/>
                <w:szCs w:val="18"/>
              </w:rPr>
              <w:t xml:space="preserve">TEL</w:t>
            </w:r>
          </w:p>
        </w:tc>
        <w:tc>
          <w:tcPr>
            <w:tcW w:type="dxa" w:w="239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Commercialisation, départ de clients</w:t>
            </w:r>
          </w:p>
        </w:tc>
        <w:tc>
          <w:tcPr>
            <w:tcW w:type="dxa" w:w="93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8"/>
                <w:szCs w:val="18"/>
              </w:rPr>
              <w:t xml:space="preserve">− 20 %</w:t>
            </w:r>
          </w:p>
        </w:tc>
        <w:tc>
          <w:tcPr>
            <w:tcW w:type="dxa" w:w="93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8"/>
                <w:szCs w:val="18"/>
              </w:rPr>
              <w:t xml:space="preserve">+ 5 %</w:t>
            </w:r>
          </w:p>
        </w:tc>
        <w:tc>
          <w:tcPr>
            <w:tcW w:type="dxa" w:w="374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Commercialisation plafonnée, départ d'un client clé</w:t>
            </w:r>
          </w:p>
        </w:tc>
      </w:tr>
      <w:tr>
        <w:trPr>
          <w:cantSplit/>
        </w:trPr>
        <w:tc>
          <w:tcPr>
            <w:tcW w:type="dxa" w:w="135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8"/>
                <w:szCs w:val="18"/>
              </w:rPr>
              <w:t xml:space="preserve">TRA</w:t>
            </w:r>
          </w:p>
        </w:tc>
        <w:tc>
          <w:tcPr>
            <w:tcW w:type="dxa" w:w="239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Trafic</w:t>
            </w:r>
          </w:p>
        </w:tc>
        <w:tc>
          <w:tcPr>
            <w:tcW w:type="dxa" w:w="93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8"/>
                <w:szCs w:val="18"/>
              </w:rPr>
              <w:t xml:space="preserve">− 15 %</w:t>
            </w:r>
          </w:p>
        </w:tc>
        <w:tc>
          <w:tcPr>
            <w:tcW w:type="dxa" w:w="93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8"/>
                <w:szCs w:val="18"/>
              </w:rPr>
              <w:t xml:space="preserve">+ 10 %</w:t>
            </w:r>
          </w:p>
        </w:tc>
        <w:tc>
          <w:tcPr>
            <w:tcW w:type="dxa" w:w="374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Récession, report modal</w:t>
            </w:r>
          </w:p>
        </w:tc>
      </w:tr>
      <w:tr>
        <w:trPr>
          <w:cantSplit/>
        </w:trPr>
        <w:tc>
          <w:tcPr>
            <w:tcW w:type="dxa" w:w="135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8"/>
                <w:szCs w:val="18"/>
              </w:rPr>
              <w:t xml:space="preserve">POR</w:t>
            </w:r>
          </w:p>
        </w:tc>
        <w:tc>
          <w:tcPr>
            <w:tcW w:type="dxa" w:w="239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Volumes traités</w:t>
            </w:r>
          </w:p>
        </w:tc>
        <w:tc>
          <w:tcPr>
            <w:tcW w:type="dxa" w:w="93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8"/>
                <w:szCs w:val="18"/>
              </w:rPr>
              <w:t xml:space="preserve">− 15 %</w:t>
            </w:r>
          </w:p>
        </w:tc>
        <w:tc>
          <w:tcPr>
            <w:tcW w:type="dxa" w:w="93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8"/>
                <w:szCs w:val="18"/>
              </w:rPr>
              <w:t xml:space="preserve">+ 5 %</w:t>
            </w:r>
          </w:p>
        </w:tc>
        <w:tc>
          <w:tcPr>
            <w:tcW w:type="dxa" w:w="374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Trafic ramené au volume minimum garanti</w:t>
            </w:r>
          </w:p>
        </w:tc>
      </w:tr>
      <w:tr>
        <w:trPr>
          <w:cantSplit/>
        </w:trPr>
        <w:tc>
          <w:tcPr>
            <w:tcW w:type="dxa" w:w="135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8"/>
                <w:szCs w:val="18"/>
              </w:rPr>
              <w:t xml:space="preserve">SAN</w:t>
            </w:r>
          </w:p>
        </w:tc>
        <w:tc>
          <w:tcPr>
            <w:tcW w:type="dxa" w:w="239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Performance contractuelle</w:t>
            </w:r>
          </w:p>
        </w:tc>
        <w:tc>
          <w:tcPr>
            <w:tcW w:type="dxa" w:w="93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8"/>
                <w:szCs w:val="18"/>
              </w:rPr>
              <w:t xml:space="preserve">− 5 %</w:t>
            </w:r>
          </w:p>
        </w:tc>
        <w:tc>
          <w:tcPr>
            <w:tcW w:type="dxa" w:w="93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8"/>
                <w:szCs w:val="18"/>
              </w:rPr>
              <w:t xml:space="preserve">+ 10 %</w:t>
            </w:r>
          </w:p>
        </w:tc>
        <w:tc>
          <w:tcPr>
            <w:tcW w:type="dxa" w:w="374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Pénalités de performance au plafond contractuel</w:t>
            </w:r>
          </w:p>
        </w:tc>
      </w:tr>
      <w:tr>
        <w:trPr>
          <w:cantSplit/>
        </w:trPr>
        <w:tc>
          <w:tcPr>
            <w:tcW w:type="dxa" w:w="135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8"/>
                <w:szCs w:val="18"/>
              </w:rPr>
              <w:t xml:space="preserve">ETH</w:t>
            </w:r>
          </w:p>
        </w:tc>
        <w:tc>
          <w:tcPr>
            <w:tcW w:type="dxa" w:w="239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Disponibilité technique</w:t>
            </w:r>
          </w:p>
        </w:tc>
        <w:tc>
          <w:tcPr>
            <w:tcW w:type="dxa" w:w="93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8"/>
                <w:szCs w:val="18"/>
              </w:rPr>
              <w:t xml:space="preserve">− 10 %</w:t>
            </w:r>
          </w:p>
        </w:tc>
        <w:tc>
          <w:tcPr>
            <w:tcW w:type="dxa" w:w="93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8"/>
                <w:szCs w:val="18"/>
              </w:rPr>
              <w:t xml:space="preserve">+ 10 %</w:t>
            </w:r>
          </w:p>
        </w:tc>
        <w:tc>
          <w:tcPr>
            <w:tcW w:type="dxa" w:w="374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Indisponibilité prolongée d'une unité</w:t>
            </w:r>
          </w:p>
        </w:tc>
      </w:tr>
      <w:tr>
        <w:trPr>
          <w:cantSplit/>
        </w:trPr>
        <w:tc>
          <w:tcPr>
            <w:tcW w:type="dxa" w:w="135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8"/>
                <w:szCs w:val="18"/>
              </w:rPr>
              <w:t xml:space="preserve">IMMO-REND</w:t>
            </w:r>
          </w:p>
        </w:tc>
        <w:tc>
          <w:tcPr>
            <w:tcW w:type="dxa" w:w="239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Vacance et loyers</w:t>
            </w:r>
          </w:p>
        </w:tc>
        <w:tc>
          <w:tcPr>
            <w:tcW w:type="dxa" w:w="93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8"/>
                <w:szCs w:val="18"/>
              </w:rPr>
              <w:t xml:space="preserve">− 15 %</w:t>
            </w:r>
          </w:p>
        </w:tc>
        <w:tc>
          <w:tcPr>
            <w:tcW w:type="dxa" w:w="93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8"/>
                <w:szCs w:val="18"/>
              </w:rPr>
              <w:t xml:space="preserve">+ 5 %</w:t>
            </w:r>
          </w:p>
        </w:tc>
        <w:tc>
          <w:tcPr>
            <w:tcW w:type="dxa" w:w="374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Vacance portée à 20 %, loyers de relocation − 5 %</w:t>
            </w:r>
          </w:p>
        </w:tc>
      </w:tr>
      <w:tr>
        <w:trPr>
          <w:cantSplit/>
        </w:trPr>
        <w:tc>
          <w:tcPr>
            <w:tcW w:type="dxa" w:w="135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8"/>
                <w:szCs w:val="18"/>
              </w:rPr>
              <w:t xml:space="preserve">IND</w:t>
            </w:r>
          </w:p>
        </w:tc>
        <w:tc>
          <w:tcPr>
            <w:tcW w:type="dxa" w:w="239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Volumes et coût des intrants</w:t>
            </w:r>
          </w:p>
        </w:tc>
        <w:tc>
          <w:tcPr>
            <w:tcW w:type="dxa" w:w="93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8"/>
                <w:szCs w:val="18"/>
              </w:rPr>
              <w:t xml:space="preserve">− 15 %</w:t>
            </w:r>
          </w:p>
        </w:tc>
        <w:tc>
          <w:tcPr>
            <w:tcW w:type="dxa" w:w="93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8"/>
                <w:szCs w:val="18"/>
              </w:rPr>
              <w:t xml:space="preserve">+ 15 %</w:t>
            </w:r>
          </w:p>
        </w:tc>
        <w:tc>
          <w:tcPr>
            <w:tcW w:type="dxa" w:w="374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Volumes − 15 %, intrants non répercutés</w:t>
            </w:r>
          </w:p>
        </w:tc>
      </w:tr>
      <w:tr>
        <w:trPr>
          <w:cantSplit/>
        </w:trPr>
        <w:tc>
          <w:tcPr>
            <w:tcW w:type="dxa" w:w="135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8"/>
                <w:szCs w:val="18"/>
              </w:rPr>
              <w:t xml:space="preserve">AGR</w:t>
            </w:r>
          </w:p>
        </w:tc>
        <w:tc>
          <w:tcPr>
            <w:tcW w:type="dxa" w:w="239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Récolte et climat</w:t>
            </w:r>
          </w:p>
        </w:tc>
        <w:tc>
          <w:tcPr>
            <w:tcW w:type="dxa" w:w="93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8"/>
                <w:szCs w:val="18"/>
              </w:rPr>
              <w:t xml:space="preserve">− 20 %</w:t>
            </w:r>
          </w:p>
        </w:tc>
        <w:tc>
          <w:tcPr>
            <w:tcW w:type="dxa" w:w="93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8"/>
                <w:szCs w:val="18"/>
              </w:rPr>
              <w:t xml:space="preserve">+ 5 %</w:t>
            </w:r>
          </w:p>
        </w:tc>
        <w:tc>
          <w:tcPr>
            <w:tcW w:type="dxa" w:w="374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Récolte − 20 % (sécheresse)</w:t>
            </w:r>
          </w:p>
        </w:tc>
      </w:tr>
      <w:tr>
        <w:trPr>
          <w:cantSplit/>
        </w:trPr>
        <w:tc>
          <w:tcPr>
            <w:tcW w:type="dxa" w:w="135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8"/>
                <w:szCs w:val="18"/>
              </w:rPr>
              <w:t xml:space="preserve">TOU</w:t>
            </w:r>
          </w:p>
        </w:tc>
        <w:tc>
          <w:tcPr>
            <w:tcW w:type="dxa" w:w="239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Fréquentation et prix</w:t>
            </w:r>
          </w:p>
        </w:tc>
        <w:tc>
          <w:tcPr>
            <w:tcW w:type="dxa" w:w="93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8"/>
                <w:szCs w:val="18"/>
              </w:rPr>
              <w:t xml:space="preserve">− 15 %</w:t>
            </w:r>
          </w:p>
        </w:tc>
        <w:tc>
          <w:tcPr>
            <w:tcW w:type="dxa" w:w="93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8"/>
                <w:szCs w:val="18"/>
              </w:rPr>
              <w:t xml:space="preserve">+ 5 %</w:t>
            </w:r>
          </w:p>
        </w:tc>
        <w:tc>
          <w:tcPr>
            <w:tcW w:type="dxa" w:w="374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Occupation − 10 points et prix − 5 %</w:t>
            </w:r>
          </w:p>
        </w:tc>
      </w:tr>
      <w:tr>
        <w:trPr>
          <w:cantSplit/>
        </w:trPr>
        <w:tc>
          <w:tcPr>
            <w:tcW w:type="dxa" w:w="135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8"/>
                <w:szCs w:val="18"/>
              </w:rPr>
              <w:t xml:space="preserve">MIN</w:t>
            </w:r>
          </w:p>
        </w:tc>
        <w:tc>
          <w:tcPr>
            <w:tcW w:type="dxa" w:w="239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Prix des métaux</w:t>
            </w:r>
          </w:p>
        </w:tc>
        <w:tc>
          <w:tcPr>
            <w:tcW w:type="dxa" w:w="93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8"/>
                <w:szCs w:val="18"/>
              </w:rPr>
              <w:t xml:space="preserve">− 25 %</w:t>
            </w:r>
          </w:p>
        </w:tc>
        <w:tc>
          <w:tcPr>
            <w:tcW w:type="dxa" w:w="93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center"/>
            </w:pPr>
            <w:r>
              <w:rPr>
                <w:color w:val="333333"/>
                <w:sz w:val="18"/>
                <w:szCs w:val="18"/>
              </w:rPr>
              <w:t xml:space="preserve">+ 8 %</w:t>
            </w:r>
          </w:p>
        </w:tc>
        <w:tc>
          <w:tcPr>
            <w:tcW w:type="dxa" w:w="374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Prix du métal − 25 %, coûts + 8 %</w:t>
            </w:r>
          </w:p>
        </w:tc>
      </w:tr>
    </w:tbl>
    <w:p>
      <w:pPr>
        <w:spacing w:after="120"/>
      </w:pPr>
    </w:p>
    <w:p>
      <w:pPr>
        <w:spacing w:after="140" w:line="300"/>
      </w:pPr>
      <w:r>
        <w:rPr>
          <w:i/>
          <w:iCs/>
          <w:color w:val="7A7A7A"/>
          <w:sz w:val="19"/>
          <w:szCs w:val="19"/>
        </w:rPr>
        <w:t xml:space="preserve">Valeurs candidates, à valider par le comité de validation du modèle. Adaptez-les au projet (étude de productible, étude de trafic, contrat) et justifiez l'écart dans la description.</w:t>
      </w:r>
    </w:p>
    <w:p>
      <w:pPr>
        <w:pStyle w:val="Heading2"/>
      </w:pPr>
      <w:r>
        <w:t xml:space="preserve">6.3 Du scénario au choc : l'aide au calcul</w:t>
      </w:r>
    </w:p>
    <w:p>
      <w:pPr>
        <w:spacing w:after="140" w:line="300"/>
      </w:pPr>
      <w:r>
        <w:t xml:space="preserve">Le scénario s'exprime en hypothèses (« production − 8 % », « charges + 10 % ») ; le choc se calcule en refaisant le compte d'une année type. L'aide « Du scénario au choc » le fait pour vous :</w:t>
      </w:r>
    </w:p>
    <w:p>
      <w:pPr>
        <w:pStyle w:val="ListParagraph"/>
        <w:numPr>
          <w:ilvl w:val="0"/>
          <w:numId w:val="2"/>
        </w:numPr>
        <w:spacing w:after="90" w:line="290"/>
      </w:pPr>
      <w:r>
        <w:rPr>
          <w:b/>
          <w:bCs/>
        </w:rPr>
        <w:t xml:space="preserve">Saisissez les recettes et les charges d'exploitation d'une année type </w:t>
      </w:r>
      <w:r>
        <w:t xml:space="preserve">du scénario central, en MMAD.</w:t>
      </w:r>
    </w:p>
    <w:p>
      <w:pPr>
        <w:pStyle w:val="ListParagraph"/>
        <w:numPr>
          <w:ilvl w:val="0"/>
          <w:numId w:val="2"/>
        </w:numPr>
        <w:spacing w:after="90" w:line="290"/>
      </w:pPr>
      <w:r>
        <w:rPr>
          <w:b/>
          <w:bCs/>
        </w:rPr>
        <w:t xml:space="preserve">Vérifiez la baisse des recettes et la hausse des charges, </w:t>
      </w:r>
      <w:r>
        <w:t xml:space="preserve">préremplies avec le scénario de référence du secteur ; modifiez-les si le projet le justifie.</w:t>
      </w:r>
    </w:p>
    <w:p>
      <w:pPr>
        <w:pStyle w:val="ListParagraph"/>
        <w:numPr>
          <w:ilvl w:val="0"/>
          <w:numId w:val="2"/>
        </w:numPr>
        <w:spacing w:after="90" w:line="290"/>
      </w:pPr>
      <w:r>
        <w:rPr>
          <w:b/>
          <w:bCs/>
        </w:rPr>
        <w:t xml:space="preserve">Lisez le calcul affiché : </w:t>
      </w:r>
      <w:r>
        <w:t xml:space="preserve">CFADS central, CFADS stressé et choc.</w:t>
      </w:r>
    </w:p>
    <w:p>
      <w:pPr>
        <w:pStyle w:val="ListParagraph"/>
        <w:numPr>
          <w:ilvl w:val="0"/>
          <w:numId w:val="2"/>
        </w:numPr>
        <w:spacing w:after="90" w:line="290"/>
      </w:pPr>
      <w:r>
        <w:rPr>
          <w:b/>
          <w:bCs/>
        </w:rPr>
        <w:t xml:space="preserve">Cliquez sur « Appliquer ce choc » : </w:t>
      </w:r>
      <w:r>
        <w:t xml:space="preserve">le choc, arrondi au dixième de point, est reporté dans le champ du bloc 6, avec l'origine « Calculé par l'aide de l'outil » et le détail du calcul.</w:t>
      </w:r>
    </w:p>
    <w:p>
      <w:pPr>
        <w:pBdr>
          <w:left w:val="single" w:color="E8790F" w:sz="18" w:space="8"/>
        </w:pBdr>
        <w:shd w:fill="FDEBD3" w:color="auto" w:val="clear"/>
        <w:spacing w:after="200" w:before="120" w:line="300"/>
        <w:ind w:left="160" w:right="160"/>
      </w:pPr>
      <w:r>
        <w:rPr>
          <w:b/>
          <w:bCs/>
          <w:color w:val="5A3A1E"/>
        </w:rPr>
        <w:t xml:space="preserve">La formule</w:t>
      </w:r>
      <w:r>
        <w:br/>
        <w:t xml:space="preserve"/>
      </w:r>
      <w:r>
        <w:t xml:space="preserve">Choc = (recettes perdues + charges supplémentaires) ÷ CFADS central</w:t>
      </w:r>
      <w:r>
        <w:br/>
        <w:t xml:space="preserve"/>
      </w:r>
      <w:r>
        <w:t xml:space="preserve">Exemple : recettes 100, charges 25, recettes − 8 %, charges + 10 %. CFADS central 75, stressé 64,5 ; choc = (8 + 2,5) ÷ 75 = 14 %.</w:t>
      </w:r>
      <w:r>
        <w:br/>
        <w:t xml:space="preserve"/>
      </w:r>
      <w:r>
        <w:t xml:space="preserve">Si les recettes ne dépassent pas les charges, l'outil ne calcule pas de choc et l'indique.</w:t>
      </w:r>
    </w:p>
    <w:p>
      <w:pPr>
        <w:spacing w:after="140" w:line="300"/>
      </w:pPr>
      <w:r>
        <w:t xml:space="preserve">Si le modèle financier du projet fournit un cas défavorable, préférez le CFADS stressé saisi période par période dans l'échéancier : il est plus précis que le choc unique.</w:t>
      </w:r>
    </w:p>
    <w:p>
      <w:pPr>
        <w:pStyle w:val="Heading1"/>
      </w:pPr>
      <w:r>
        <w:t xml:space="preserve">7. L'origine des valeurs</w:t>
      </w:r>
    </w:p>
    <w:p>
      <w:pPr>
        <w:spacing w:after="140" w:line="300"/>
      </w:pPr>
      <w:r>
        <w:t xml:space="preserve">Sous chaque champ rempli autrement qu'à la main, un commentaire indique d'où vient la valeur. Le relecteur (validateur, comité) sait ainsi ce qui a été tapé par l'analyste, proposé par l'IA, calculé ou repris d'une référence. Une valeur tapée à la main n'a pas de commentaire.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84"/>
        <w:gridCol w:w="2912"/>
        <w:gridCol w:w="4264"/>
      </w:tblGrid>
      <w:tr>
        <w:trPr>
          <w:tblHeader/>
        </w:trPr>
        <w:tc>
          <w:tcPr>
            <w:tcW w:type="dxa" w:w="2184"/>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left"/>
            </w:pPr>
            <w:r>
              <w:rPr>
                <w:b/>
                <w:bCs/>
                <w:color w:val="FFFFFF"/>
                <w:sz w:val="18"/>
                <w:szCs w:val="18"/>
              </w:rPr>
              <w:t xml:space="preserve">Origine</w:t>
            </w:r>
          </w:p>
        </w:tc>
        <w:tc>
          <w:tcPr>
            <w:tcW w:type="dxa" w:w="2912"/>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left"/>
            </w:pPr>
            <w:r>
              <w:rPr>
                <w:b/>
                <w:bCs/>
                <w:color w:val="FFFFFF"/>
                <w:sz w:val="18"/>
                <w:szCs w:val="18"/>
              </w:rPr>
              <w:t xml:space="preserve">Quand</w:t>
            </w:r>
          </w:p>
        </w:tc>
        <w:tc>
          <w:tcPr>
            <w:tcW w:type="dxa" w:w="4264"/>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left"/>
            </w:pPr>
            <w:r>
              <w:rPr>
                <w:b/>
                <w:bCs/>
                <w:color w:val="FFFFFF"/>
                <w:sz w:val="18"/>
                <w:szCs w:val="18"/>
              </w:rPr>
              <w:t xml:space="preserve">Commentaire affiché sous le champ (exemple fictif)</w:t>
            </w:r>
          </w:p>
        </w:tc>
      </w:tr>
      <w:tr>
        <w:trPr>
          <w:cantSplit/>
        </w:trPr>
        <w:tc>
          <w:tcPr>
            <w:tcW w:type="dxa" w:w="218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8"/>
                <w:szCs w:val="18"/>
              </w:rPr>
              <w:t xml:space="preserve">Proposé par l'IA</w:t>
            </w:r>
          </w:p>
        </w:tc>
        <w:tc>
          <w:tcPr>
            <w:tcW w:type="dxa" w:w="291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L'analyste accepte une proposition de l'IA (section 9)</w:t>
            </w:r>
          </w:p>
        </w:tc>
        <w:tc>
          <w:tcPr>
            <w:tcW w:type="dxa" w:w="426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Proposé par l'IA le 14/10/2026 · Source : Rapport du conseiller technique.pdf, p. 12 · confiance élevée</w:t>
            </w:r>
          </w:p>
        </w:tc>
      </w:tr>
      <w:tr>
        <w:trPr>
          <w:cantSplit/>
        </w:trPr>
        <w:tc>
          <w:tcPr>
            <w:tcW w:type="dxa" w:w="218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8"/>
                <w:szCs w:val="18"/>
              </w:rPr>
              <w:t xml:space="preserve">Calculé par l'aide de l'outil</w:t>
            </w:r>
          </w:p>
        </w:tc>
        <w:tc>
          <w:tcPr>
            <w:tcW w:type="dxa" w:w="291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Bouton « Appliquer ce choc » (bloc 6 ou onglet Climat)</w:t>
            </w:r>
          </w:p>
        </w:tc>
        <w:tc>
          <w:tcPr>
            <w:tcW w:type="dxa" w:w="426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Calculé par l'aide de l'outil le 14/10/2026 · recettes 100 MMAD (− 8 %), charges 25 MMAD (+ 10 %)</w:t>
            </w:r>
          </w:p>
        </w:tc>
      </w:tr>
      <w:tr>
        <w:trPr>
          <w:cantSplit/>
        </w:trPr>
        <w:tc>
          <w:tcPr>
            <w:tcW w:type="dxa" w:w="218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8"/>
                <w:szCs w:val="18"/>
              </w:rPr>
              <w:t xml:space="preserve">Repris de la bibliothèque de référence</w:t>
            </w:r>
          </w:p>
        </w:tc>
        <w:tc>
          <w:tcPr>
            <w:tcW w:type="dxa" w:w="291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Bouton « Reprendre cette description » (scénario de référence du secteur, scénario climatique)</w:t>
            </w:r>
          </w:p>
        </w:tc>
        <w:tc>
          <w:tcPr>
            <w:tcW w:type="dxa" w:w="426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Repris de la bibliothèque de référence le 14/10/2026 · Scénario de référence du secteur ENR</w:t>
            </w:r>
          </w:p>
        </w:tc>
      </w:tr>
      <w:tr>
        <w:trPr>
          <w:cantSplit/>
        </w:trPr>
        <w:tc>
          <w:tcPr>
            <w:tcW w:type="dxa" w:w="218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8"/>
                <w:szCs w:val="18"/>
              </w:rPr>
              <w:t xml:space="preserve">Collé depuis Excel</w:t>
            </w:r>
          </w:p>
        </w:tc>
        <w:tc>
          <w:tcPr>
            <w:tcW w:type="dxa" w:w="291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Échéancier collé depuis un tableur (bloc 6)</w:t>
            </w:r>
          </w:p>
        </w:tc>
        <w:tc>
          <w:tcPr>
            <w:tcW w:type="dxa" w:w="426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Collé depuis Excel le 14/10/2026 · Échéancier collé depuis Excel</w:t>
            </w:r>
          </w:p>
        </w:tc>
      </w:tr>
    </w:tbl>
    <w:p>
      <w:pPr>
        <w:spacing w:after="120"/>
      </w:pPr>
    </w:p>
    <w:p>
      <w:pPr>
        <w:spacing w:after="140" w:line="300"/>
      </w:pPr>
      <w:r>
        <w:t xml:space="preserve">Quand le commentaire porte un détail (justification de l'IA, détail du calcul), il se déplie d'un clic.</w:t>
      </w:r>
    </w:p>
    <w:p>
      <w:pPr>
        <w:pStyle w:val="Heading2"/>
      </w:pPr>
      <w:r>
        <w:t xml:space="preserve">7.1 Si vous modifiez la valeur</w:t>
      </w:r>
    </w:p>
    <w:p>
      <w:pPr>
        <w:spacing w:after="140" w:line="300"/>
      </w:pPr>
      <w:r>
        <w:t xml:space="preserve">L'origine reste visible, en gris, comme valeur initiale :</w:t>
      </w:r>
    </w:p>
    <w:p>
      <w:pPr>
        <w:pBdr>
          <w:left w:val="single" w:color="E8790F" w:sz="18" w:space="8"/>
        </w:pBdr>
        <w:shd w:fill="FDEBD3" w:color="auto" w:val="clear"/>
        <w:spacing w:after="200" w:before="120" w:line="300"/>
        <w:ind w:left="160" w:right="160"/>
      </w:pPr>
      <w:r>
        <w:rPr>
          <w:b/>
          <w:bCs/>
          <w:color w:val="5A3A1E"/>
        </w:rPr>
        <w:t xml:space="preserve">Exemple</w:t>
      </w:r>
      <w:r>
        <w:br/>
        <w:t xml:space="preserve"/>
      </w:r>
      <w:r>
        <w:t xml:space="preserve">Modifié par l'analyste — valeur initiale « 14 % » (proposé par l'IA le 14/10/2026 · Source : Modèle financier.xlsx, onglet Cas bas · confiance moyenne)</w:t>
      </w:r>
    </w:p>
    <w:p>
      <w:pPr>
        <w:spacing w:after="140" w:line="300"/>
      </w:pPr>
      <w:r>
        <w:t xml:space="preserve">Modifier une valeur proposée est normal : c'est l'analyste qui répond de la saisie. Expliquez l'écart dans le commentaire du critère ou dans la description du scénario.</w:t>
      </w:r>
    </w:p>
    <w:p>
      <w:pPr>
        <w:pStyle w:val="Heading2"/>
      </w:pPr>
      <w:r>
        <w:t xml:space="preserve">7.2 Ce qui garantit l'origine</w:t>
      </w:r>
    </w:p>
    <w:p>
      <w:pPr>
        <w:pStyle w:val="ListParagraph"/>
        <w:numPr>
          <w:ilvl w:val="0"/>
          <w:numId w:val="3"/>
        </w:numPr>
        <w:spacing w:after="70" w:line="290"/>
      </w:pPr>
      <w:r>
        <w:rPr>
          <w:b/>
          <w:bCs/>
        </w:rPr>
        <w:t xml:space="preserve">Les origines « IA » sont écrites par le serveur, </w:t>
      </w:r>
      <w:r>
        <w:t xml:space="preserve">au moment où l'analyste accepte la proposition, avec la date, l'auteur de l'acceptation, la pièce et la page citées. Une saisie envoyée par le navigateur ne peut ni en créer ni en effacer.</w:t>
      </w:r>
    </w:p>
    <w:p>
      <w:pPr>
        <w:pStyle w:val="ListParagraph"/>
        <w:numPr>
          <w:ilvl w:val="0"/>
          <w:numId w:val="3"/>
        </w:numPr>
        <w:spacing w:after="70" w:line="290"/>
      </w:pPr>
      <w:r>
        <w:rPr>
          <w:b/>
          <w:bCs/>
        </w:rPr>
        <w:t xml:space="preserve">Chaque acceptation est tracée au journal d'audit.</w:t>
      </w:r>
      <w:r>
        <w:t xml:space="preserve"/>
      </w:r>
    </w:p>
    <w:p>
      <w:pPr>
        <w:pStyle w:val="ListParagraph"/>
        <w:numPr>
          <w:ilvl w:val="0"/>
          <w:numId w:val="3"/>
        </w:numPr>
        <w:spacing w:after="70" w:line="290"/>
      </w:pPr>
      <w:r>
        <w:rPr>
          <w:b/>
          <w:bCs/>
        </w:rPr>
        <w:t xml:space="preserve">Les autres origines </w:t>
      </w:r>
      <w:r>
        <w:t xml:space="preserve">(calcul, référence, collage) sont enregistrées avec la saisie ; une nouvelle action sur le même champ remplace la précédente.</w:t>
      </w:r>
    </w:p>
    <w:p>
      <w:pPr>
        <w:pStyle w:val="Heading1"/>
        <w:pageBreakBefore/>
      </w:pPr>
      <w:r>
        <w:t xml:space="preserve">8. L'onglet Climat (bloc 14)</w:t>
      </w:r>
    </w:p>
    <w:p>
      <w:pPr>
        <w:spacing w:after="140" w:line="300"/>
      </w:pPr>
      <w:r>
        <w:t xml:space="preserve">L'onglet Climat recueille, pour chaque dossier, les risques climatiques physiques du site, l'exposition du projet à la transition et un scénario climatique chiffré. Il sert aussi de point de collecte des données demandées aux grands emprunteurs par la directive 2/W/2025 de Bank Al-Maghrib.</w:t>
      </w:r>
    </w:p>
    <w:p>
      <w:pPr>
        <w:pBdr>
          <w:left w:val="single" w:color="E8790F" w:sz="18" w:space="8"/>
        </w:pBdr>
        <w:shd w:fill="FDEBD3" w:color="auto" w:val="clear"/>
        <w:spacing w:after="200" w:before="120" w:line="300"/>
        <w:ind w:left="160" w:right="160"/>
      </w:pPr>
      <w:r>
        <w:rPr>
          <w:b/>
          <w:bCs/>
          <w:color w:val="5A3A1E"/>
        </w:rPr>
        <w:t xml:space="preserve">Deux lots</w:t>
      </w:r>
      <w:r>
        <w:br/>
        <w:t xml:space="preserve"/>
      </w:r>
      <w:r>
        <w:rPr>
          <w:b/>
          <w:bCs/>
        </w:rPr>
        <w:t xml:space="preserve">Lot 1, en service : </w:t>
      </w:r>
      <w:r>
        <w:t xml:space="preserve">la fiche est collectée et analysée, sans effet sur la note.</w:t>
      </w:r>
      <w:r>
        <w:br/>
        <w:t xml:space="preserve"/>
      </w:r>
      <w:r>
        <w:rPr>
          <w:b/>
          <w:bCs/>
        </w:rPr>
        <w:t xml:space="preserve">Lot 2, intégré mais inactif : </w:t>
      </w:r>
      <w:r>
        <w:t xml:space="preserve">la fiche entre dans la note (section 8.6). Il s'active dans le paramétrage du modèle, après validation par le comité de validation du modèle.</w:t>
      </w:r>
    </w:p>
    <w:p>
      <w:pPr>
        <w:pStyle w:val="Heading2"/>
      </w:pPr>
      <w:r>
        <w:t xml:space="preserve">8.1 Les risques physiques, aléa par aléa</w:t>
      </w:r>
    </w:p>
    <w:p>
      <w:pPr>
        <w:spacing w:after="140" w:line="300"/>
      </w:pPr>
      <w:r>
        <w:t xml:space="preserve">Six aléas sont proposés. Ceux qui concernent le plus le secteur sont présélectionnés ; évaluez aussi les autres s'ils touchent le site. Pour chaque aléa : l'exposition du site (Faible, Moyen, Élevé ou Non évalué), la source, et l'existence de mesures d'adaptation financées (Oui/Non). Renseignez aussi la localisation du site (commune, province ou coordonnées), qui sert à lire les cartes d'aléas.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4"/>
        <w:gridCol w:w="3744"/>
        <w:gridCol w:w="2912"/>
      </w:tblGrid>
      <w:tr>
        <w:trPr>
          <w:tblHeader/>
        </w:trPr>
        <w:tc>
          <w:tcPr>
            <w:tcW w:type="dxa" w:w="2704"/>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left"/>
            </w:pPr>
            <w:r>
              <w:rPr>
                <w:b/>
                <w:bCs/>
                <w:color w:val="FFFFFF"/>
                <w:sz w:val="18"/>
                <w:szCs w:val="18"/>
              </w:rPr>
              <w:t xml:space="preserve">Aléa</w:t>
            </w:r>
          </w:p>
        </w:tc>
        <w:tc>
          <w:tcPr>
            <w:tcW w:type="dxa" w:w="3744"/>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left"/>
            </w:pPr>
            <w:r>
              <w:rPr>
                <w:b/>
                <w:bCs/>
                <w:color w:val="FFFFFF"/>
                <w:sz w:val="18"/>
                <w:szCs w:val="18"/>
              </w:rPr>
              <w:t xml:space="preserve">Effets typiques</w:t>
            </w:r>
          </w:p>
        </w:tc>
        <w:tc>
          <w:tcPr>
            <w:tcW w:type="dxa" w:w="2912"/>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left"/>
            </w:pPr>
            <w:r>
              <w:rPr>
                <w:b/>
                <w:bCs/>
                <w:color w:val="FFFFFF"/>
                <w:sz w:val="18"/>
                <w:szCs w:val="18"/>
              </w:rPr>
              <w:t xml:space="preserve">Présélectionné pour</w:t>
            </w:r>
          </w:p>
        </w:tc>
      </w:tr>
      <w:tr>
        <w:trPr>
          <w:cantSplit/>
        </w:trPr>
        <w:tc>
          <w:tcPr>
            <w:tcW w:type="dxa" w:w="270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8"/>
                <w:szCs w:val="18"/>
              </w:rPr>
              <w:t xml:space="preserve">Chaleur extrême</w:t>
            </w:r>
          </w:p>
        </w:tc>
        <w:tc>
          <w:tcPr>
            <w:tcW w:type="dxa" w:w="374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Rendement des panneaux et des turbines, refroidissement, fréquentation</w:t>
            </w:r>
          </w:p>
        </w:tc>
        <w:tc>
          <w:tcPr>
            <w:tcW w:type="dxa" w:w="291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ENR, EAU, TEL, SAN, ETH, IMMO-REND, AGR, TOU</w:t>
            </w:r>
          </w:p>
        </w:tc>
      </w:tr>
      <w:tr>
        <w:trPr>
          <w:cantSplit/>
        </w:trPr>
        <w:tc>
          <w:tcPr>
            <w:tcW w:type="dxa" w:w="270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8"/>
                <w:szCs w:val="18"/>
              </w:rPr>
              <w:t xml:space="preserve">Stress hydrique et sécheresse</w:t>
            </w:r>
          </w:p>
        </w:tc>
        <w:tc>
          <w:tcPr>
            <w:tcW w:type="dxa" w:w="374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Récoltes, eau de process, eau de refroidissement</w:t>
            </w:r>
          </w:p>
        </w:tc>
        <w:tc>
          <w:tcPr>
            <w:tcW w:type="dxa" w:w="291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ETH, IND, AGR, TOU, MIN</w:t>
            </w:r>
          </w:p>
        </w:tc>
      </w:tr>
      <w:tr>
        <w:trPr>
          <w:cantSplit/>
        </w:trPr>
        <w:tc>
          <w:tcPr>
            <w:tcW w:type="dxa" w:w="270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8"/>
                <w:szCs w:val="18"/>
              </w:rPr>
              <w:t xml:space="preserve">Inondation et crue</w:t>
            </w:r>
          </w:p>
        </w:tc>
        <w:tc>
          <w:tcPr>
            <w:tcW w:type="dxa" w:w="374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Dommages, arrêt d'exploitation, accès coupé</w:t>
            </w:r>
          </w:p>
        </w:tc>
        <w:tc>
          <w:tcPr>
            <w:tcW w:type="dxa" w:w="291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TEL, TRA, SAN, IMMO-REND, IND, MIN</w:t>
            </w:r>
          </w:p>
        </w:tc>
      </w:tr>
      <w:tr>
        <w:trPr>
          <w:cantSplit/>
        </w:trPr>
        <w:tc>
          <w:tcPr>
            <w:tcW w:type="dxa" w:w="270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8"/>
                <w:szCs w:val="18"/>
              </w:rPr>
              <w:t xml:space="preserve">Submersion marine et élévation du niveau de la mer</w:t>
            </w:r>
          </w:p>
        </w:tc>
        <w:tc>
          <w:tcPr>
            <w:tcW w:type="dxa" w:w="374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Prises d'eau, quais, installations côtières</w:t>
            </w:r>
          </w:p>
        </w:tc>
        <w:tc>
          <w:tcPr>
            <w:tcW w:type="dxa" w:w="291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EAU, POR, TOU</w:t>
            </w:r>
          </w:p>
        </w:tc>
      </w:tr>
      <w:tr>
        <w:trPr>
          <w:cantSplit/>
        </w:trPr>
        <w:tc>
          <w:tcPr>
            <w:tcW w:type="dxa" w:w="270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8"/>
                <w:szCs w:val="18"/>
              </w:rPr>
              <w:t xml:space="preserve">Feux de forêt</w:t>
            </w:r>
          </w:p>
        </w:tc>
        <w:tc>
          <w:tcPr>
            <w:tcW w:type="dxa" w:w="374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Dommages, coupures de réseau</w:t>
            </w:r>
          </w:p>
        </w:tc>
        <w:tc>
          <w:tcPr>
            <w:tcW w:type="dxa" w:w="291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ENR, TRA, TOU</w:t>
            </w:r>
          </w:p>
        </w:tc>
      </w:tr>
      <w:tr>
        <w:trPr>
          <w:cantSplit/>
        </w:trPr>
        <w:tc>
          <w:tcPr>
            <w:tcW w:type="dxa" w:w="270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8"/>
                <w:szCs w:val="18"/>
              </w:rPr>
              <w:t xml:space="preserve">Tempêtes, vents violents, vents de sable</w:t>
            </w:r>
          </w:p>
        </w:tc>
        <w:tc>
          <w:tcPr>
            <w:tcW w:type="dxa" w:w="374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Dommages, encrassement des panneaux, arrêt des quais</w:t>
            </w:r>
          </w:p>
        </w:tc>
        <w:tc>
          <w:tcPr>
            <w:tcW w:type="dxa" w:w="291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ENR, EAU, POR</w:t>
            </w:r>
          </w:p>
        </w:tc>
      </w:tr>
    </w:tbl>
    <w:p>
      <w:pPr>
        <w:spacing w:after="120"/>
      </w:pPr>
    </w:p>
    <w:p>
      <w:pPr>
        <w:spacing w:after="140" w:line="300"/>
      </w:pPr>
      <w:r>
        <w:rPr>
          <w:b/>
          <w:bCs/>
        </w:rPr>
        <w:t xml:space="preserve">Sources admises : </w:t>
      </w:r>
      <w:r>
        <w:t xml:space="preserve">étude d'impact environnemental et social, étude climat du projet, rapport du conseiller technique des prêteurs, cartes d'aléas publiques. Citez la pièce et la page (« Étude d'impact p. 42 »).</w:t>
      </w:r>
    </w:p>
    <w:p>
      <w:pPr>
        <w:pStyle w:val="Heading2"/>
      </w:pPr>
      <w:r>
        <w:t xml:space="preserve">8.2 L'exposition déduite et l'alerte d'écart</w:t>
      </w:r>
    </w:p>
    <w:p>
      <w:pPr>
        <w:spacing w:after="140" w:line="300"/>
      </w:pPr>
      <w:r>
        <w:t xml:space="preserve">La fiche déduit l'exposition du site : exposé si au moins un aléa est évalué « Élevé ». L'écran compare cette exposition à la case « Site à risque climatique élevé ? » du bloc 2 et affiche une alerte en cas d'écart :</w:t>
      </w:r>
    </w:p>
    <w:p>
      <w:pPr>
        <w:pStyle w:val="ListParagraph"/>
        <w:numPr>
          <w:ilvl w:val="0"/>
          <w:numId w:val="3"/>
        </w:numPr>
        <w:spacing w:after="70" w:line="290"/>
      </w:pPr>
      <w:r>
        <w:t xml:space="preserve">« La fiche signale un aléa élevé, mais le bloc 2 déclare le site non exposé : corrigez l'un ou l'autre, ou justifiez l'écart. »</w:t>
      </w:r>
    </w:p>
    <w:p>
      <w:pPr>
        <w:pStyle w:val="ListParagraph"/>
        <w:numPr>
          <w:ilvl w:val="0"/>
          <w:numId w:val="3"/>
        </w:numPr>
        <w:spacing w:after="70" w:line="290"/>
      </w:pPr>
      <w:r>
        <w:t xml:space="preserve">« Le bloc 2 déclare le site exposé, mais aucun aléa n'est évalué élevé dans la fiche. »</w:t>
      </w:r>
    </w:p>
    <w:p>
      <w:pPr>
        <w:spacing w:after="140" w:line="300"/>
      </w:pPr>
      <w:r>
        <w:t xml:space="preserve">Au lot 1, c'est la case du bloc 2 qui compte pour le calcul (analyse approfondie, plafond C11).</w:t>
      </w:r>
    </w:p>
    <w:p>
      <w:pPr>
        <w:pStyle w:val="Heading2"/>
      </w:pPr>
      <w:r>
        <w:t xml:space="preserve">8.3 Le risque de transition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12"/>
        <w:gridCol w:w="6448"/>
      </w:tblGrid>
      <w:tr>
        <w:trPr>
          <w:tblHeader/>
        </w:trPr>
        <w:tc>
          <w:tcPr>
            <w:tcW w:type="dxa" w:w="2912"/>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left"/>
            </w:pPr>
            <w:r>
              <w:rPr>
                <w:b/>
                <w:bCs/>
                <w:color w:val="FFFFFF"/>
                <w:sz w:val="19"/>
                <w:szCs w:val="19"/>
              </w:rPr>
              <w:t xml:space="preserve">Champ</w:t>
            </w:r>
          </w:p>
        </w:tc>
        <w:tc>
          <w:tcPr>
            <w:tcW w:type="dxa" w:w="6448"/>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left"/>
            </w:pPr>
            <w:r>
              <w:rPr>
                <w:b/>
                <w:bCs/>
                <w:color w:val="FFFFFF"/>
                <w:sz w:val="19"/>
                <w:szCs w:val="19"/>
              </w:rPr>
              <w:t xml:space="preserve">Ce que vous saisissez</w:t>
            </w:r>
          </w:p>
        </w:tc>
      </w:tr>
      <w:tr>
        <w:trPr>
          <w:cantSplit/>
        </w:trPr>
        <w:tc>
          <w:tcPr>
            <w:tcW w:type="dxa" w:w="291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9"/>
                <w:szCs w:val="19"/>
              </w:rPr>
              <w:t xml:space="preserve">Émissions annuelles, scopes 1 et 2</w:t>
            </w:r>
          </w:p>
        </w:tc>
        <w:tc>
          <w:tcPr>
            <w:tcW w:type="dxa" w:w="6448"/>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En tCO₂e par an, telles que l'étude d'impact, le bilan carbone ou le rapport des bailleurs les donne.</w:t>
            </w:r>
          </w:p>
        </w:tc>
      </w:tr>
      <w:tr>
        <w:trPr>
          <w:cantSplit/>
        </w:trPr>
        <w:tc>
          <w:tcPr>
            <w:tcW w:type="dxa" w:w="291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9"/>
                <w:szCs w:val="19"/>
              </w:rPr>
              <w:t xml:space="preserve">Exportations vers l'UE soumises au MACF</w:t>
            </w:r>
          </w:p>
        </w:tc>
        <w:tc>
          <w:tcPr>
            <w:tcW w:type="dxa" w:w="6448"/>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Part du chiffre d'affaires exportée vers l'Union européenne en produits couverts par le mécanisme d'ajustement carbone aux frontières : ciment, fer et acier, aluminium, engrais, hydrogène, électricité. 0 si le projet n'en exporte pas.</w:t>
            </w:r>
          </w:p>
        </w:tc>
      </w:tr>
      <w:tr>
        <w:trPr>
          <w:cantSplit/>
        </w:trPr>
        <w:tc>
          <w:tcPr>
            <w:tcW w:type="dxa" w:w="291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9"/>
                <w:szCs w:val="19"/>
              </w:rPr>
              <w:t xml:space="preserve">Actif dépendant des énergies fossiles ?</w:t>
            </w:r>
          </w:p>
        </w:tc>
        <w:tc>
          <w:tcPr>
            <w:tcW w:type="dxa" w:w="6448"/>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Oui si la production, le combustible ou le procédé principal dépend du charbon, du fioul ou du gaz.</w:t>
            </w:r>
          </w:p>
        </w:tc>
      </w:tr>
      <w:tr>
        <w:trPr>
          <w:cantSplit/>
        </w:trPr>
        <w:tc>
          <w:tcPr>
            <w:tcW w:type="dxa" w:w="291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9"/>
                <w:szCs w:val="19"/>
              </w:rPr>
              <w:t xml:space="preserve">Plan de transition crédible et financé ?</w:t>
            </w:r>
          </w:p>
        </w:tc>
        <w:tc>
          <w:tcPr>
            <w:tcW w:type="dxa" w:w="6448"/>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Oui si un plan de réduction des émissions ou de sortie des énergies fossiles est documenté, daté et financé.</w:t>
            </w:r>
          </w:p>
        </w:tc>
      </w:tr>
    </w:tbl>
    <w:p>
      <w:pPr>
        <w:spacing w:after="120"/>
      </w:pPr>
    </w:p>
    <w:p>
      <w:pPr>
        <w:spacing w:after="140" w:line="300"/>
      </w:pPr>
      <w:r>
        <w:t xml:space="preserve">L'outil en déduit un niveau de transition indicatif, établi seulement quand les trois données (émissions, exportations MACF, actif fossile) sont connues : une donnée manquante pourrait cacher un risque élevé.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8"/>
        <w:gridCol w:w="8112"/>
      </w:tblGrid>
      <w:tr>
        <w:trPr>
          <w:tblHeader/>
        </w:trPr>
        <w:tc>
          <w:tcPr>
            <w:tcW w:type="dxa" w:w="1248"/>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left"/>
            </w:pPr>
            <w:r>
              <w:rPr>
                <w:b/>
                <w:bCs/>
                <w:color w:val="FFFFFF"/>
                <w:sz w:val="19"/>
                <w:szCs w:val="19"/>
              </w:rPr>
              <w:t xml:space="preserve">Niveau</w:t>
            </w:r>
          </w:p>
        </w:tc>
        <w:tc>
          <w:tcPr>
            <w:tcW w:type="dxa" w:w="8112"/>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left"/>
            </w:pPr>
            <w:r>
              <w:rPr>
                <w:b/>
                <w:bCs/>
                <w:color w:val="FFFFFF"/>
                <w:sz w:val="19"/>
                <w:szCs w:val="19"/>
              </w:rPr>
              <w:t xml:space="preserve">Au moins une de ces conditions</w:t>
            </w:r>
          </w:p>
        </w:tc>
      </w:tr>
      <w:tr>
        <w:trPr>
          <w:cantSplit/>
        </w:trPr>
        <w:tc>
          <w:tcPr>
            <w:tcW w:type="dxa" w:w="1248"/>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9"/>
                <w:szCs w:val="19"/>
              </w:rPr>
              <w:t xml:space="preserve">Élevé</w:t>
            </w:r>
          </w:p>
        </w:tc>
        <w:tc>
          <w:tcPr>
            <w:tcW w:type="dxa" w:w="811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Émissions supérieures à 100 000 tCO₂e par an (repère d'analyse des alternatives des Principes de l'Équateur) ; exportations MACF d'au moins 20 % du chiffre d'affaires ; actif fossile sans plan de transition</w:t>
            </w:r>
          </w:p>
        </w:tc>
      </w:tr>
      <w:tr>
        <w:trPr>
          <w:cantSplit/>
        </w:trPr>
        <w:tc>
          <w:tcPr>
            <w:tcW w:type="dxa" w:w="1248"/>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9"/>
                <w:szCs w:val="19"/>
              </w:rPr>
              <w:t xml:space="preserve">Moyen</w:t>
            </w:r>
          </w:p>
        </w:tc>
        <w:tc>
          <w:tcPr>
            <w:tcW w:type="dxa" w:w="811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Émissions supérieures à 25 000 tCO₂e par an (repère de quantification de la SFI) ; exportations MACF non nulles ; actif fossile avec plan de transition</w:t>
            </w:r>
          </w:p>
        </w:tc>
      </w:tr>
      <w:tr>
        <w:trPr>
          <w:cantSplit/>
        </w:trPr>
        <w:tc>
          <w:tcPr>
            <w:tcW w:type="dxa" w:w="1248"/>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9"/>
                <w:szCs w:val="19"/>
              </w:rPr>
              <w:t xml:space="preserve">Faible</w:t>
            </w:r>
          </w:p>
        </w:tc>
        <w:tc>
          <w:tcPr>
            <w:tcW w:type="dxa" w:w="8112"/>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Émissions, exportations MACF et actif fossile renseignés, aucune des conditions ci-dessus</w:t>
            </w:r>
          </w:p>
        </w:tc>
      </w:tr>
    </w:tbl>
    <w:p>
      <w:pPr>
        <w:spacing w:after="120"/>
      </w:pPr>
    </w:p>
    <w:p>
      <w:pPr>
        <w:pStyle w:val="Heading2"/>
      </w:pPr>
      <w:r>
        <w:t xml:space="preserve">8.4 Le scénario climatique</w:t>
      </w:r>
    </w:p>
    <w:p>
      <w:pPr>
        <w:spacing w:after="140" w:line="300"/>
      </w:pPr>
      <w:r>
        <w:t xml:space="preserve">Un aléa plausible pour le site, chiffré en baisse du CFADS. L'onglet affiche le scénario climatique de référence du secteur (bouton « Reprendre cette description ») et la même aide au calcul qu'au bloc 6. L'outil calcule le DSCR minimum climatique et le classe selon les seuils du dossier. Au lot 1, il est indicatif : il n'a pas d'effet sur la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6"/>
        <w:gridCol w:w="7904"/>
      </w:tblGrid>
      <w:tr>
        <w:trPr>
          <w:tblHeader/>
        </w:trPr>
        <w:tc>
          <w:tcPr>
            <w:tcW w:type="dxa" w:w="1456"/>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left"/>
            </w:pPr>
            <w:r>
              <w:rPr>
                <w:b/>
                <w:bCs/>
                <w:color w:val="FFFFFF"/>
                <w:sz w:val="18"/>
                <w:szCs w:val="18"/>
              </w:rPr>
              <w:t xml:space="preserve">Secteur</w:t>
            </w:r>
          </w:p>
        </w:tc>
        <w:tc>
          <w:tcPr>
            <w:tcW w:type="dxa" w:w="7904"/>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left"/>
            </w:pPr>
            <w:r>
              <w:rPr>
                <w:b/>
                <w:bCs/>
                <w:color w:val="FFFFFF"/>
                <w:sz w:val="18"/>
                <w:szCs w:val="18"/>
              </w:rPr>
              <w:t xml:space="preserve">Scénario climatique de référence (valeurs candidates)</w:t>
            </w:r>
          </w:p>
        </w:tc>
      </w:tr>
      <w:tr>
        <w:trPr>
          <w:cantSplit/>
        </w:trPr>
        <w:tc>
          <w:tcPr>
            <w:tcW w:type="dxa" w:w="145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8"/>
                <w:szCs w:val="18"/>
              </w:rPr>
              <w:t xml:space="preserve">ENR</w:t>
            </w:r>
          </w:p>
        </w:tc>
        <w:tc>
          <w:tcPr>
            <w:tcW w:type="dxa" w:w="790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Canicule prolongée et vents de sable : production − 5 %, charges de nettoyage + 5 %</w:t>
            </w:r>
          </w:p>
        </w:tc>
      </w:tr>
      <w:tr>
        <w:trPr>
          <w:cantSplit/>
        </w:trPr>
        <w:tc>
          <w:tcPr>
            <w:tcW w:type="dxa" w:w="145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8"/>
                <w:szCs w:val="18"/>
              </w:rPr>
              <w:t xml:space="preserve">EAU</w:t>
            </w:r>
          </w:p>
        </w:tc>
        <w:tc>
          <w:tcPr>
            <w:tcW w:type="dxa" w:w="790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Tempête : prise d'eau indisponible un mois (redevance − 8 %), réparations (charges + 5 %)</w:t>
            </w:r>
          </w:p>
        </w:tc>
      </w:tr>
      <w:tr>
        <w:trPr>
          <w:cantSplit/>
        </w:trPr>
        <w:tc>
          <w:tcPr>
            <w:tcW w:type="dxa" w:w="145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8"/>
                <w:szCs w:val="18"/>
              </w:rPr>
              <w:t xml:space="preserve">TEL</w:t>
            </w:r>
          </w:p>
        </w:tc>
        <w:tc>
          <w:tcPr>
            <w:tcW w:type="dxa" w:w="790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Canicule : surcoût de refroidissement (charges + 15 %)</w:t>
            </w:r>
          </w:p>
        </w:tc>
      </w:tr>
      <w:tr>
        <w:trPr>
          <w:cantSplit/>
        </w:trPr>
        <w:tc>
          <w:tcPr>
            <w:tcW w:type="dxa" w:w="145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8"/>
                <w:szCs w:val="18"/>
              </w:rPr>
              <w:t xml:space="preserve">TRA</w:t>
            </w:r>
          </w:p>
        </w:tc>
        <w:tc>
          <w:tcPr>
            <w:tcW w:type="dxa" w:w="790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Crue : section coupée deux mois (trafic − 10 %), réparations (charges + 10 %)</w:t>
            </w:r>
          </w:p>
        </w:tc>
      </w:tr>
      <w:tr>
        <w:trPr>
          <w:cantSplit/>
        </w:trPr>
        <w:tc>
          <w:tcPr>
            <w:tcW w:type="dxa" w:w="145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8"/>
                <w:szCs w:val="18"/>
              </w:rPr>
              <w:t xml:space="preserve">POR</w:t>
            </w:r>
          </w:p>
        </w:tc>
        <w:tc>
          <w:tcPr>
            <w:tcW w:type="dxa" w:w="790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Tempête : quais arrêtés trois semaines (− 6 %), réparations (charges + 10 %)</w:t>
            </w:r>
          </w:p>
        </w:tc>
      </w:tr>
      <w:tr>
        <w:trPr>
          <w:cantSplit/>
        </w:trPr>
        <w:tc>
          <w:tcPr>
            <w:tcW w:type="dxa" w:w="145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8"/>
                <w:szCs w:val="18"/>
              </w:rPr>
              <w:t xml:space="preserve">SAN</w:t>
            </w:r>
          </w:p>
        </w:tc>
        <w:tc>
          <w:tcPr>
            <w:tcW w:type="dxa" w:w="790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Inondation : pénalités de disponibilité (− 3 %), remise en état (charges + 10 %)</w:t>
            </w:r>
          </w:p>
        </w:tc>
      </w:tr>
      <w:tr>
        <w:trPr>
          <w:cantSplit/>
        </w:trPr>
        <w:tc>
          <w:tcPr>
            <w:tcW w:type="dxa" w:w="145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8"/>
                <w:szCs w:val="18"/>
              </w:rPr>
              <w:t xml:space="preserve">ETH</w:t>
            </w:r>
          </w:p>
        </w:tc>
        <w:tc>
          <w:tcPr>
            <w:tcW w:type="dxa" w:w="790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Canicule et restriction d'eau de refroidissement (− 8 %), prix du carbone (charges + 15 %)</w:t>
            </w:r>
          </w:p>
        </w:tc>
      </w:tr>
      <w:tr>
        <w:trPr>
          <w:cantSplit/>
        </w:trPr>
        <w:tc>
          <w:tcPr>
            <w:tcW w:type="dxa" w:w="145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8"/>
                <w:szCs w:val="18"/>
              </w:rPr>
              <w:t xml:space="preserve">IMMO-REND</w:t>
            </w:r>
          </w:p>
        </w:tc>
        <w:tc>
          <w:tcPr>
            <w:tcW w:type="dxa" w:w="790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Inondation : locaux indisponibles deux mois (loyers − 15 %), réparations (charges + 10 %)</w:t>
            </w:r>
          </w:p>
        </w:tc>
      </w:tr>
      <w:tr>
        <w:trPr>
          <w:cantSplit/>
        </w:trPr>
        <w:tc>
          <w:tcPr>
            <w:tcW w:type="dxa" w:w="145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8"/>
                <w:szCs w:val="18"/>
              </w:rPr>
              <w:t xml:space="preserve">IND</w:t>
            </w:r>
          </w:p>
        </w:tc>
        <w:tc>
          <w:tcPr>
            <w:tcW w:type="dxa" w:w="790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Sécheresse : restrictions d'eau de process (volumes − 10 %), coût de l'eau et du carbone (charges + 10 %)</w:t>
            </w:r>
          </w:p>
        </w:tc>
      </w:tr>
      <w:tr>
        <w:trPr>
          <w:cantSplit/>
        </w:trPr>
        <w:tc>
          <w:tcPr>
            <w:tcW w:type="dxa" w:w="145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8"/>
                <w:szCs w:val="18"/>
              </w:rPr>
              <w:t xml:space="preserve">AGR</w:t>
            </w:r>
          </w:p>
        </w:tc>
        <w:tc>
          <w:tcPr>
            <w:tcW w:type="dxa" w:w="790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Sécheresse sur deux campagnes consécutives : récolte − 35 %, charges + 5 %</w:t>
            </w:r>
          </w:p>
        </w:tc>
      </w:tr>
      <w:tr>
        <w:trPr>
          <w:cantSplit/>
        </w:trPr>
        <w:tc>
          <w:tcPr>
            <w:tcW w:type="dxa" w:w="145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8"/>
                <w:szCs w:val="18"/>
              </w:rPr>
              <w:t xml:space="preserve">TOU</w:t>
            </w:r>
          </w:p>
        </w:tc>
        <w:tc>
          <w:tcPr>
            <w:tcW w:type="dxa" w:w="790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Canicule et pénurie d'eau : fréquentation − 20 %, charges + 10 %</w:t>
            </w:r>
          </w:p>
        </w:tc>
      </w:tr>
      <w:tr>
        <w:trPr>
          <w:cantSplit/>
        </w:trPr>
        <w:tc>
          <w:tcPr>
            <w:tcW w:type="dxa" w:w="145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8"/>
                <w:szCs w:val="18"/>
              </w:rPr>
              <w:t xml:space="preserve">MIN</w:t>
            </w:r>
          </w:p>
        </w:tc>
        <w:tc>
          <w:tcPr>
            <w:tcW w:type="dxa" w:w="790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8"/>
                <w:szCs w:val="18"/>
              </w:rPr>
              <w:t xml:space="preserve">Sécheresse : restrictions d'eau (production − 15 %), charges + 10 %</w:t>
            </w:r>
          </w:p>
        </w:tc>
      </w:tr>
    </w:tbl>
    <w:p>
      <w:pPr>
        <w:spacing w:after="120"/>
      </w:pPr>
    </w:p>
    <w:p>
      <w:pPr>
        <w:pStyle w:val="Heading2"/>
      </w:pPr>
      <w:r>
        <w:t xml:space="preserve">8.5 La synthèse et la fiche 2/W/2025</w:t>
      </w:r>
    </w:p>
    <w:p>
      <w:pPr>
        <w:pStyle w:val="ListParagraph"/>
        <w:numPr>
          <w:ilvl w:val="0"/>
          <w:numId w:val="3"/>
        </w:numPr>
        <w:spacing w:after="70" w:line="290"/>
      </w:pPr>
      <w:r>
        <w:t xml:space="preserve">La complétude de la fiche (aléas présélectionnés évalués, localisation, données de transition, scénario climatique).</w:t>
      </w:r>
    </w:p>
    <w:p>
      <w:pPr>
        <w:pStyle w:val="ListParagraph"/>
        <w:numPr>
          <w:ilvl w:val="0"/>
          <w:numId w:val="3"/>
        </w:numPr>
        <w:spacing w:after="70" w:line="290"/>
      </w:pPr>
      <w:r>
        <w:t xml:space="preserve">Un aperçu des plafonds que le lot 2 déclencherait avec les données actuelles (C11, C16, C17), non appliqués au lot 1.</w:t>
      </w:r>
    </w:p>
    <w:p>
      <w:pPr>
        <w:pStyle w:val="ListParagraph"/>
        <w:numPr>
          <w:ilvl w:val="0"/>
          <w:numId w:val="3"/>
        </w:numPr>
        <w:spacing w:after="70" w:line="290"/>
      </w:pPr>
      <w:r>
        <w:t xml:space="preserve">L'export de la fiche au format CSV (séparateur « ; »), pour le reporting grands emprunteurs de la directive 2/W/2025.</w:t>
      </w:r>
    </w:p>
    <w:p>
      <w:pPr>
        <w:pStyle w:val="Heading2"/>
      </w:pPr>
      <w:r>
        <w:t xml:space="preserve">8.6 Le lot 2 : quand la fiche entre dans la note</w:t>
      </w:r>
    </w:p>
    <w:p>
      <w:pPr>
        <w:spacing w:after="140" w:line="300"/>
      </w:pPr>
      <w:r>
        <w:t xml:space="preserve">Le lot 2 est commandé par un paramètre (« Activer le lot 2 », écran Paramétrage du modèle PF), inactif par défaut. Une fois activé, les règles suivantes s'appliquent aux scorings au brouillon ; les scorings soumis ou validés gardent les paramètres de leur calcul.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96"/>
        <w:gridCol w:w="6864"/>
      </w:tblGrid>
      <w:tr>
        <w:trPr>
          <w:tblHeader/>
        </w:trPr>
        <w:tc>
          <w:tcPr>
            <w:tcW w:type="dxa" w:w="2496"/>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left"/>
            </w:pPr>
            <w:r>
              <w:rPr>
                <w:b/>
                <w:bCs/>
                <w:color w:val="FFFFFF"/>
                <w:sz w:val="19"/>
                <w:szCs w:val="19"/>
              </w:rPr>
              <w:t xml:space="preserve">Règle</w:t>
            </w:r>
          </w:p>
        </w:tc>
        <w:tc>
          <w:tcPr>
            <w:tcW w:type="dxa" w:w="6864"/>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left"/>
            </w:pPr>
            <w:r>
              <w:rPr>
                <w:b/>
                <w:bCs/>
                <w:color w:val="FFFFFF"/>
                <w:sz w:val="19"/>
                <w:szCs w:val="19"/>
              </w:rPr>
              <w:t xml:space="preserve">Effet avec le lot 2 actif</w:t>
            </w:r>
          </w:p>
        </w:tc>
      </w:tr>
      <w:tr>
        <w:trPr>
          <w:cantSplit/>
        </w:trPr>
        <w:tc>
          <w:tcPr>
            <w:tcW w:type="dxa" w:w="249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9"/>
                <w:szCs w:val="19"/>
              </w:rPr>
              <w:t xml:space="preserve">Exposition</w:t>
            </w:r>
          </w:p>
        </w:tc>
        <w:tc>
          <w:tcPr>
            <w:tcW w:type="dxa" w:w="686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Déduite de la fiche : exposé si au moins un aléa est « Élevé » ; à défaut d'aléa évalué, la case du bloc 2. Un site exposé passe en analyse approfondie (régime L).</w:t>
            </w:r>
          </w:p>
        </w:tc>
      </w:tr>
      <w:tr>
        <w:trPr>
          <w:cantSplit/>
        </w:trPr>
        <w:tc>
          <w:tcPr>
            <w:tcW w:type="dxa" w:w="249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9"/>
                <w:szCs w:val="19"/>
              </w:rPr>
              <w:t xml:space="preserve">C11 révisé (note max. 6)</w:t>
            </w:r>
          </w:p>
        </w:tc>
        <w:tc>
          <w:tcPr>
            <w:tcW w:type="dxa" w:w="686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Au moins un aléa élevé sans adaptation financée ; l'adaptation se renseigne aléa par aléa.</w:t>
            </w:r>
          </w:p>
        </w:tc>
      </w:tr>
      <w:tr>
        <w:trPr>
          <w:cantSplit/>
        </w:trPr>
        <w:tc>
          <w:tcPr>
            <w:tcW w:type="dxa" w:w="249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9"/>
                <w:szCs w:val="19"/>
              </w:rPr>
              <w:t xml:space="preserve">C17 (note max. 5)</w:t>
            </w:r>
          </w:p>
        </w:tc>
        <w:tc>
          <w:tcPr>
            <w:tcW w:type="dxa" w:w="686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Au moins deux aléas pertinents élevés sans adaptation financée.</w:t>
            </w:r>
          </w:p>
        </w:tc>
      </w:tr>
      <w:tr>
        <w:trPr>
          <w:cantSplit/>
        </w:trPr>
        <w:tc>
          <w:tcPr>
            <w:tcW w:type="dxa" w:w="249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9"/>
                <w:szCs w:val="19"/>
              </w:rPr>
              <w:t xml:space="preserve">C16 (note max. 6)</w:t>
            </w:r>
          </w:p>
        </w:tc>
        <w:tc>
          <w:tcPr>
            <w:tcW w:type="dxa" w:w="686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Niveau de transition élevé sans plan de transition crédible et financé.</w:t>
            </w:r>
          </w:p>
        </w:tc>
      </w:tr>
      <w:tr>
        <w:trPr>
          <w:cantSplit/>
        </w:trPr>
        <w:tc>
          <w:tcPr>
            <w:tcW w:type="dxa" w:w="249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9"/>
                <w:szCs w:val="19"/>
              </w:rPr>
              <w:t xml:space="preserve">D9.5 « risque de transition »</w:t>
            </w:r>
          </w:p>
        </w:tc>
        <w:tc>
          <w:tcPr>
            <w:tcW w:type="dxa" w:w="686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Sous-critère calculé : Faible 100, Moyen 80, Élevé avec plan 50, Élevé sans plan 20 ; données absentes : « Info. insuffisante ». Poids 15 % de D9, les autres devenant D9.1 25 %, D9.2 25 %, D9.3 10 %, D9.4 25 %. D9 reste à 5 % du score.</w:t>
            </w:r>
          </w:p>
        </w:tc>
      </w:tr>
      <w:tr>
        <w:trPr>
          <w:cantSplit/>
        </w:trPr>
        <w:tc>
          <w:tcPr>
            <w:tcW w:type="dxa" w:w="249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9"/>
                <w:szCs w:val="19"/>
              </w:rPr>
              <w:t xml:space="preserve">N2</w:t>
            </w:r>
          </w:p>
        </w:tc>
        <w:tc>
          <w:tcPr>
            <w:tcW w:type="dxa" w:w="686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Sur un site exposé, le DSCR stressé retenu est le plus bas du scénario financier (bloc 6) et du scénario climatique.</w:t>
            </w:r>
          </w:p>
        </w:tc>
      </w:tr>
      <w:tr>
        <w:trPr>
          <w:cantSplit/>
        </w:trPr>
        <w:tc>
          <w:tcPr>
            <w:tcW w:type="dxa" w:w="249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9"/>
                <w:szCs w:val="19"/>
              </w:rPr>
              <w:t xml:space="preserve">Contrôles de saisie</w:t>
            </w:r>
          </w:p>
        </w:tc>
        <w:tc>
          <w:tcPr>
            <w:tcW w:type="dxa" w:w="686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Exposition des aléas présélectionnés ; adaptation de chaque aléa élevé ; émissions, exportations MACF et actif fossile ; plan de transition si l'actif est fossile ou le niveau élevé ; scénario climatique d'un site exposé.</w:t>
            </w:r>
          </w:p>
        </w:tc>
      </w:tr>
    </w:tbl>
    <w:p>
      <w:pPr>
        <w:spacing w:after="120"/>
      </w:pPr>
    </w:p>
    <w:p>
      <w:pPr>
        <w:spacing w:after="140" w:line="300"/>
      </w:pPr>
      <w:r>
        <w:t xml:space="preserve">Tant que les données de transition manquent, D9.5 est en « Info. insuffisante » : l'évaluation est partielle (plafond C15, blocage B7) jusqu'à ce que la fiche soit complétée.</w:t>
      </w:r>
    </w:p>
    <w:p>
      <w:pPr>
        <w:pStyle w:val="Heading1"/>
      </w:pPr>
      <w:r>
        <w:t xml:space="preserve">9. Les champs proposés par l'IA</w:t>
      </w:r>
    </w:p>
    <w:p>
      <w:pPr>
        <w:spacing w:after="140" w:line="300"/>
      </w:pPr>
      <w:r>
        <w:t xml:space="preserve">Dans le panneau « Pièces du dossier », l'analyste dépose les pièces (modèle financier, contrats, études, états financiers) et lance l'analyse. L'IA lit les pièces et propose une valeur pour chaque champ qu'elle trouve, avec la pièce et la page citées, un niveau de confiance et une justification. Rien n'est écrit dans la saisie sans la validation de l'analyste.</w:t>
      </w:r>
    </w:p>
    <w:p>
      <w:pPr>
        <w:pStyle w:val="Heading2"/>
      </w:pPr>
      <w:r>
        <w:t xml:space="preserve">9.1 Ce que l'IA propose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6"/>
        <w:gridCol w:w="7904"/>
      </w:tblGrid>
      <w:tr>
        <w:trPr>
          <w:tblHeader/>
        </w:trPr>
        <w:tc>
          <w:tcPr>
            <w:tcW w:type="dxa" w:w="1456"/>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left"/>
            </w:pPr>
            <w:r>
              <w:rPr>
                <w:b/>
                <w:bCs/>
                <w:color w:val="FFFFFF"/>
                <w:sz w:val="19"/>
                <w:szCs w:val="19"/>
              </w:rPr>
              <w:t xml:space="preserve">Bloc</w:t>
            </w:r>
          </w:p>
        </w:tc>
        <w:tc>
          <w:tcPr>
            <w:tcW w:type="dxa" w:w="7904"/>
            <w:tcBorders>
              <w:top w:val="single" w:color="D9D9D9" w:sz="4"/>
              <w:left w:val="single" w:color="D9D9D9" w:sz="4"/>
              <w:bottom w:val="single" w:color="D9D9D9" w:sz="4"/>
              <w:right w:val="single" w:color="D9D9D9" w:sz="4"/>
            </w:tcBorders>
            <w:shd w:fill="E8790F" w:color="auto" w:val="clear"/>
            <w:tcMar>
              <w:top w:type="dxa" w:w="50"/>
              <w:left w:type="dxa" w:w="90"/>
              <w:bottom w:type="dxa" w:w="50"/>
              <w:right w:type="dxa" w:w="90"/>
            </w:tcMar>
          </w:tcPr>
          <w:p>
            <w:pPr>
              <w:jc w:val="left"/>
            </w:pPr>
            <w:r>
              <w:rPr>
                <w:b/>
                <w:bCs/>
                <w:color w:val="FFFFFF"/>
                <w:sz w:val="19"/>
                <w:szCs w:val="19"/>
              </w:rPr>
              <w:t xml:space="preserve">Champs proposés</w:t>
            </w:r>
          </w:p>
        </w:tc>
      </w:tr>
      <w:tr>
        <w:trPr>
          <w:cantSplit/>
        </w:trPr>
        <w:tc>
          <w:tcPr>
            <w:tcW w:type="dxa" w:w="145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9"/>
                <w:szCs w:val="19"/>
              </w:rPr>
              <w:t xml:space="preserve">1 et 2</w:t>
            </w:r>
          </w:p>
        </w:tc>
        <w:tc>
          <w:tcPr>
            <w:tcW w:type="dxa" w:w="790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Régime de revenus, secteur, phase, périodicité ; données de proportionnalité, dont la case « site à risque climatique élevé »</w:t>
            </w:r>
          </w:p>
        </w:tc>
      </w:tr>
      <w:tr>
        <w:trPr>
          <w:cantSplit/>
        </w:trPr>
        <w:tc>
          <w:tcPr>
            <w:tcW w:type="dxa" w:w="145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9"/>
                <w:szCs w:val="19"/>
              </w:rPr>
              <w:t xml:space="preserve">3 à 5</w:t>
            </w:r>
          </w:p>
        </w:tc>
        <w:tc>
          <w:tcPr>
            <w:tcW w:type="dxa" w:w="790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Emplois et ressources du plan de financement ; données sectorielles ; hypothèses d'exploitation clés</w:t>
            </w:r>
          </w:p>
        </w:tc>
      </w:tr>
      <w:tr>
        <w:trPr>
          <w:cantSplit/>
        </w:trPr>
        <w:tc>
          <w:tcPr>
            <w:tcW w:type="dxa" w:w="145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9"/>
                <w:szCs w:val="19"/>
              </w:rPr>
              <w:t xml:space="preserve">6</w:t>
            </w:r>
          </w:p>
        </w:tc>
        <w:tc>
          <w:tcPr>
            <w:tcW w:type="dxa" w:w="790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Échéancier (CFADS central, service de la dette, CFADS défavorable) ; choc du scénario défavorable et sa description</w:t>
            </w:r>
          </w:p>
        </w:tc>
      </w:tr>
      <w:tr>
        <w:trPr>
          <w:cantSplit/>
        </w:trPr>
        <w:tc>
          <w:tcPr>
            <w:tcW w:type="dxa" w:w="145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9"/>
                <w:szCs w:val="19"/>
              </w:rPr>
              <w:t xml:space="preserve">7</w:t>
            </w:r>
          </w:p>
        </w:tc>
        <w:tc>
          <w:tcPr>
            <w:tcW w:type="dxa" w:w="790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N3 hors construction, situations de N4 à N6 ; données des plafonds (LLCR, DSRA, devises, refinancement, acheteur, contrats…)</w:t>
            </w:r>
          </w:p>
        </w:tc>
      </w:tr>
      <w:tr>
        <w:trPr>
          <w:cantSplit/>
        </w:trPr>
        <w:tc>
          <w:tcPr>
            <w:tcW w:type="dxa" w:w="145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9"/>
                <w:szCs w:val="19"/>
              </w:rPr>
              <w:t xml:space="preserve">8</w:t>
            </w:r>
          </w:p>
        </w:tc>
        <w:tc>
          <w:tcPr>
            <w:tcW w:type="dxa" w:w="790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Situation de chaque sous-critère de la grille ; commentaire de synthèse de chacun des 9 domaines</w:t>
            </w:r>
          </w:p>
        </w:tc>
      </w:tr>
      <w:tr>
        <w:trPr>
          <w:cantSplit/>
        </w:trPr>
        <w:tc>
          <w:tcPr>
            <w:tcW w:type="dxa" w:w="145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9"/>
                <w:szCs w:val="19"/>
              </w:rPr>
              <w:t xml:space="preserve">13</w:t>
            </w:r>
          </w:p>
        </w:tc>
        <w:tc>
          <w:tcPr>
            <w:tcW w:type="dxa" w:w="790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Synthèse de l'analyste, forces, faiblesses et mitigants, conditions proposées</w:t>
            </w:r>
          </w:p>
        </w:tc>
      </w:tr>
      <w:tr>
        <w:trPr>
          <w:cantSplit/>
        </w:trPr>
        <w:tc>
          <w:tcPr>
            <w:tcW w:type="dxa" w:w="1456"/>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b/>
                <w:bCs/>
                <w:color w:val="333333"/>
                <w:sz w:val="19"/>
                <w:szCs w:val="19"/>
              </w:rPr>
              <w:t xml:space="preserve">14 (Climat)</w:t>
            </w:r>
          </w:p>
        </w:tc>
        <w:tc>
          <w:tcPr>
            <w:tcW w:type="dxa" w:w="7904"/>
            <w:tcBorders>
              <w:top w:val="single" w:color="D9D9D9" w:sz="4"/>
              <w:left w:val="single" w:color="D9D9D9" w:sz="4"/>
              <w:bottom w:val="single" w:color="D9D9D9" w:sz="4"/>
              <w:right w:val="single" w:color="D9D9D9" w:sz="4"/>
            </w:tcBorders>
            <w:shd w:fill="FFFFFF" w:color="auto" w:val="clear"/>
            <w:tcMar>
              <w:top w:type="dxa" w:w="50"/>
              <w:left w:type="dxa" w:w="90"/>
              <w:bottom w:type="dxa" w:w="50"/>
              <w:right w:type="dxa" w:w="90"/>
            </w:tcMar>
          </w:tcPr>
          <w:p>
            <w:pPr>
              <w:jc w:val="left"/>
            </w:pPr>
            <w:r>
              <w:rPr>
                <w:color w:val="333333"/>
                <w:sz w:val="19"/>
                <w:szCs w:val="19"/>
              </w:rPr>
              <w:t xml:space="preserve">Localisation du site ; exposition et adaptation de chaque aléa ; émissions, exportations MACF, actif fossile, plan de transition ; scénario climatique (baisse du CFADS et description)</w:t>
            </w:r>
          </w:p>
        </w:tc>
      </w:tr>
    </w:tbl>
    <w:p>
      <w:pPr>
        <w:spacing w:after="120"/>
      </w:pPr>
    </w:p>
    <w:p>
      <w:pPr>
        <w:spacing w:after="140" w:line="300"/>
      </w:pPr>
      <w:r>
        <w:rPr>
          <w:b/>
          <w:bCs/>
        </w:rPr>
        <w:t xml:space="preserve">Le calcul du choc. </w:t>
      </w:r>
      <w:r>
        <w:t xml:space="preserve">L'IA a une consigne précise : si le modèle financier ou le rapport des prêteurs donne un cas défavorable, (CFADS central − CFADS défavorable) ÷ CFADS central sur une année type ; sinon, à partir des hypothèses défavorables documentées (P90 de l'étude de productible, cas bas de l'étude de trafic…), (recettes perdues + charges supplémentaires) ÷ CFADS central. Elle indique le calcul et les pièces dans sa justification. La même règle vaut pour le scénario climatique.</w:t>
      </w:r>
    </w:p>
    <w:p>
      <w:pPr>
        <w:pStyle w:val="Heading2"/>
      </w:pPr>
      <w:r>
        <w:t xml:space="preserve">9.2 Ce qui reste à l'analyste</w:t>
      </w:r>
    </w:p>
    <w:p>
      <w:pPr>
        <w:pStyle w:val="ListParagraph"/>
        <w:numPr>
          <w:ilvl w:val="0"/>
          <w:numId w:val="3"/>
        </w:numPr>
        <w:spacing w:after="70" w:line="290"/>
      </w:pPr>
      <w:r>
        <w:rPr>
          <w:b/>
          <w:bCs/>
        </w:rPr>
        <w:t xml:space="preserve">L'avis risques </w:t>
      </w:r>
      <w:r>
        <w:t xml:space="preserve">du bloc 13 et son motif.</w:t>
      </w:r>
    </w:p>
    <w:p>
      <w:pPr>
        <w:pStyle w:val="ListParagraph"/>
        <w:numPr>
          <w:ilvl w:val="0"/>
          <w:numId w:val="3"/>
        </w:numPr>
        <w:spacing w:after="70" w:line="290"/>
      </w:pPr>
      <w:r>
        <w:rPr>
          <w:b/>
          <w:bCs/>
        </w:rPr>
        <w:t xml:space="preserve">La justification des écarts </w:t>
      </w:r>
      <w:r>
        <w:t xml:space="preserve">(bloc 13).</w:t>
      </w:r>
    </w:p>
    <w:p>
      <w:pPr>
        <w:pStyle w:val="ListParagraph"/>
        <w:numPr>
          <w:ilvl w:val="0"/>
          <w:numId w:val="3"/>
        </w:numPr>
        <w:spacing w:after="70" w:line="290"/>
      </w:pPr>
      <w:r>
        <w:t xml:space="preserve">Les commentaires de chaque sous-critère et la justification de N4 à N6 : ils expriment l'appréciation de l'analyste.</w:t>
      </w:r>
    </w:p>
    <w:p>
      <w:pPr>
        <w:pStyle w:val="ListParagraph"/>
        <w:numPr>
          <w:ilvl w:val="0"/>
          <w:numId w:val="3"/>
        </w:numPr>
        <w:spacing w:after="70" w:line="290"/>
      </w:pPr>
      <w:r>
        <w:t xml:space="preserve">La source des données sectorielles et des aléas : elle est donnée par l'origine de la valeur acceptée.</w:t>
      </w:r>
    </w:p>
    <w:p>
      <w:pPr>
        <w:pStyle w:val="Heading2"/>
      </w:pPr>
      <w:r>
        <w:t xml:space="preserve">9.3 Accepter, rejeter, vérifier</w:t>
      </w:r>
    </w:p>
    <w:p>
      <w:pPr>
        <w:pStyle w:val="ListParagraph"/>
        <w:numPr>
          <w:ilvl w:val="0"/>
          <w:numId w:val="4"/>
        </w:numPr>
        <w:spacing w:after="90" w:line="290"/>
      </w:pPr>
      <w:r>
        <w:rPr>
          <w:b/>
          <w:bCs/>
        </w:rPr>
        <w:t xml:space="preserve">Relisez chaque proposition : </w:t>
      </w:r>
      <w:r>
        <w:t xml:space="preserve">valeur proposée, valeur actuelle, source, confiance, justification.</w:t>
      </w:r>
    </w:p>
    <w:p>
      <w:pPr>
        <w:pStyle w:val="ListParagraph"/>
        <w:numPr>
          <w:ilvl w:val="0"/>
          <w:numId w:val="4"/>
        </w:numPr>
        <w:spacing w:after="90" w:line="290"/>
      </w:pPr>
      <w:r>
        <w:rPr>
          <w:b/>
          <w:bCs/>
        </w:rPr>
        <w:t xml:space="preserve">Ouvrez la pièce citée </w:t>
      </w:r>
      <w:r>
        <w:t xml:space="preserve">en cas de confiance moyenne ou faible, ou si la valeur surprend.</w:t>
      </w:r>
    </w:p>
    <w:p>
      <w:pPr>
        <w:pStyle w:val="ListParagraph"/>
        <w:numPr>
          <w:ilvl w:val="0"/>
          <w:numId w:val="4"/>
        </w:numPr>
        <w:spacing w:after="90" w:line="290"/>
      </w:pPr>
      <w:r>
        <w:rPr>
          <w:b/>
          <w:bCs/>
        </w:rPr>
        <w:t xml:space="preserve">Acceptez ou rejetez. </w:t>
      </w:r>
      <w:r>
        <w:t xml:space="preserve">Acceptée, la valeur est écrite dans la saisie avec son origine (section 7) et tracée au journal d'audit. Une valeur que l'écran de saisie refuserait (choc supérieur à 95 %, part supérieure à 100 %…) n'est jamais proposée.</w:t>
      </w:r>
    </w:p>
    <w:p>
      <w:pPr>
        <w:pStyle w:val="ListParagraph"/>
        <w:numPr>
          <w:ilvl w:val="0"/>
          <w:numId w:val="4"/>
        </w:numPr>
        <w:spacing w:after="90" w:line="290"/>
      </w:pPr>
      <w:r>
        <w:rPr>
          <w:b/>
          <w:bCs/>
        </w:rPr>
        <w:t xml:space="preserve">Complétez </w:t>
      </w:r>
      <w:r>
        <w:t xml:space="preserve">les champs que l'IA n'a pas trouvés : la liste des éléments manquants indique la pièce attendue.</w:t>
      </w:r>
    </w:p>
    <w:p>
      <w:pPr>
        <w:spacing w:before="240"/>
      </w:pPr>
      <w:r>
        <w:rPr>
          <w:i/>
          <w:iCs/>
          <w:color w:val="7A7A7A"/>
          <w:sz w:val="19"/>
          <w:szCs w:val="19"/>
        </w:rPr>
        <w:t xml:space="preserve">Les dates, montants et pièces cités en exemple dans les sections 6 à 9 sont fictifs. Les paramètres (scénarios, repères, poids, plafonds) sont des valeurs candidates, à valider par le comité de validation du modèle.</w:t>
      </w:r>
    </w:p>
    <w:sectPr>
      <w:footerReference w:type="default" r:id="rId6"/>
      <w:pgSz w:w="11906" w:h="16838" w:orient="portrait"/>
      <w:pgMar w:top="1100" w:right="1080" w:bottom="110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7A7A"/>
        <w:sz w:val="18"/>
        <w:szCs w:val="18"/>
      </w:rPr>
      <w:t xml:space="preserve">Risques Groupe · Guide de saisie détaillé · page </w:t>
    </w:r>
    <w:r>
      <w:rPr>
        <w:color w:val="7A7A7A"/>
        <w:sz w:val="18"/>
        <w:szCs w:val="18"/>
      </w:rPr>
      <w:fldChar w:fldCharType="begin"/>
    </w:r>
    <w:r>
      <w:rPr>
        <w:color w:val="7A7A7A"/>
        <w:sz w:val="18"/>
        <w:szCs w:val="18"/>
      </w:rPr>
      <w:instrText xml:space="preserve">PAGE</w:instrText>
    </w:r>
    <w:r>
      <w:rPr>
        <w:color w:val="7A7A7A"/>
        <w:sz w:val="18"/>
        <w:szCs w:val="18"/>
      </w:rPr>
      <w:fldChar w:fldCharType="separate"/>
    </w:r>
    <w:r>
      <w:rPr>
        <w:color w:val="7A7A7A"/>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rPr>
        <w:color w:val="E8790F"/>
      </w:rPr>
    </w:lvl>
    <w:lvl w:ilvl="1" w:tentative="1">
      <w:start w:val="1"/>
      <w:numFmt w:val="bullet"/>
      <w:lvlText w:val="–"/>
      <w:lvlJc w:val="left"/>
      <w:pPr>
        <w:ind w:left="860" w:hanging="260"/>
      </w:pPr>
      <w:rPr>
        <w:color w:val="E8790F"/>
      </w:rPr>
    </w:lvl>
    <w:lvl w:ilvl="2" w:tentative="1">
      <w:start w:val="1"/>
      <w:numFmt w:val="bullet"/>
      <w:lvlText w:val="–"/>
      <w:lvlJc w:val="left"/>
      <w:pPr>
        <w:ind w:left="1220" w:hanging="260"/>
      </w:pPr>
      <w:rPr>
        <w:color w:val="E8790F"/>
      </w:rPr>
    </w:lvl>
  </w:abstractNum>
  <w:abstractNum w:abstractNumId="3" w15:restartNumberingAfterBreak="0">
    <w:multiLevelType w:val="hybridMultilevel"/>
    <w:lvl w:ilvl="0" w:tentative="1">
      <w:start w:val="1"/>
      <w:numFmt w:val="decimal"/>
      <w:lvlText w:val="%1."/>
      <w:lvlJc w:val="left"/>
      <w:pPr>
        <w:ind w:left="500" w:hanging="320"/>
      </w:pPr>
      <w:rPr>
        <w:b/>
        <w:bCs/>
        <w:color w:val="E8790F"/>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lvlOverride w:ilvl="1">
      <w:startOverride w:val="1"/>
    </w:lvlOverride>
    <w:lvlOverride w:ilvl="2">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next w:val="Normal"/>
    <w:qFormat/>
    <w:pPr>
      <w:spacing w:after="80"/>
    </w:pPr>
    <w:rPr>
      <w:rFonts w:ascii="Calibri" w:cs="Calibri" w:eastAsia="Calibri" w:hAnsi="Calibri"/>
      <w:b/>
      <w:bCs/>
      <w:color w:val="E8790F"/>
      <w:sz w:val="40"/>
      <w:szCs w:val="40"/>
    </w:rPr>
  </w:style>
  <w:style w:type="paragraph" w:styleId="Heading1">
    <w:name w:val="Heading 1"/>
    <w:basedOn w:val="Normal"/>
    <w:next w:val="Normal"/>
    <w:qFormat/>
    <w:pPr>
      <w:keepNext/>
      <w:keepLines/>
      <w:spacing w:after="120" w:before="320"/>
      <w:outlineLvl w:val="0"/>
    </w:pPr>
    <w:rPr>
      <w:rFonts w:ascii="Calibri" w:cs="Calibri" w:eastAsia="Calibri" w:hAnsi="Calibri"/>
      <w:b/>
      <w:bCs/>
      <w:color w:val="E8790F"/>
      <w:sz w:val="30"/>
      <w:szCs w:val="30"/>
    </w:rPr>
  </w:style>
  <w:style w:type="paragraph" w:styleId="Heading2">
    <w:name w:val="Heading 2"/>
    <w:basedOn w:val="Normal"/>
    <w:next w:val="Normal"/>
    <w:qFormat/>
    <w:pPr>
      <w:keepNext/>
      <w:keepLines/>
      <w:spacing w:after="90" w:before="220"/>
      <w:outlineLvl w:val="1"/>
    </w:pPr>
    <w:rPr>
      <w:rFonts w:ascii="Calibri" w:cs="Calibri" w:eastAsia="Calibri" w:hAnsi="Calibri"/>
      <w:b/>
      <w:bCs/>
      <w:color w:val="5A3A1E"/>
      <w:sz w:val="24"/>
      <w:szCs w:val="24"/>
    </w:rPr>
  </w:style>
  <w:style w:type="paragraph" w:styleId="Heading3">
    <w:name w:val="Heading 3"/>
    <w:basedOn w:val="Normal"/>
    <w:next w:val="Normal"/>
    <w:qFormat/>
    <w:pPr>
      <w:keepNext/>
      <w:keepLines/>
      <w:spacing w:after="60" w:before="200"/>
      <w:outlineLvl w:val="2"/>
    </w:pPr>
    <w:rPr>
      <w:rFonts w:ascii="Calibri" w:cs="Calibri" w:eastAsia="Calibri" w:hAnsi="Calibri"/>
      <w:b/>
      <w:bCs/>
      <w:color w:val="E8790F"/>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de saisie détaillé — scoring Project Finance</dc:title>
  <dc:creator>Risques Groupe</dc:creator>
  <cp:lastModifiedBy>Un-named</cp:lastModifiedBy>
  <cp:revision>1</cp:revision>
  <dcterms:created xsi:type="dcterms:W3CDTF">2026-10-27T11:58:51.897Z</dcterms:created>
  <dcterms:modified xsi:type="dcterms:W3CDTF">2026-10-27T11:58:51.898Z</dcterms:modified>
</cp:coreProperties>
</file>

<file path=docProps/custom.xml><?xml version="1.0" encoding="utf-8"?>
<Properties xmlns="http://schemas.openxmlformats.org/officeDocument/2006/custom-properties" xmlns:vt="http://schemas.openxmlformats.org/officeDocument/2006/docPropsVTypes"/>
</file>