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3864"/>
          <w:sz w:val="48"/>
          <w:szCs w:val="48"/>
        </w:rPr>
        <w:t xml:space="preserve">Modèle de scoring Project Finance</w:t>
      </w:r>
    </w:p>
    <w:p>
      <w:pPr>
        <w:spacing w:after="400"/>
      </w:pPr>
      <w:r>
        <w:rPr>
          <w:color w:val="2E5C8A"/>
          <w:sz w:val="28"/>
          <w:szCs w:val="28"/>
        </w:rPr>
        <w:t xml:space="preserve">Discours de présentation, diapositive par diapositive, avec les termes techniques expliqués</w:t>
      </w:r>
    </w:p>
    <w:p>
      <w:pPr>
        <w:spacing w:after="120"/>
      </w:pPr>
      <w:r>
        <w:t xml:space="preserve">Public : équipes expertes en financement de projet. Durée : environ 60 minutes de présentation, puis 15 à 20 minutes de discussion. Si le temps est compté, les diapositives de détail (paramètres, sous-critères, module Maroc, stress) peuvent être survolées et renvoyées aux documents remis.</w:t>
      </w:r>
    </w:p>
    <w:p>
      <w:pPr>
        <w:spacing w:after="120"/>
      </w:pPr>
      <w:r>
        <w:t xml:space="preserve">Documents associés : la présentation (39 diapositives), l'outil Excel avec ses 18 cas d'étude et la grille de scoring expliquée (Excel).</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6CED8" w:sz="4"/>
              <w:left w:val="single" w:color="C6CED8" w:sz="4"/>
              <w:bottom w:val="single" w:color="C6CED8" w:sz="4"/>
              <w:right w:val="single" w:color="C6CED8" w:sz="4"/>
            </w:tcBorders>
            <w:shd w:fill="FFF2CC" w:color="auto" w:val="clear"/>
            <w:tcMar>
              <w:top w:type="dxa" w:w="120"/>
              <w:left w:type="dxa" w:w="160"/>
              <w:bottom w:type="dxa" w:w="120"/>
              <w:right w:type="dxa" w:w="160"/>
            </w:tcMar>
          </w:tcPr>
          <w:p>
            <w:pPr>
              <w:spacing w:after="80"/>
            </w:pPr>
            <w:r>
              <w:rPr>
                <w:b/>
                <w:bCs/>
                <w:color w:val="1F3864"/>
              </w:rPr>
              <w:t xml:space="preserve">Comment utiliser ce document</w:t>
            </w:r>
          </w:p>
          <w:p>
            <w:pPr>
              <w:spacing w:after="60"/>
            </w:pPr>
            <w:r>
              <w:t xml:space="preserve">Chaque diapositive comporte : le texte à dire (encadré d'un trait bleu), les termes techniques avec une explication simple et un exemple, et les questions que des experts pourraient poser, avec une réponse.</w:t>
            </w:r>
          </w:p>
          <w:p>
            <w:pPr>
              <w:spacing w:after="60"/>
            </w:pPr>
            <w:r>
              <w:t xml:space="preserve">Conseil : ne lisez pas le texte mot à mot ; retenez les idées et les exemples chiffrés. Face à une question pointue, il est légitime de répondre « c'est un paramètre candidat, c'est justement votre avis que nous cherchons ».</w:t>
            </w:r>
          </w:p>
          <w:p>
            <w:pPr>
              <w:spacing w:after="60"/>
            </w:pPr>
            <w:r>
              <w:t xml:space="preserve">Tous les cas et chiffres sont fictifs.</w:t>
            </w:r>
          </w:p>
        </w:tc>
      </w:tr>
    </w:tbl>
    <w:p>
      <w:r>
        <w:br w:type="page"/>
      </w:r>
    </w:p>
    <w:p>
      <w:pPr>
        <w:pStyle w:val="Heading1"/>
        <w:spacing w:after="160" w:before="36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Le discours, diapositive par diapositive</w:t>
      </w:r>
    </w:p>
    <w:p>
      <w:pPr>
        <w:pStyle w:val="Heading2"/>
        <w:spacing w:after="120" w:before="240"/>
      </w:pPr>
      <w:r>
        <w:t xml:space="preserve">Diapositive 1 — Couverture — Modèle de scoring Project Finance</w:t>
      </w:r>
    </w:p>
    <w:p>
      <w:pPr>
        <w:spacing w:after="120"/>
        <w:rPr>
          <w:i/>
          <w:iCs/>
          <w:color w:val="666666"/>
        </w:rPr>
      </w:pPr>
      <w:r>
        <w:rPr>
          <w:i/>
          <w:iCs/>
          <w:color w:val="666666"/>
        </w:rPr>
        <w:t xml:space="preserve">Durée indicative : 1 min</w:t>
      </w:r>
    </w:p>
    <w:p>
      <w:pPr>
        <w:pStyle w:val="Heading3"/>
        <w:spacing w:after="80" w:before="160"/>
      </w:pPr>
      <w:r>
        <w:t xml:space="preserve">À dire</w:t>
      </w:r>
    </w:p>
    <w:p>
      <w:pPr>
        <w:pBdr>
          <w:left w:val="single" w:color="2E5C8A" w:sz="12" w:space="8"/>
        </w:pBdr>
        <w:spacing w:after="120"/>
        <w:ind w:left="284"/>
      </w:pPr>
      <w:r>
        <w:rPr>
          <w:i w:val="false"/>
          <w:iCs w:val="false"/>
        </w:rPr>
        <w:t xml:space="preserve">Bonjour à tous, et merci d'avoir pris ce temps. Je vais vous présenter le modèle de notation des financements de projet que nous proposons, et l'outil Excel qui l'applique.</w:t>
      </w:r>
    </w:p>
    <w:p>
      <w:pPr>
        <w:pBdr>
          <w:left w:val="single" w:color="2E5C8A" w:sz="12" w:space="8"/>
        </w:pBdr>
        <w:spacing w:after="120"/>
        <w:ind w:left="284"/>
      </w:pPr>
      <w:r>
        <w:rPr>
          <w:i w:val="false"/>
          <w:iCs w:val="false"/>
        </w:rPr>
        <w:t xml:space="preserve">Je le dis d'emblée : vous êtes les experts du Project Finance dans cette salle. Ce que nous attendons de vous, c'est un regard critique. Tous les seuils, les poids et les descriptions que vous allez voir sont des paramètres candidats : ils seront ajustés avec vos retours avant validation par le Comité de validation des modèles.</w:t>
      </w:r>
    </w:p>
    <w:p>
      <w:pPr>
        <w:pBdr>
          <w:left w:val="single" w:color="2E5C8A" w:sz="12" w:space="8"/>
        </w:pBdr>
        <w:spacing w:after="120"/>
        <w:ind w:left="284"/>
      </w:pPr>
      <w:r>
        <w:rPr>
          <w:i w:val="false"/>
          <w:iCs w:val="false"/>
        </w:rPr>
        <w:t xml:space="preserve">La présentation suit l'ordre du modèle : le routage du dossier, le régime d'instruction, les verrous et plafonds, le noyau financier, la grille qualitative, le module Maroc, les stress, l'agrégation, puis l'outil et les points à valider.</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Project Finance (financement de projet)</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Financement d'un projet porté par une société créée pour lui seul ; la banque est remboursée par les flux du projet, pas par le bilan de l'actionnaire.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Une centrale solaire est logée dans « Solaris SA » ; la dette est remboursée par la vente de l'électricité.</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Bâle, Bank Al-Maghrib, IFC, EBRD</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Bâle : normes internationales de fonds propres des banques. Bank Al-Maghrib : le régulateur marocain. IFC (Banque mondiale) et EBRD (BERD) : références pour les normes environnementales et sociales.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Les « normes de performance IFC » servent à noter le domaine D9.</w:t>
            </w:r>
          </w:p>
        </w:tc>
      </w:tr>
    </w:tbl>
    <w:p>
      <w:pPr>
        <w:pStyle w:val="Heading3"/>
        <w:spacing w:after="80" w:before="160"/>
      </w:pPr>
      <w:r>
        <w:t xml:space="preserve">Questions possibles des experts</w:t>
      </w:r>
    </w:p>
    <w:p>
      <w:pPr>
        <w:spacing w:after="40"/>
      </w:pPr>
      <w:r>
        <w:rPr>
          <w:b/>
          <w:bCs/>
        </w:rPr>
        <w:t xml:space="preserve">Q : Pourquoi un modèle spécifique au Project Finance ?</w:t>
      </w:r>
    </w:p>
    <w:p>
      <w:pPr>
        <w:spacing w:after="120"/>
      </w:pPr>
      <w:r>
        <w:t xml:space="preserve">R : Parce que le risque est celui du projet : une notation « entreprise » fondée sur le bilan ne voit ni le risque de construction, ni la dépendance à un contrat, ni la couverture échéance par échéance.</w:t>
      </w:r>
    </w:p>
    <w:p>
      <w:pPr>
        <w:pStyle w:val="Heading2"/>
        <w:spacing w:after="120" w:before="240"/>
      </w:pPr>
      <w:r>
        <w:t xml:space="preserve">Diapositive 2 — Trois exigences qu'une note de projet doit tenir</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Le modèle répond à trois exigences.</w:t>
      </w:r>
    </w:p>
    <w:p>
      <w:pPr>
        <w:pBdr>
          <w:left w:val="single" w:color="2E5C8A" w:sz="12" w:space="8"/>
        </w:pBdr>
        <w:spacing w:after="120"/>
        <w:ind w:left="284"/>
      </w:pPr>
      <w:r>
        <w:rPr>
          <w:i w:val="false"/>
          <w:iCs w:val="false"/>
        </w:rPr>
        <w:t xml:space="preserve">Comparable : un 6 dans l'éolien doit valoir un 6 dans l'hôtellerie. On garde la même grille pour tous les secteurs ; le secteur n'ajuste que les seuils.</w:t>
      </w:r>
    </w:p>
    <w:p>
      <w:pPr>
        <w:pBdr>
          <w:left w:val="single" w:color="2E5C8A" w:sz="12" w:space="8"/>
        </w:pBdr>
        <w:spacing w:after="120"/>
        <w:ind w:left="284"/>
      </w:pPr>
      <w:r>
        <w:rPr>
          <w:i w:val="false"/>
          <w:iCs w:val="false"/>
        </w:rPr>
        <w:t xml:space="preserve">Sans compensation : dans un financement de projet, un seul point faible peut provoquer un défaut. Un excellent sponsor ne compense pas une dette mal couverte. D'où des plafonds de note.</w:t>
      </w:r>
    </w:p>
    <w:p>
      <w:pPr>
        <w:pBdr>
          <w:left w:val="single" w:color="2E5C8A" w:sz="12" w:space="8"/>
        </w:pBdr>
        <w:spacing w:after="120"/>
        <w:ind w:left="284"/>
      </w:pPr>
      <w:r>
        <w:rPr>
          <w:i w:val="false"/>
          <w:iCs w:val="false"/>
        </w:rPr>
        <w:t xml:space="preserve">Traçable : chaque note doit pouvoir être expliquée à un auditeur ou au régulateur : d'où vient-elle, quelle pièce la justifie, qui l'a modifiée.</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Compensation</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Effet d'une moyenne : de bonnes notes cachent une mauvaise.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Neuf critères à 100 et le DSCR à 20 donnent une moyenne flatteuse alors que le projet ne peut pas payer.</w:t>
            </w:r>
          </w:p>
        </w:tc>
      </w:tr>
    </w:tbl>
    <w:p>
      <w:pPr>
        <w:pStyle w:val="Heading3"/>
        <w:spacing w:after="80" w:before="160"/>
      </w:pPr>
      <w:r>
        <w:t xml:space="preserve">Questions possibles des experts</w:t>
      </w:r>
    </w:p>
    <w:p>
      <w:pPr>
        <w:spacing w:after="40"/>
      </w:pPr>
      <w:r>
        <w:rPr>
          <w:b/>
          <w:bCs/>
        </w:rPr>
        <w:t xml:space="preserve">Q : Le refus de la compensation ne rend-il pas le modèle trop sévère ?</w:t>
      </w:r>
    </w:p>
    <w:p>
      <w:pPr>
        <w:spacing w:after="120"/>
      </w:pPr>
      <w:r>
        <w:t xml:space="preserve">R : Seuls des faits objectifs et graves plafonnent la note (DSCR sous 1, LLCR sous 1,10, dette au-delà de 85 %…). Le reste suit la moyenne normale.</w:t>
      </w:r>
    </w:p>
    <w:p>
      <w:pPr>
        <w:pStyle w:val="Heading2"/>
        <w:spacing w:after="120" w:before="240"/>
      </w:pPr>
      <w:r>
        <w:t xml:space="preserve">Diapositive 3 — Six principes de conception</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Six décisions structurent le modèle.</w:t>
      </w:r>
    </w:p>
    <w:p>
      <w:pPr>
        <w:pBdr>
          <w:left w:val="single" w:color="2E5C8A" w:sz="12" w:space="8"/>
        </w:pBdr>
        <w:spacing w:after="120"/>
        <w:ind w:left="284"/>
      </w:pPr>
      <w:r>
        <w:rPr>
          <w:i w:val="false"/>
          <w:iCs w:val="false"/>
        </w:rPr>
        <w:t xml:space="preserve">Un : c'est le régime de revenus, c'est-à-dire qui porte le risque des recettes, qui fixe les seuils financiers ; le secteur ne fait que les moduler.</w:t>
      </w:r>
    </w:p>
    <w:p>
      <w:pPr>
        <w:pBdr>
          <w:left w:val="single" w:color="2E5C8A" w:sz="12" w:space="8"/>
        </w:pBdr>
        <w:spacing w:after="120"/>
        <w:ind w:left="284"/>
      </w:pPr>
      <w:r>
        <w:rPr>
          <w:i w:val="false"/>
          <w:iCs w:val="false"/>
        </w:rPr>
        <w:t xml:space="preserve">Deux : rien de vital n'est compensable ; les verrous et plafonds priment sur la moyenne.</w:t>
      </w:r>
    </w:p>
    <w:p>
      <w:pPr>
        <w:pBdr>
          <w:left w:val="single" w:color="2E5C8A" w:sz="12" w:space="8"/>
        </w:pBdr>
        <w:spacing w:after="120"/>
        <w:ind w:left="284"/>
      </w:pPr>
      <w:r>
        <w:rPr>
          <w:i w:val="false"/>
          <w:iCs w:val="false"/>
        </w:rPr>
        <w:t xml:space="preserve">Trois : le noyau financier est calculé à partir du modèle de flux, jamais saisi ; toute modification experte est une dérogation tracée.</w:t>
      </w:r>
    </w:p>
    <w:p>
      <w:pPr>
        <w:pBdr>
          <w:left w:val="single" w:color="2E5C8A" w:sz="12" w:space="8"/>
        </w:pBdr>
        <w:spacing w:after="120"/>
        <w:ind w:left="284"/>
      </w:pPr>
      <w:r>
        <w:rPr>
          <w:i w:val="false"/>
          <w:iCs w:val="false"/>
        </w:rPr>
        <w:t xml:space="preserve">Quatre : la grille dépend de la phase du projet. Cinq : la profondeur de l'analyse dépend de la taille et de la complexité, mais les contrôles durs ne s'allègent jamais. Six : les spécificités marocaines forment un module transversal, et non un domaine de plus qui serait dilué dans la moyenne.</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Dérogation</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Modification experte d'une note calculée, enregistrée comme un objet distinct : note initiale, note proposée, motif, approbateur, durée.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L'analyste remonte N4 de 50 à 80 au vu d'une ligne de liquidité signée après l'arrêté du modèle.</w:t>
            </w:r>
          </w:p>
        </w:tc>
      </w:tr>
    </w:tbl>
    <w:p>
      <w:pPr>
        <w:pStyle w:val="Heading3"/>
        <w:spacing w:after="80" w:before="160"/>
      </w:pPr>
      <w:r>
        <w:t xml:space="preserve">Questions possibles des experts</w:t>
      </w:r>
    </w:p>
    <w:p>
      <w:pPr>
        <w:spacing w:after="40"/>
      </w:pPr>
      <w:r>
        <w:rPr>
          <w:b/>
          <w:bCs/>
        </w:rPr>
        <w:t xml:space="preserve">Q : Pourquoi ne pas faire du Maroc un domaine de la grille ?</w:t>
      </w:r>
    </w:p>
    <w:p>
      <w:pPr>
        <w:spacing w:after="120"/>
      </w:pPr>
      <w:r>
        <w:t xml:space="preserve">R : Parce qu'un domaine pèse 5 à 10 % : un problème foncier grave y serait dilué. En module transversal, il agit par des verrous (B4), des plafonds et des preuves exigées.</w:t>
      </w:r>
    </w:p>
    <w:p>
      <w:pPr>
        <w:pStyle w:val="Heading2"/>
        <w:spacing w:after="120" w:before="240"/>
      </w:pPr>
      <w:r>
        <w:t xml:space="preserve">Diapositive 4 — Architecture : du routage à la note approuvée</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Voici l'architecture complète, dans l'ordre où un dossier la traverse.</w:t>
      </w:r>
    </w:p>
    <w:p>
      <w:pPr>
        <w:pBdr>
          <w:left w:val="single" w:color="2E5C8A" w:sz="12" w:space="8"/>
        </w:pBdr>
        <w:spacing w:after="120"/>
        <w:ind w:left="284"/>
      </w:pPr>
      <w:r>
        <w:rPr>
          <w:i w:val="false"/>
          <w:iCs w:val="false"/>
        </w:rPr>
        <w:t xml:space="preserve">D'abord le routage sur cinq axes : famille de financement, phase, régime de revenus, secteur, taille. Ensuite le régime d'instruction S, M ou L. Puis les verrous : une exclusion arrête tout, un blocage rend la note provisoire.</w:t>
      </w:r>
    </w:p>
    <w:p>
      <w:pPr>
        <w:pBdr>
          <w:left w:val="single" w:color="2E5C8A" w:sz="12" w:space="8"/>
        </w:pBdr>
        <w:spacing w:after="120"/>
        <w:ind w:left="284"/>
      </w:pPr>
      <w:r>
        <w:rPr>
          <w:i w:val="false"/>
          <w:iCs w:val="false"/>
        </w:rPr>
        <w:t xml:space="preserve">On calcule ensuite le score : le noyau financier à partir du modèle de flux, la grille qualitative à partir des situations choisies. Le module Maroc et les stress alimentent ces blocs.</w:t>
      </w:r>
    </w:p>
    <w:p>
      <w:pPr>
        <w:pBdr>
          <w:left w:val="single" w:color="2E5C8A" w:sz="12" w:space="8"/>
        </w:pBdr>
        <w:spacing w:after="120"/>
        <w:ind w:left="284"/>
      </w:pPr>
      <w:r>
        <w:rPr>
          <w:i w:val="false"/>
          <w:iCs w:val="false"/>
        </w:rPr>
        <w:t xml:space="preserve">Enfin les plafonds bornent la note, et les conditions suspensives datées accompagnent l'octroi. La note approuvée est le minimum entre la note calculée et les plafonds actifs.</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Note calculée / note approuvée</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La note calculée vient du score ; la note approuvée est celle qui reste après plafonds et verrous.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Score 73,7 → note calculée 7 ; un plafond à 4 → note approuvée 4.</w:t>
            </w:r>
          </w:p>
        </w:tc>
      </w:tr>
    </w:tbl>
    <w:p>
      <w:pPr>
        <w:pStyle w:val="Heading2"/>
        <w:spacing w:after="120" w:before="240"/>
      </w:pPr>
      <w:r>
        <w:t xml:space="preserve">Diapositive 5 — Aiguillage : famille de financement (axe A)</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Première question avant tout calcul : ce dossier est-il vraiment un financement de projet ?</w:t>
      </w:r>
    </w:p>
    <w:p>
      <w:pPr>
        <w:pBdr>
          <w:left w:val="single" w:color="2E5C8A" w:sz="12" w:space="8"/>
        </w:pBdr>
        <w:spacing w:after="120"/>
        <w:ind w:left="284"/>
      </w:pPr>
      <w:r>
        <w:rPr>
          <w:i w:val="false"/>
          <w:iCs w:val="false"/>
        </w:rPr>
        <w:t xml:space="preserve">S'il n'y a pas de société de projet dédiée et cantonnée, le dossier sort vers la notation corporate. Sinon, on regarde la source principale de remboursement : les flux d'exploitation conduisent à la famille PF-FLUX, qui est le cœur de ce modèle ; des loyers récurrents conduisent à l'immobilier de rendement ; la vente de lots conduit à la promotion immobilière, qui a ses propres indicateurs : coût à terminaison, préventes, LTC.</w:t>
      </w:r>
    </w:p>
    <w:p>
      <w:pPr>
        <w:pBdr>
          <w:left w:val="single" w:color="2E5C8A" w:sz="12" w:space="8"/>
        </w:pBdr>
        <w:spacing w:after="120"/>
        <w:ind w:left="284"/>
      </w:pPr>
      <w:r>
        <w:rPr>
          <w:i w:val="false"/>
          <w:iCs w:val="false"/>
        </w:rPr>
        <w:t xml:space="preserve">Pour être en PF-FLUX, quatre conditions cumulatives : SPV dédiée juridiquement cantonnée, service de la dette couvert à plus de 70 % par les flux du projet, recours limité au-delà des engagements contractuels, actif et contrats de revenus identifiables. Un financement hybride documente sa source principale et passe en revue spécialisée.</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Corporate (CORP)</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Financement adossé au bilan de l'entreprise, noté avec le modèle entreprise.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Prêt à un groupe industriel pour une extension d'usine logée dans son propre bilan.</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Recours limité</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La banque ne peut se retourner contre l'actionnaire qu'à hauteur de ses engagements contractuels.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Garantie de bonne fin du sponsor jusqu'à la réception, puis plus aucun recours.</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LTV / LTC</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Loan to Value : dette ÷ valeur de l'actif. Loan to Cost : dette ÷ coût du projet.</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Dette 60 pour un immeuble valant 100 : LTV 60 %.</w:t>
            </w:r>
          </w:p>
        </w:tc>
      </w:tr>
    </w:tbl>
    <w:p>
      <w:pPr>
        <w:pStyle w:val="Heading3"/>
        <w:spacing w:after="80" w:before="160"/>
      </w:pPr>
      <w:r>
        <w:t xml:space="preserve">Questions possibles des experts</w:t>
      </w:r>
    </w:p>
    <w:p>
      <w:pPr>
        <w:spacing w:after="40"/>
      </w:pPr>
      <w:r>
        <w:rPr>
          <w:b/>
          <w:bCs/>
        </w:rPr>
        <w:t xml:space="preserve">Q : Un projet avec un sponsor qui garantit toute la dette est-il du PF ?</w:t>
      </w:r>
    </w:p>
    <w:p>
      <w:pPr>
        <w:spacing w:after="120"/>
      </w:pPr>
      <w:r>
        <w:t xml:space="preserve">R : Non : si le remboursement repose sur la garantie et non sur les flux, il relève du corporate ou de la notation du garant.</w:t>
      </w:r>
    </w:p>
    <w:p>
      <w:pPr>
        <w:pStyle w:val="Heading2"/>
        <w:spacing w:after="120" w:before="240"/>
      </w:pPr>
      <w:r>
        <w:t xml:space="preserve">Diapositive 6 — Axe B : la phase du projet</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Deuxième axe : la phase. En construction, l'achèvement n'est pas acquis. En montée en charge, l'ouvrage est réceptionné mais sans historique représentatif. En exploitation stabilisée, on dispose d'un historique.</w:t>
      </w:r>
    </w:p>
    <w:p>
      <w:pPr>
        <w:pBdr>
          <w:left w:val="single" w:color="2E5C8A" w:sz="12" w:space="8"/>
        </w:pBdr>
        <w:spacing w:after="120"/>
        <w:ind w:left="284"/>
      </w:pPr>
      <w:r>
        <w:rPr>
          <w:i w:val="false"/>
          <w:iCs w:val="false"/>
        </w:rPr>
        <w:t xml:space="preserve">Une date administrative ne déclenche pas la transition : il faut la preuve, réception et essais de performance, ou douze à vingt-quatre mois d'exploitation conformes au plan. À chaque passage, l'outil peut calculer les deux grilles sur le même dossier pour expliquer l'écart.</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Réception</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Acte par lequel la SPV accepte l'ouvrage livré par le constructeur, après essais.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Réception provisoire de la centrale après 30 jours de fonctionnement aux performances garanties.</w:t>
            </w:r>
          </w:p>
        </w:tc>
      </w:tr>
    </w:tbl>
    <w:p>
      <w:pPr>
        <w:pStyle w:val="Heading2"/>
        <w:spacing w:after="120" w:before="240"/>
      </w:pPr>
      <w:r>
        <w:t xml:space="preserve">Diapositive 7 — Axe C : le régime de revenus</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Troisième axe, le plus structurant : qui supporte le risque que les recettes n'arrivent pas ?</w:t>
      </w:r>
    </w:p>
    <w:p>
      <w:pPr>
        <w:pBdr>
          <w:left w:val="single" w:color="2E5C8A" w:sz="12" w:space="8"/>
        </w:pBdr>
        <w:spacing w:after="120"/>
        <w:ind w:left="284"/>
      </w:pPr>
      <w:r>
        <w:rPr>
          <w:i w:val="false"/>
          <w:iCs w:val="false"/>
        </w:rPr>
        <w:t xml:space="preserve">En R1, un acheteur s'engage à payer une quantité garantie : c'est le plus protecteur. En R2, le projet est payé s'il est disponible : l'acheteur porte la demande, le projet porte la performance. En R3, le prix est contractuel mais le volume est exposé. En R4, le projet porte le prix et le volume. R5, la vente d'actifs, relève de la promotion et sort de ce barème.</w:t>
      </w:r>
    </w:p>
    <w:p>
      <w:pPr>
        <w:pBdr>
          <w:left w:val="single" w:color="2E5C8A" w:sz="12" w:space="8"/>
        </w:pBdr>
        <w:spacing w:after="120"/>
        <w:ind w:left="284"/>
      </w:pPr>
      <w:r>
        <w:rPr>
          <w:i w:val="false"/>
          <w:iCs w:val="false"/>
        </w:rPr>
        <w:t xml:space="preserve">Quand les recettes mêlent plusieurs régimes, on retient le moins protecteur qui représente plus de 30 % des recettes de la période de pointe du service de la dette.</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Take-or-pay</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L'acheteur paie une quantité garantie, qu'il la prenne ou non.</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L'office public paie 152 GWh par an même s'il n'en utilise que 140.</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Paiement à la disponibilité</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L'autorité paie un loyer si l'ouvrage est disponible et conforme, quel que soit l'usage.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Un hôpital en partenariat public-privé est payé s'il est ouvert et aux normes.</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Risque de volume / de marché</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Les recettes dépendent des quantités vendues (R3) ou des prix et quantités du marché (R4).</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Une autoroute à péage dépend du trafic ; un hôtel, du taux d'occupation et du prix.</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Phases P1, P2, P3</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P1 construction ; P2 montée en charge (les premiers mois d'exploitation) ; P3 exploitation stabilisée.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Une usine livrée il y a 6 mois et qui n'a pas atteint sa capacité est en P2.</w:t>
            </w:r>
          </w:p>
        </w:tc>
      </w:tr>
    </w:tbl>
    <w:p>
      <w:pPr>
        <w:pStyle w:val="Heading3"/>
        <w:spacing w:after="80" w:before="160"/>
      </w:pPr>
      <w:r>
        <w:t xml:space="preserve">Questions possibles des experts</w:t>
      </w:r>
    </w:p>
    <w:p>
      <w:pPr>
        <w:spacing w:after="40"/>
      </w:pPr>
      <w:r>
        <w:rPr>
          <w:b/>
          <w:bCs/>
        </w:rPr>
        <w:t xml:space="preserve">Q : Où classer un contrat avec une part fixe et une part variable ?</w:t>
      </w:r>
    </w:p>
    <w:p>
      <w:pPr>
        <w:spacing w:after="120"/>
      </w:pPr>
      <w:r>
        <w:t xml:space="preserve">R : Selon la part qui couvre le service de la dette : si la redevance fixe le couvre, R2 ; sinon R3. En cas de doute, le régime le plus exposé.</w:t>
      </w:r>
    </w:p>
    <w:p>
      <w:pPr>
        <w:pStyle w:val="Heading2"/>
        <w:spacing w:after="120" w:before="240"/>
      </w:pPr>
      <w:r>
        <w:t xml:space="preserve">Diapositive 8 — Axe D : douze secteurs, un écart borné</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Quatrième axe, le secteur. Il s'agit du secteur de l'actif et de ses recettes, jamais de celui du client.</w:t>
      </w:r>
    </w:p>
    <w:p>
      <w:pPr>
        <w:pBdr>
          <w:left w:val="single" w:color="2E5C8A" w:sz="12" w:space="8"/>
        </w:pBdr>
        <w:spacing w:after="120"/>
        <w:ind w:left="284"/>
      </w:pPr>
      <w:r>
        <w:rPr>
          <w:i w:val="false"/>
          <w:iCs w:val="false"/>
        </w:rPr>
        <w:t xml:space="preserve">Les douze familles sectorielles reçoivent un écart, le delta, ajouté au seuil du régime : de moins 0,05 pour les énergies renouvelables, dont la production est prévisible, à plus 0,25 pour les mines, aux prix très volatils.</w:t>
      </w:r>
    </w:p>
    <w:p>
      <w:pPr>
        <w:pBdr>
          <w:left w:val="single" w:color="2E5C8A" w:sz="12" w:space="8"/>
        </w:pBdr>
        <w:spacing w:after="120"/>
        <w:ind w:left="284"/>
      </w:pPr>
      <w:r>
        <w:rPr>
          <w:i w:val="false"/>
          <w:iCs w:val="false"/>
        </w:rPr>
        <w:t xml:space="preserve">Le tableau montre le seuil critique qui en résulte pour chaque régime. C'est l'un des tableaux que nous vous demandons de valider. Le secteur choisit aussi les données sectorielles à saisir et les descriptions sectorielles de quatre sous-critères.</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Δ (delta) sectoriel</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Écart ajouté au seuil DSCR selon la volatilité propre des flux du secteur.</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Tourisme +0,20 : un hôtel R4 a un seuil critique de 1,55 en exploitation.</w:t>
            </w:r>
          </w:p>
        </w:tc>
      </w:tr>
    </w:tbl>
    <w:p>
      <w:pPr>
        <w:pStyle w:val="Heading3"/>
        <w:spacing w:after="80" w:before="160"/>
      </w:pPr>
      <w:r>
        <w:t xml:space="preserve">Questions possibles des experts</w:t>
      </w:r>
    </w:p>
    <w:p>
      <w:pPr>
        <w:spacing w:after="40"/>
      </w:pPr>
      <w:r>
        <w:rPr>
          <w:b/>
          <w:bCs/>
        </w:rPr>
        <w:t xml:space="preserve">Q : Pourquoi le transport est-il à +0,05 quel que soit le mode ?</w:t>
      </w:r>
    </w:p>
    <w:p>
      <w:pPr>
        <w:spacing w:after="120"/>
      </w:pPr>
      <w:r>
        <w:t xml:space="preserve">R : Parce que c'est le régime de revenus qui distingue une autoroute à péage (R4 : critique sous 1,40) d'un équipement payé à la disponibilité (R2 : critique sous 1,17). Le secteur n'ajoute que sa volatilité propre.</w:t>
      </w:r>
    </w:p>
    <w:p>
      <w:pPr>
        <w:pStyle w:val="Heading2"/>
        <w:spacing w:after="120" w:before="240"/>
      </w:pPr>
      <w:r>
        <w:t xml:space="preserve">Diapositive 9 — Barème DSCR par régime et contrôle de cohérence</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Le ratio central est le DSCR : combien de fois la trésorerie disponible couvre l'échéance de dette.</w:t>
      </w:r>
    </w:p>
    <w:p>
      <w:pPr>
        <w:pBdr>
          <w:left w:val="single" w:color="2E5C8A" w:sz="12" w:space="8"/>
        </w:pBdr>
        <w:spacing w:after="120"/>
        <w:ind w:left="284"/>
      </w:pPr>
      <w:r>
        <w:rPr>
          <w:i w:val="false"/>
          <w:iCs w:val="false"/>
        </w:rPr>
        <w:t xml:space="preserve">Chaque régime a trois seuils qui délimitent quatre zones : critique, vigilance, favorable, très favorable. Seuil applicable égale seuil du régime plus delta sectoriel, plus 0,05 en montée en charge.</w:t>
      </w:r>
    </w:p>
    <w:p>
      <w:pPr>
        <w:pBdr>
          <w:left w:val="single" w:color="2E5C8A" w:sz="12" w:space="8"/>
        </w:pBdr>
        <w:spacing w:after="120"/>
        <w:ind w:left="284"/>
      </w:pPr>
      <w:r>
        <w:rPr>
          <w:i w:val="false"/>
          <w:iCs w:val="false"/>
        </w:rPr>
        <w:t xml:space="preserve">Exemple : un hôtel, régime R4, tourisme, en montée en charge : 1,35 plus 0,20 plus 0,05 donne 1,60. Si son DSCR est de 1,06 sur le semestre creux, il est en zone critique.</w:t>
      </w:r>
    </w:p>
    <w:p>
      <w:pPr>
        <w:pBdr>
          <w:left w:val="single" w:color="2E5C8A" w:sz="12" w:space="8"/>
        </w:pBdr>
        <w:spacing w:after="120"/>
        <w:ind w:left="284"/>
      </w:pPr>
      <w:r>
        <w:rPr>
          <w:i w:val="false"/>
          <w:iCs w:val="false"/>
        </w:rPr>
        <w:t xml:space="preserve">Contrôle de cohérence : un solaire sous contrat ferme ressort critique sous 1,05 et très favorable dès 1,25, ce qui correspond aux pratiques usuelles pour ce type de projet.</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CFADS</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Cash Flow Available for Debt Service : trésorerie disponible pour payer la dette, après charges d'exploitation, impôts et investissements de maintien.</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Chiffre d'affaires 73 − charges 11 − impôts et maintien 8 = CFADS 54 MMAD.</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DSCR</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CFADS de la période ÷ service de la dette de la période (intérêts + capital).</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CFADS 25,9 ÷ échéance 19,45 = 1,33 : le flux couvre 1,33 fois l'échéance.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Δ (delta) sectoriel</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Écart ajouté au seuil selon le risque propre du secteur.</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Éolien −0,05 (production prévisible) ; mines +0,25 (prix volatils).</w:t>
            </w:r>
          </w:p>
        </w:tc>
      </w:tr>
    </w:tbl>
    <w:p>
      <w:pPr>
        <w:pStyle w:val="Heading3"/>
        <w:spacing w:after="80" w:before="160"/>
      </w:pPr>
      <w:r>
        <w:t xml:space="preserve">Questions possibles des experts</w:t>
      </w:r>
    </w:p>
    <w:p>
      <w:pPr>
        <w:spacing w:after="40"/>
      </w:pPr>
      <w:r>
        <w:rPr>
          <w:b/>
          <w:bCs/>
        </w:rPr>
        <w:t xml:space="preserve">Q : D'où viennent ces seuils ?</w:t>
      </w:r>
    </w:p>
    <w:p>
      <w:pPr>
        <w:spacing w:after="120"/>
      </w:pPr>
      <w:r>
        <w:t xml:space="preserve">R : Ce sont des paramètres candidats, calibrés sur les pratiques de marché. C'est l'un des points sur lesquels nous attendons votre avis (onglet Paramètres).</w:t>
      </w:r>
    </w:p>
    <w:p>
      <w:pPr>
        <w:pStyle w:val="Heading2"/>
        <w:spacing w:after="120" w:before="240"/>
      </w:pPr>
      <w:r>
        <w:t xml:space="preserve">Diapositive 10 — Données sectorielles à réunir (bloc 4)</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Pour chaque secteur, l'outil demande trois à six données propres, affichées automatiquement selon le secteur choisi : puissance et productible pour l'éolien, capacité et consommation électrique pour le dessalement, trafic et garantie de trafic pour une autoroute, nombre de chambres, taux d'occupation et RevPAR pour un hôtel, réserves certifiées pour une mine.</w:t>
      </w:r>
    </w:p>
    <w:p>
      <w:pPr>
        <w:pBdr>
          <w:left w:val="single" w:color="2E5C8A" w:sz="12" w:space="8"/>
        </w:pBdr>
        <w:spacing w:after="120"/>
        <w:ind w:left="284"/>
      </w:pPr>
      <w:r>
        <w:rPr>
          <w:i w:val="false"/>
          <w:iCs w:val="false"/>
        </w:rPr>
        <w:t xml:space="preserve">Ces données ne sont pas calculées : elles éclairent les sous-critères et la discussion en comité. Nous vous demandons si la liste est la bonne pour chaque secteur.</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RevPAR</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Revenu par chambre disponible = taux d'occupation × prix moyen.</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65 % × 1 350 MAD = 878 MAD.</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PUE</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Power Usage Effectiveness : énergie totale du centre de données ÷ énergie informatique.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PUE 1,45 : 0,45 kWh de refroidissement et d'auxiliaires par kWh informatique.</w:t>
            </w:r>
          </w:p>
        </w:tc>
      </w:tr>
    </w:tbl>
    <w:p>
      <w:pPr>
        <w:pStyle w:val="Heading2"/>
        <w:spacing w:after="120" w:before="240"/>
      </w:pPr>
      <w:r>
        <w:t xml:space="preserve">Diapositive 11 — Régime d'instruction S, M, L : les déclencheurs</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Le niveau d'exigence de l'analyse est calculé, pas choisi.</w:t>
      </w:r>
    </w:p>
    <w:p>
      <w:pPr>
        <w:pBdr>
          <w:left w:val="single" w:color="2E5C8A" w:sz="12" w:space="8"/>
        </w:pBdr>
        <w:spacing w:after="120"/>
        <w:ind w:left="284"/>
      </w:pPr>
      <w:r>
        <w:rPr>
          <w:i w:val="false"/>
          <w:iCs w:val="false"/>
        </w:rPr>
        <w:t xml:space="preserve">Un petit projet simple, en dirhams, avec un contrat ferme, passe en régime simplifié S. Un projet de plus de 1,5 milliard, en devises, consortial ou exposé au marché passe en régime renforcé L. Entre les deux, le régime standard M.</w:t>
      </w:r>
    </w:p>
    <w:p>
      <w:pPr>
        <w:pBdr>
          <w:left w:val="single" w:color="2E5C8A" w:sz="12" w:space="8"/>
        </w:pBdr>
        <w:spacing w:after="120"/>
        <w:ind w:left="284"/>
      </w:pPr>
      <w:r>
        <w:rPr>
          <w:i w:val="false"/>
          <w:iCs w:val="false"/>
        </w:rPr>
        <w:t xml:space="preserve">Si un problème apparaît, le régime monte tout seul : un verrou fait passer S en M, un plafond fait passer M en L. Et le régime simplifié ne supprime aucun plafond.</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CAPEX</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Coût d'investissement total du projet.</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707 MMAD pour la centrale solaire du cas C1.</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Exposition</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Montant total engagé par la banque sur le projet.</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465 MMAD de crédits accordés par la banque.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Consortium</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Financement partagé entre plusieurs banques.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Trois banques prêtent chacune un tiers de la dette.</w:t>
            </w:r>
          </w:p>
        </w:tc>
      </w:tr>
    </w:tbl>
    <w:p>
      <w:pPr>
        <w:pStyle w:val="Heading2"/>
        <w:spacing w:after="120" w:before="240"/>
      </w:pPr>
      <w:r>
        <w:t xml:space="preserve">Diapositive 12 — Ce que chaque régime modifie, et la règle d'or</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Le régime d'instruction change la profondeur du jugement expert : nombre de critères, nombre de scénarios de stress, revues externes, périodicité de revue.</w:t>
      </w:r>
    </w:p>
    <w:p>
      <w:pPr>
        <w:pBdr>
          <w:left w:val="single" w:color="2E5C8A" w:sz="12" w:space="8"/>
        </w:pBdr>
        <w:spacing w:after="120"/>
        <w:ind w:left="284"/>
      </w:pPr>
      <w:r>
        <w:rPr>
          <w:i w:val="false"/>
          <w:iCs w:val="false"/>
        </w:rPr>
        <w:t xml:space="preserve">Mais quatre éléments ne s'allègent jamais : les verrous et plafonds ; le DSCR minimum par échéance sur un modèle de flux daté ; le module Maroc ; et les trois stress minimaux du régime de revenus.</w:t>
      </w:r>
    </w:p>
    <w:p>
      <w:pPr>
        <w:pBdr>
          <w:left w:val="single" w:color="2E5C8A" w:sz="12" w:space="8"/>
        </w:pBdr>
        <w:spacing w:after="120"/>
        <w:ind w:left="284"/>
      </w:pPr>
      <w:r>
        <w:rPr>
          <w:i w:val="false"/>
          <w:iCs w:val="false"/>
        </w:rPr>
        <w:t xml:space="preserve">Anti-contournement : fractionner un projet en plusieurs SPV ou en tranches ne réduit pas le régime ; les expositions d'un même ensemble économique sont agrégées.</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Ingénieur indépendant</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Expert technique mandaté par les prêteurs pour vérifier conception, coûts, planning et avancement.</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Rapport mensuel de l'ingénieur indépendant pendant la construction.</w:t>
            </w:r>
          </w:p>
        </w:tc>
      </w:tr>
    </w:tbl>
    <w:p>
      <w:pPr>
        <w:pStyle w:val="Heading2"/>
        <w:spacing w:after="120" w:before="240"/>
      </w:pPr>
      <w:r>
        <w:t xml:space="preserve">Diapositive 13 — Quatre classes de règles non compensables</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Les règles qui priment sur la moyenne sont réparties en quatre classes, parce qu'une exclusion réglementaire, une pièce manquante et une fragilité structurelle n'appellent ni le même traitement ni la même autorité de levée.</w:t>
      </w:r>
    </w:p>
    <w:p>
      <w:pPr>
        <w:pBdr>
          <w:left w:val="single" w:color="2E5C8A" w:sz="12" w:space="8"/>
        </w:pBdr>
        <w:spacing w:after="120"/>
        <w:ind w:left="284"/>
      </w:pPr>
      <w:r>
        <w:rPr>
          <w:i w:val="false"/>
          <w:iCs w:val="false"/>
        </w:rPr>
        <w:t xml:space="preserve">X, exclusion : aucune note, et aucune dérogation hiérarchique possible. B, blocage : note provisoire, un stade est bloqué, levé par la fonction métier sur preuve. C, plafond : la note ne peut dépasser un niveau, levée par le comité de crédit. K, condition : la note est produite, avec une condition suspensive datée.</w:t>
      </w:r>
    </w:p>
    <w:p>
      <w:pPr>
        <w:pBdr>
          <w:left w:val="single" w:color="2E5C8A" w:sz="12" w:space="8"/>
        </w:pBdr>
        <w:spacing w:after="120"/>
        <w:ind w:left="284"/>
      </w:pPr>
      <w:r>
        <w:rPr>
          <w:i w:val="false"/>
          <w:iCs w:val="false"/>
        </w:rPr>
        <w:t xml:space="preserve">L'ordre d'application est toujours le même : X, puis B, puis le score, puis C, puis K.</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Condition suspensive</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Condition qui doit être remplie avant un tirage ou un engagement, avec une échéance.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Couverture de change à mettre en place avant le premier tirage.</w:t>
            </w:r>
          </w:p>
        </w:tc>
      </w:tr>
    </w:tbl>
    <w:p>
      <w:pPr>
        <w:pStyle w:val="Heading2"/>
        <w:spacing w:after="120" w:before="240"/>
      </w:pPr>
      <w:r>
        <w:t xml:space="preserve">Diapositive 14 — Exclusions X1 à X4 et blocages B1 à B8</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Au-delà des plafonds, deux familles de verrous.</w:t>
      </w:r>
    </w:p>
    <w:p>
      <w:pPr>
        <w:pBdr>
          <w:left w:val="single" w:color="2E5C8A" w:sz="12" w:space="8"/>
        </w:pBdr>
        <w:spacing w:after="120"/>
        <w:ind w:left="284"/>
      </w:pPr>
      <w:r>
        <w:rPr>
          <w:i w:val="false"/>
          <w:iCs w:val="false"/>
        </w:rPr>
        <w:t xml:space="preserve">Une exclusion arrête tout : on ne note pas un projet dont une contrepartie est sous sanctions ou dont l'activité est interdite.</w:t>
      </w:r>
    </w:p>
    <w:p>
      <w:pPr>
        <w:pBdr>
          <w:left w:val="single" w:color="2E5C8A" w:sz="12" w:space="8"/>
        </w:pBdr>
        <w:spacing w:after="120"/>
        <w:ind w:left="284"/>
      </w:pPr>
      <w:r>
        <w:rPr>
          <w:i w:val="false"/>
          <w:iCs w:val="false"/>
        </w:rPr>
        <w:t xml:space="preserve">Un blocage laisse calculer la note, mais elle reste provisoire, et l'outil indique le stade bloqué : l'octroi, le décaissement ou la validation de la note. Par exemple, un EPC non signé en construction bloque l'octroi.</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LBC-FT</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Lutte contre le blanchiment de capitaux et le financement du terrorisme.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Contrepartie signalée par le dispositif de conformité : exclusion X3.</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Avis juridique d'opposabilité</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Avis d'un avocat confirmant que les sûretés sont valables et opposables aux tiers.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Réserve sur le nantissement des créances : blocage B5 (cas IND).</w:t>
            </w:r>
          </w:p>
        </w:tc>
      </w:tr>
    </w:tbl>
    <w:p>
      <w:pPr>
        <w:pStyle w:val="Heading2"/>
        <w:spacing w:after="120" w:before="240"/>
      </w:pPr>
      <w:r>
        <w:t xml:space="preserve">Diapositive 15 — Les quinze plafonds de note</w:t>
      </w:r>
    </w:p>
    <w:p>
      <w:pPr>
        <w:spacing w:after="120"/>
        <w:rPr>
          <w:i/>
          <w:iCs/>
          <w:color w:val="666666"/>
        </w:rPr>
      </w:pPr>
      <w:r>
        <w:rPr>
          <w:i/>
          <w:iCs/>
          <w:color w:val="666666"/>
        </w:rPr>
        <w:t xml:space="preserve">Durée indicative : 2 min 30</w:t>
      </w:r>
    </w:p>
    <w:p>
      <w:pPr>
        <w:pStyle w:val="Heading3"/>
        <w:spacing w:after="80" w:before="160"/>
      </w:pPr>
      <w:r>
        <w:t xml:space="preserve">À dire</w:t>
      </w:r>
    </w:p>
    <w:p>
      <w:pPr>
        <w:pBdr>
          <w:left w:val="single" w:color="2E5C8A" w:sz="12" w:space="8"/>
        </w:pBdr>
        <w:spacing w:after="120"/>
        <w:ind w:left="284"/>
      </w:pPr>
      <w:r>
        <w:rPr>
          <w:i w:val="false"/>
          <w:iCs w:val="false"/>
        </w:rPr>
        <w:t xml:space="preserve">Voici les quinze plafonds. Chacun est déclenché par une donnée chiffrée, jamais par un avis.</w:t>
      </w:r>
    </w:p>
    <w:p>
      <w:pPr>
        <w:pBdr>
          <w:left w:val="single" w:color="2E5C8A" w:sz="12" w:space="8"/>
        </w:pBdr>
        <w:spacing w:after="120"/>
        <w:ind w:left="284"/>
      </w:pPr>
      <w:r>
        <w:rPr>
          <w:i w:val="false"/>
          <w:iCs w:val="false"/>
        </w:rPr>
        <w:t xml:space="preserve">Trois familles : la couverture de la dette (C1 à C4 : DSCR, stress, LLCR) ; la structure (C5 à C9 : durée du contrat, change, réserve, refinancement, levier) ; les contreparties et le contexte (C10 à C15 : acheteur unique, climat, sponsor, opérateur, concentration du groupe, évaluation partielle).</w:t>
      </w:r>
    </w:p>
    <w:p>
      <w:pPr>
        <w:pBdr>
          <w:left w:val="single" w:color="2E5C8A" w:sz="12" w:space="8"/>
        </w:pBdr>
        <w:spacing w:after="120"/>
        <w:ind w:left="284"/>
      </w:pPr>
      <w:r>
        <w:rPr>
          <w:i w:val="false"/>
          <w:iCs w:val="false"/>
        </w:rPr>
        <w:t xml:space="preserve">Le niveau de chaque plafond et son seuil sont des paramètres que nous soumettons à votre validation.</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Plafond</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Note maximale imposée par un fait objectif.</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DSCR stressé 0,75 &lt; 1,00 : plafond C3, note ≤ 4.</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BBB−</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Plus basse notation de la catégorie « investissement » ; en dessous, risque spéculatif.</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Un acheteur noté BB+ est sous BBB−.</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Refinancement (ballon)</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Part de la dette remboursée en une fois à la fin, à refinancer.</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35 % du prêt dû en une fois à 10 ans (cas ETH, plafond C8).</w:t>
            </w:r>
          </w:p>
        </w:tc>
      </w:tr>
    </w:tbl>
    <w:p>
      <w:pPr>
        <w:pStyle w:val="Heading3"/>
        <w:spacing w:after="80" w:before="160"/>
      </w:pPr>
      <w:r>
        <w:t xml:space="preserve">Questions possibles des experts</w:t>
      </w:r>
    </w:p>
    <w:p>
      <w:pPr>
        <w:spacing w:after="40"/>
      </w:pPr>
      <w:r>
        <w:rPr>
          <w:b/>
          <w:bCs/>
        </w:rPr>
        <w:t xml:space="preserve">Q : Un plafond peut-il être levé ?</w:t>
      </w:r>
    </w:p>
    <w:p>
      <w:pPr>
        <w:spacing w:after="120"/>
      </w:pPr>
      <w:r>
        <w:t xml:space="preserve">R : Oui, en changeant la donnée : couverture de change, apport de fonds propres, réserve supplémentaire. L'outil recalcule immédiatement. Le bloc 13 sert à écrire la mesure qui lèverait le plafond.</w:t>
      </w:r>
    </w:p>
    <w:p>
      <w:pPr>
        <w:pStyle w:val="Heading2"/>
        <w:spacing w:after="120" w:before="240"/>
      </w:pPr>
      <w:r>
        <w:t xml:space="preserve">Diapositive 16 — Conditions K et règles d'articulation</w:t>
      </w:r>
    </w:p>
    <w:p>
      <w:pPr>
        <w:spacing w:after="120"/>
        <w:rPr>
          <w:i/>
          <w:iCs/>
          <w:color w:val="666666"/>
        </w:rPr>
      </w:pPr>
      <w:r>
        <w:rPr>
          <w:i/>
          <w:iCs/>
          <w:color w:val="666666"/>
        </w:rPr>
        <w:t xml:space="preserve">Durée indicative : 1 min</w:t>
      </w:r>
    </w:p>
    <w:p>
      <w:pPr>
        <w:pStyle w:val="Heading3"/>
        <w:spacing w:after="80" w:before="160"/>
      </w:pPr>
      <w:r>
        <w:t xml:space="preserve">À dire</w:t>
      </w:r>
    </w:p>
    <w:p>
      <w:pPr>
        <w:pBdr>
          <w:left w:val="single" w:color="2E5C8A" w:sz="12" w:space="8"/>
        </w:pBdr>
        <w:spacing w:after="120"/>
        <w:ind w:left="284"/>
      </w:pPr>
      <w:r>
        <w:rPr>
          <w:i w:val="false"/>
          <w:iCs w:val="false"/>
        </w:rPr>
        <w:t xml:space="preserve">Les conditions K accompagnent une note produite : sûreté à inscrire, autorisation à renouveler, plan ESG financé et jalonné, couverture à mettre en place au premier tirage, cascade à signer, pièce non essentielle manquante. Chaque condition a une échéance ; à expiration, la règle se réactive.</w:t>
      </w:r>
    </w:p>
    <w:p>
      <w:pPr>
        <w:pBdr>
          <w:left w:val="single" w:color="2E5C8A" w:sz="12" w:space="8"/>
        </w:pBdr>
        <w:spacing w:after="120"/>
        <w:ind w:left="284"/>
      </w:pPr>
      <w:r>
        <w:rPr>
          <w:i w:val="false"/>
          <w:iCs w:val="false"/>
        </w:rPr>
        <w:t xml:space="preserve">Chaque règle porte une fiche complète, y compris son lien vers les critères déjà affectés, pour ne pas sanctionner deux fois le même fait.</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Cascade de paiement</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Ordre de priorité des paiements sur les comptes de la SPV.</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Charges, puis dette, puis réserves, puis dividendes.</w:t>
            </w:r>
          </w:p>
        </w:tc>
      </w:tr>
    </w:tbl>
    <w:p>
      <w:pPr>
        <w:pStyle w:val="Heading2"/>
        <w:spacing w:after="120" w:before="240"/>
      </w:pPr>
      <w:r>
        <w:t xml:space="preserve">Diapositive 17 — Le modèle de flux daté</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Le noyau financier est calculé à partir d'un modèle de flux daté, à la périodicité du service de la dette : mensuelle, trimestrielle ou semestrielle, jamais annuelle.</w:t>
      </w:r>
    </w:p>
    <w:p>
      <w:pPr>
        <w:pBdr>
          <w:left w:val="single" w:color="2E5C8A" w:sz="12" w:space="8"/>
        </w:pBdr>
        <w:spacing w:after="120"/>
        <w:ind w:left="284"/>
      </w:pPr>
      <w:r>
        <w:rPr>
          <w:i w:val="false"/>
          <w:iCs w:val="false"/>
        </w:rPr>
        <w:t xml:space="preserve">Le CFADS est l'EBITDA retraité, moins l'impôt payé, la variation du besoin en fonds de roulement et les investissements de maintien, plus ou moins les règlements de couverture. Les apports, les tirages, le cash bloqué et les subventions non encaissées en sont exclus. La DSRA apparaît dans la liquidité, jamais au numérateur.</w:t>
      </w:r>
    </w:p>
    <w:p>
      <w:pPr>
        <w:pBdr>
          <w:left w:val="single" w:color="2E5C8A" w:sz="12" w:space="8"/>
        </w:pBdr>
        <w:spacing w:after="120"/>
        <w:ind w:left="284"/>
      </w:pPr>
      <w:r>
        <w:rPr>
          <w:i w:val="false"/>
          <w:iCs w:val="false"/>
        </w:rPr>
        <w:t xml:space="preserve">DSCR minimum : le plus faible de toutes les échéances. LLCR : valeur actuelle des CFADS jusqu'à la maturité, divisée par l'encours.</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EBITDA</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Résultat d'exploitation avant amortissements, intérêts et impôts.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Recettes 73 − charges 11 = EBITDA 62 MMAD.</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BFR</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Besoin en fonds de roulement : argent immobilisé dans les créances et les stocks.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Un acheteur qui paie à 90 jours augmente le BFR.</w:t>
            </w:r>
          </w:p>
        </w:tc>
      </w:tr>
    </w:tbl>
    <w:p>
      <w:pPr>
        <w:pStyle w:val="Heading2"/>
        <w:spacing w:after="120" w:before="240"/>
      </w:pPr>
      <w:r>
        <w:t xml:space="preserve">Diapositive 18 — Noyau financier D7 : six indicateurs</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Le noyau financier est le domaine le plus lourd : 25 à 30 % de la note.</w:t>
      </w:r>
    </w:p>
    <w:p>
      <w:pPr>
        <w:pBdr>
          <w:left w:val="single" w:color="2E5C8A" w:sz="12" w:space="8"/>
        </w:pBdr>
        <w:spacing w:after="120"/>
        <w:ind w:left="284"/>
      </w:pPr>
      <w:r>
        <w:rPr>
          <w:i w:val="false"/>
          <w:iCs w:val="false"/>
        </w:rPr>
        <w:t xml:space="preserve">N1 et N2 mesurent le DSCR minimum, dans le scénario central puis dans un scénario défavorable. N3 mesure le LLCR, ou en construction la couverture du besoin de financement. Ces trois-là sont calculés par l'outil.</w:t>
      </w:r>
    </w:p>
    <w:p>
      <w:pPr>
        <w:pBdr>
          <w:left w:val="single" w:color="2E5C8A" w:sz="12" w:space="8"/>
        </w:pBdr>
        <w:spacing w:after="120"/>
        <w:ind w:left="284"/>
      </w:pPr>
      <w:r>
        <w:rPr>
          <w:i w:val="false"/>
          <w:iCs w:val="false"/>
        </w:rPr>
        <w:t xml:space="preserve">N4 la liquidité de réserve, N5 le levier, N6 l'exposition résiduelle aux taux et au change : l'analyste choisit la situation dans une liste.</w:t>
      </w:r>
    </w:p>
    <w:p>
      <w:pPr>
        <w:pBdr>
          <w:left w:val="single" w:color="2E5C8A" w:sz="12" w:space="8"/>
        </w:pBdr>
        <w:spacing w:after="120"/>
        <w:ind w:left="284"/>
      </w:pPr>
      <w:r>
        <w:rPr>
          <w:i w:val="false"/>
          <w:iCs w:val="false"/>
        </w:rPr>
        <w:t xml:space="preserve">Une information manquante n'est jamais neutre : elle compte comme critique et rend la note provisoire.</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LLCR</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Loan Life Coverage Ratio : valeur actuelle des CFADS sur la durée du prêt ÷ dette restante.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Valeur actuelle des flux 680 ÷ dette 500 = 1,36.</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Scénario défavorable (stress)</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Hypothèse dégradée : production plus faible, coûts plus élevés, prix plus bas.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Production P90 et charges +10 % : le DSCR tombe de 1,30 à 1,12.</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DSRA</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Debt Service Reserve Account : compte bloqué équivalant à plusieurs mois d'échéances.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6 mois de DSRA sur une échéance semestrielle de 19,45 MMAD = 19,45 MMAD bloqués.</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Levier, quote-part de dette</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Part du coût du projet financée par la dette.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465 de dette pour 707 de coût = 66 %.</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Financement à terminaison</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En construction : les ressources engagées couvrent-elles tout le besoin jusqu'à la mise en service ?</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Ressources 747 ÷ besoin 707 = 105,7 %.</w:t>
            </w:r>
          </w:p>
        </w:tc>
      </w:tr>
    </w:tbl>
    <w:p>
      <w:pPr>
        <w:pStyle w:val="Heading3"/>
        <w:spacing w:after="80" w:before="160"/>
      </w:pPr>
      <w:r>
        <w:t xml:space="preserve">Questions possibles des experts</w:t>
      </w:r>
    </w:p>
    <w:p>
      <w:pPr>
        <w:spacing w:after="40"/>
      </w:pPr>
      <w:r>
        <w:rPr>
          <w:b/>
          <w:bCs/>
        </w:rPr>
        <w:t xml:space="preserve">Q : Pourquoi le LLCR est-il saisi hors construction ?</w:t>
      </w:r>
    </w:p>
    <w:p>
      <w:pPr>
        <w:spacing w:after="120"/>
      </w:pPr>
      <w:r>
        <w:t xml:space="preserve">R : Parce que son barème n'est pas encore fixé par la doctrine : l'analyste note N3 à partir du LLCR calculé dans le modèle de flux. Le plafond C4 (LLCR &lt; 1,10) s'applique automatiquement.</w:t>
      </w:r>
    </w:p>
    <w:p>
      <w:pPr>
        <w:pStyle w:val="Heading2"/>
        <w:spacing w:after="120" w:before="240"/>
      </w:pPr>
      <w:r>
        <w:t xml:space="preserve">Diapositive 19 — Le piège du ratio annuel (cas C4A)</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C'est l'exemple qui parle le plus.</w:t>
      </w:r>
    </w:p>
    <w:p>
      <w:pPr>
        <w:pBdr>
          <w:left w:val="single" w:color="2E5C8A" w:sz="12" w:space="8"/>
        </w:pBdr>
        <w:spacing w:after="120"/>
        <w:ind w:left="284"/>
      </w:pPr>
      <w:r>
        <w:rPr>
          <w:i w:val="false"/>
          <w:iCs w:val="false"/>
        </w:rPr>
        <w:t xml:space="preserve">Une huilerie encaisse l'essentiel de ses recettes pendant la campagne d'olives. Sur l'année, le DSCR est de 1,53 : tout semble aller. Mais la dette se paie par semestre, et le semestre hors campagne ne couvre que 59 % de l'échéance.</w:t>
      </w:r>
    </w:p>
    <w:p>
      <w:pPr>
        <w:pBdr>
          <w:left w:val="single" w:color="2E5C8A" w:sz="12" w:space="8"/>
        </w:pBdr>
        <w:spacing w:after="120"/>
        <w:ind w:left="284"/>
      </w:pPr>
      <w:r>
        <w:rPr>
          <w:i w:val="false"/>
          <w:iCs w:val="false"/>
        </w:rPr>
        <w:t xml:space="preserve">Le modèle retient toujours le DSCR minimum échéance par échéance. Le même projet, restructuré avec un amortissement adapté aux saisons et une ligne de campagne, passe de 3 à 6 sans que son marché ait changé.</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Sculpture de l'amortissement</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Adapter le montant de chaque échéance aux flux de la période.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25 MMAD remboursés en campagne, 3,5 MMAD hors campagne (cas C4B).</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Ligne de campagne</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Crédit court terme qui finance le creux saisonnier.</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25 MMAD mobilisables pendant l'intercampagne.</w:t>
            </w:r>
          </w:p>
        </w:tc>
      </w:tr>
    </w:tbl>
    <w:p>
      <w:pPr>
        <w:pStyle w:val="Heading2"/>
        <w:spacing w:after="120" w:before="240"/>
      </w:pPr>
      <w:r>
        <w:t xml:space="preserve">Diapositive 20 — Bornes, cas atypiques et dérogation</w:t>
      </w:r>
    </w:p>
    <w:p>
      <w:pPr>
        <w:spacing w:after="120"/>
        <w:rPr>
          <w:i/>
          <w:iCs/>
          <w:color w:val="666666"/>
        </w:rPr>
      </w:pPr>
      <w:r>
        <w:rPr>
          <w:i/>
          <w:iCs/>
          <w:color w:val="666666"/>
        </w:rPr>
        <w:t xml:space="preserve">Durée indicative : 1 min</w:t>
      </w:r>
    </w:p>
    <w:p>
      <w:pPr>
        <w:pStyle w:val="Heading3"/>
        <w:spacing w:after="80" w:before="160"/>
      </w:pPr>
      <w:r>
        <w:t xml:space="preserve">À dire</w:t>
      </w:r>
    </w:p>
    <w:p>
      <w:pPr>
        <w:pBdr>
          <w:left w:val="single" w:color="2E5C8A" w:sz="12" w:space="8"/>
        </w:pBdr>
        <w:spacing w:after="120"/>
        <w:ind w:left="284"/>
      </w:pPr>
      <w:r>
        <w:rPr>
          <w:i w:val="false"/>
          <w:iCs w:val="false"/>
        </w:rPr>
        <w:t xml:space="preserve">Les plages sont fermées à gauche, ouvertes à droite, comparées sur la valeur non arrondie : pas de trou, pas de chevauchement.</w:t>
      </w:r>
    </w:p>
    <w:p>
      <w:pPr>
        <w:pBdr>
          <w:left w:val="single" w:color="2E5C8A" w:sz="12" w:space="8"/>
        </w:pBdr>
        <w:spacing w:after="120"/>
        <w:ind w:left="284"/>
      </w:pPr>
      <w:r>
        <w:rPr>
          <w:i w:val="false"/>
          <w:iCs w:val="false"/>
        </w:rPr>
        <w:t xml:space="preserve">Les cas atypiques ont un statut dédié, jamais une note favorable par défaut : une période de différé est signalée et exclue du minimum ; un CFADS négatif est critique d'office ; des capitaux propres négatifs ont un traitement séparé ; une valeur hors plage est refusée.</w:t>
      </w:r>
    </w:p>
    <w:p>
      <w:pPr>
        <w:pBdr>
          <w:left w:val="single" w:color="2E5C8A" w:sz="12" w:space="8"/>
        </w:pBdr>
        <w:spacing w:after="120"/>
        <w:ind w:left="284"/>
      </w:pPr>
      <w:r>
        <w:rPr>
          <w:i w:val="false"/>
          <w:iCs w:val="false"/>
        </w:rPr>
        <w:t xml:space="preserve">Une dérogation experte est possible mais tracée, à durée limitée, et ne franchit jamais un verrou.</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Période de différé</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Période sans remboursement, souvent pendant la construction.</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Deux ans de différé de capital : DSCR non calculé sur ces échéances.</w:t>
            </w:r>
          </w:p>
        </w:tc>
      </w:tr>
    </w:tbl>
    <w:p>
      <w:pPr>
        <w:pStyle w:val="Heading2"/>
        <w:spacing w:after="120" w:before="240"/>
      </w:pPr>
      <w:r>
        <w:t xml:space="preserve">Diapositive 21 — Seuils des règles soumis à validation</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Ce tableau regroupe tous les seuils numériques des règles : bornes du régime simplifié et de l'escalade, barème du test de financement à terminaison, seuils des plafonds, couverture minimale de la grille, valeur retenue pour une information insuffisante.</w:t>
      </w:r>
    </w:p>
    <w:p>
      <w:pPr>
        <w:pBdr>
          <w:left w:val="single" w:color="2E5C8A" w:sz="12" w:space="8"/>
        </w:pBdr>
        <w:spacing w:after="120"/>
        <w:ind w:left="284"/>
      </w:pPr>
      <w:r>
        <w:rPr>
          <w:i w:val="false"/>
          <w:iCs w:val="false"/>
        </w:rPr>
        <w:t xml:space="preserve">Ils sont tous modifiables dans l'onglet Paramètres de l'outil ; tous les dossiers se recalculent alors immédiatement.</w:t>
      </w:r>
    </w:p>
    <w:p>
      <w:pPr>
        <w:pStyle w:val="Heading2"/>
        <w:spacing w:after="120" w:before="240"/>
      </w:pPr>
      <w:r>
        <w:t xml:space="preserve">Diapositive 22 — Neuf domaines sans recouvrement</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La grille compte neuf domaines, définis pour qu'un même fait ne soit ni sanctionné ni valorisé deux fois.</w:t>
      </w:r>
    </w:p>
    <w:p>
      <w:pPr>
        <w:pBdr>
          <w:left w:val="single" w:color="2E5C8A" w:sz="12" w:space="8"/>
        </w:pBdr>
        <w:spacing w:after="120"/>
        <w:ind w:left="284"/>
      </w:pPr>
      <w:r>
        <w:rPr>
          <w:i w:val="false"/>
          <w:iCs w:val="false"/>
        </w:rPr>
        <w:t xml:space="preserve">Par exemple, le soutien du sponsor chiffré va dans le noyau N5, pas dans D1 ; le test chiffré de financement à terminaison va dans N3, pas dans D3 ; les effets chiffrés du climat vont dans les flux, D9 ne garde que le résiduel. Le prestige des prêteurs n'est pas noté.</w:t>
      </w:r>
    </w:p>
    <w:p>
      <w:pPr>
        <w:pStyle w:val="Heading2"/>
        <w:spacing w:after="120" w:before="240"/>
      </w:pPr>
      <w:r>
        <w:t xml:space="preserve">Diapositive 23 — Poids des domaines par phase</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Les poids des domaines changent avec la phase. En construction, le domaine construction pèse 20 % ; en exploitation il passe à zéro, et les recettes, l'exploitation et les contreparties prennent le relais. Le noyau financier pèse 25 à 30 %.</w:t>
      </w:r>
    </w:p>
    <w:p>
      <w:pPr>
        <w:pBdr>
          <w:left w:val="single" w:color="2E5C8A" w:sz="12" w:space="8"/>
        </w:pBdr>
        <w:spacing w:after="120"/>
        <w:ind w:left="284"/>
      </w:pPr>
      <w:r>
        <w:rPr>
          <w:i w:val="false"/>
          <w:iCs w:val="false"/>
        </w:rPr>
        <w:t xml:space="preserve">Deux conditions : D3 ne passe à zéro qu'après une réception complète documentée ; D9 ne descend à 5 % que si les effets climatiques sont intégrés aux flux, sinon il reste à 10 %.</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Sponsor</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Actionnaire qui développe le projet et apporte les fonds propres.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 énergéticien qui détient 60 % de la société de projet.</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EPC</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Engineering, Procurement, Construction : contrat clé-en-main confiant toute la construction à un seul constructeur.</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Le constructeur livre la centrale à prix et date garantis, sinon il paie des pénalités.</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O&amp;M</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Operation and Maintenance : contrat d'exploitation et d'entretien.</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 opérateur spécialisé exploite l'usine pendant 15 ans.</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ESG</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Environnement, Social, Gouvernance.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Étude d'impact environnemental, consultation des riverains, système de suivi.</w:t>
            </w:r>
          </w:p>
        </w:tc>
      </w:tr>
    </w:tbl>
    <w:p>
      <w:pPr>
        <w:pStyle w:val="Heading3"/>
        <w:spacing w:after="80" w:before="160"/>
      </w:pPr>
      <w:r>
        <w:t xml:space="preserve">Questions possibles des experts</w:t>
      </w:r>
    </w:p>
    <w:p>
      <w:pPr>
        <w:spacing w:after="40"/>
      </w:pPr>
      <w:r>
        <w:rPr>
          <w:b/>
          <w:bCs/>
        </w:rPr>
        <w:t xml:space="preserve">Q : Pourquoi le juridique pèse-t-il autant en exploitation (10 %) ?</w:t>
      </w:r>
    </w:p>
    <w:p>
      <w:pPr>
        <w:spacing w:after="120"/>
      </w:pPr>
      <w:r>
        <w:t xml:space="preserve">R : Parce que c'est en cas de difficulté que les sûretés et les accords directs servent : leur qualité détermine ce que la banque récupère.</w:t>
      </w:r>
    </w:p>
    <w:p>
      <w:pPr>
        <w:pStyle w:val="Heading2"/>
        <w:spacing w:after="120" w:before="240"/>
      </w:pPr>
      <w:r>
        <w:t xml:space="preserve">Diapositive 24 — Vingt-cinq sous-critères et leurs poids</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Chaque domaine est découpé en trois ou quatre sous-critères, avec un poids publié, identique quelle que soit la phase.</w:t>
      </w:r>
    </w:p>
    <w:p>
      <w:pPr>
        <w:pBdr>
          <w:left w:val="single" w:color="2E5C8A" w:sz="12" w:space="8"/>
        </w:pBdr>
        <w:spacing w:after="120"/>
        <w:ind w:left="284"/>
      </w:pPr>
      <w:r>
        <w:rPr>
          <w:i w:val="false"/>
          <w:iCs w:val="false"/>
        </w:rPr>
        <w:t xml:space="preserve">Par exemple, dans D6 Contreparties, l'acheteur ou payeur principal pèse 50 %, les fournisseurs critiques 20 %, les prêteurs et le consortium 30 %. Ces poids font partie de ce que nous vous soumettons.</w:t>
      </w:r>
    </w:p>
    <w:p>
      <w:pPr>
        <w:pStyle w:val="Heading2"/>
        <w:spacing w:after="120" w:before="240"/>
      </w:pPr>
      <w:r>
        <w:t xml:space="preserve">Diapositive 25 — On choisit une situation, la note en découle</w:t>
      </w:r>
    </w:p>
    <w:p>
      <w:pPr>
        <w:spacing w:after="120"/>
        <w:rPr>
          <w:i/>
          <w:iCs/>
          <w:color w:val="666666"/>
        </w:rPr>
      </w:pPr>
      <w:r>
        <w:rPr>
          <w:i/>
          <w:iCs/>
          <w:color w:val="666666"/>
        </w:rPr>
        <w:t xml:space="preserve">Durée indicative : 2 min 30</w:t>
      </w:r>
    </w:p>
    <w:p>
      <w:pPr>
        <w:pStyle w:val="Heading3"/>
        <w:spacing w:after="80" w:before="160"/>
      </w:pPr>
      <w:r>
        <w:t xml:space="preserve">À dire</w:t>
      </w:r>
    </w:p>
    <w:p>
      <w:pPr>
        <w:pBdr>
          <w:left w:val="single" w:color="2E5C8A" w:sz="12" w:space="8"/>
        </w:pBdr>
        <w:spacing w:after="120"/>
        <w:ind w:left="284"/>
      </w:pPr>
      <w:r>
        <w:rPr>
          <w:i w:val="false"/>
          <w:iCs w:val="false"/>
        </w:rPr>
        <w:t xml:space="preserve">Pour chaque sous-critère, l'analyste ne tape pas un chiffre : il choisit parmi quatre situations décrites, ou « information insuffisante ». La note s'affiche à côté. Deux analystes face au même dossier doivent ainsi arriver à la même note.</w:t>
      </w:r>
    </w:p>
    <w:p>
      <w:pPr>
        <w:pBdr>
          <w:left w:val="single" w:color="2E5C8A" w:sz="12" w:space="8"/>
        </w:pBdr>
        <w:spacing w:after="120"/>
        <w:ind w:left="284"/>
      </w:pPr>
      <w:r>
        <w:rPr>
          <w:i w:val="false"/>
          <w:iCs w:val="false"/>
        </w:rPr>
        <w:t xml:space="preserve">Pour quatre sous-critères dont le vocabulaire change vraiment d'un secteur à l'autre, la description est sectorielle : la technologie, la structure des recettes, le marché et la performance.</w:t>
      </w:r>
    </w:p>
    <w:p>
      <w:pPr>
        <w:pBdr>
          <w:left w:val="single" w:color="2E5C8A" w:sz="12" w:space="8"/>
        </w:pBdr>
        <w:spacing w:after="120"/>
        <w:ind w:left="284"/>
      </w:pPr>
      <w:r>
        <w:rPr>
          <w:i w:val="false"/>
          <w:iCs w:val="false"/>
        </w:rPr>
        <w:t xml:space="preserve">Si l'analyste choisit Critique ou Information insuffisante, il doit écrire un commentaire. Le détail complet, avec un exemple par situation, est dans la grille expliquée que nous vous remettons.</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P50 / P90</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Production atteinte avec une probabilité de 50 % / 90 %. Le P90 est le scénario prudent.</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P50 152 GWh, P90 140 GWh par an.</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Information insuffisante</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La pièce qui permettrait de juger manque. Comptée comme Critique (20), note provisoire.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L'étude d'impact social n'a pas été remise (cas SAN).</w:t>
            </w:r>
          </w:p>
        </w:tc>
      </w:tr>
    </w:tbl>
    <w:p>
      <w:pPr>
        <w:pStyle w:val="Heading3"/>
        <w:spacing w:after="80" w:before="160"/>
      </w:pPr>
      <w:r>
        <w:t xml:space="preserve">Questions possibles des experts</w:t>
      </w:r>
    </w:p>
    <w:p>
      <w:pPr>
        <w:spacing w:after="40"/>
      </w:pPr>
      <w:r>
        <w:rPr>
          <w:b/>
          <w:bCs/>
        </w:rPr>
        <w:t xml:space="preserve">Q : Quatre niveaux suffisent-ils ?</w:t>
      </w:r>
    </w:p>
    <w:p>
      <w:pPr>
        <w:spacing w:after="120"/>
      </w:pPr>
      <w:r>
        <w:t xml:space="preserve">R : Ils limitent les écarts entre analystes. La nuance passe par le commentaire. Si vous identifiez des situations fréquentes qui ne rentrent dans aucune case, c'est exactement le retour que nous cherchons.</w:t>
      </w:r>
    </w:p>
    <w:p>
      <w:pPr>
        <w:pStyle w:val="Heading2"/>
        <w:spacing w:after="120" w:before="240"/>
      </w:pPr>
      <w:r>
        <w:t xml:space="preserve">Diapositive 26 — Échelle et complétude</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Quatre ancres sans niveau central : 100, 80, 50 et 20. L'écart de 80 à 50 est plus grand que celui de 100 à 80 : c'est une hypothèse assumée, testée en sensibilité.</w:t>
      </w:r>
    </w:p>
    <w:p>
      <w:pPr>
        <w:pBdr>
          <w:left w:val="single" w:color="2E5C8A" w:sz="12" w:space="8"/>
        </w:pBdr>
        <w:spacing w:after="120"/>
        <w:ind w:left="284"/>
      </w:pPr>
      <w:r>
        <w:rPr>
          <w:i w:val="false"/>
          <w:iCs w:val="false"/>
        </w:rPr>
        <w:t xml:space="preserve">« Information insuffisante » n'est pas une note : elle compte 20 dans le calcul, sans renormalisation sur les seuls critères renseignés, et elle réduit la complétude. Une note validée exige 100 % des critères requis et 95 % de couverture pondérée ; sinon la note est provisoire et plafonnée à 6.</w:t>
      </w:r>
    </w:p>
    <w:p>
      <w:pPr>
        <w:pBdr>
          <w:left w:val="single" w:color="2E5C8A" w:sz="12" w:space="8"/>
        </w:pBdr>
        <w:spacing w:after="120"/>
        <w:ind w:left="284"/>
      </w:pPr>
      <w:r>
        <w:rPr>
          <w:i w:val="false"/>
          <w:iCs w:val="false"/>
        </w:rPr>
        <w:t xml:space="preserve">Un critère non applicable ne peut résulter que d'une règle approuvée, jamais d'un choix de l'analyste.</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Renormalisation</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Recalculer la moyenne sur les seuls critères renseignés, ce qui ferait disparaître les trous du dossier.</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Trois critères manquants ignorés : la moyenne des autres paraît bonne alors que l'analyse est incomplète.</w:t>
            </w:r>
          </w:p>
        </w:tc>
      </w:tr>
    </w:tbl>
    <w:p>
      <w:pPr>
        <w:pStyle w:val="Heading2"/>
        <w:spacing w:after="120" w:before="240"/>
      </w:pPr>
      <w:r>
        <w:t xml:space="preserve">Diapositive 27 — Module Maroc : référentiel réglementaire daté</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Le module Maroc s'appuie sur un référentiel réglementaire daté : circulaire 1/W/2025 sur la classification, directive 3/W/2025 sur la consortialisation, directives 5/W/2021 sur le climat et 3/W/2021 sur les concentrations, loi 21-18 sur les sûretés mobilières, instruction générale des opérations de change, et Bâle CRE33 comme comparaison méthodologique.</w:t>
      </w:r>
    </w:p>
    <w:p>
      <w:pPr>
        <w:pBdr>
          <w:left w:val="single" w:color="2E5C8A" w:sz="12" w:space="8"/>
        </w:pBdr>
        <w:spacing w:after="120"/>
        <w:ind w:left="284"/>
      </w:pPr>
      <w:r>
        <w:rPr>
          <w:i w:val="false"/>
          <w:iCs w:val="false"/>
        </w:rPr>
        <w:t xml:space="preserve">La règle appliquée est celle en vigueur à la date d'évaluation ; un futur régime est accessible en simulation, identifié comme tel.</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IGOC</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Instruction générale des opérations de change de l'Office des changes.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Éligibilité d'un emprunt en devises et de sa couverture.</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CRE33</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Partie du cadre de Bâle qui traite des financements spécialisés.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Utilisé comme référence de méthode, sans effet automatique sur le capital.</w:t>
            </w:r>
          </w:p>
        </w:tc>
      </w:tr>
    </w:tbl>
    <w:p>
      <w:pPr>
        <w:pStyle w:val="Heading2"/>
        <w:spacing w:after="120" w:before="240"/>
      </w:pPr>
      <w:r>
        <w:t xml:space="preserve">Diapositive 28 — Module Maroc : huit thèmes transversaux</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Huit thèmes, chacun injecté dans les blocs existants.</w:t>
      </w:r>
    </w:p>
    <w:p>
      <w:pPr>
        <w:pBdr>
          <w:left w:val="single" w:color="2E5C8A" w:sz="12" w:space="8"/>
        </w:pBdr>
        <w:spacing w:after="120"/>
        <w:ind w:left="284"/>
      </w:pPr>
      <w:r>
        <w:rPr>
          <w:i w:val="false"/>
          <w:iCs w:val="false"/>
        </w:rPr>
        <w:t xml:space="preserve">M1 le foncier : nature du droit, titre foncier, melk, terre collective, guich, habous, domaine public ; durée du droit au moins égale à la dette plus 24 mois, sinon blocage B4. M2 l'acheteur public : cinq niveaux, de l'État à l'entreprise privée ; une garantie souveraine ne se présume pas ; une subvention n'est une ressource qu'une fois conventionnée et acquise ou encaissée.</w:t>
      </w:r>
    </w:p>
    <w:p>
      <w:pPr>
        <w:pBdr>
          <w:left w:val="single" w:color="2E5C8A" w:sz="12" w:space="8"/>
        </w:pBdr>
        <w:spacing w:after="120"/>
        <w:ind w:left="284"/>
      </w:pPr>
      <w:r>
        <w:rPr>
          <w:i w:val="false"/>
          <w:iCs w:val="false"/>
        </w:rPr>
        <w:t xml:space="preserve">M3 le change, mesuré par devise et par période. M4 la classification BAM, avec le test de levier prudentiel sur fonds propres comptables. M5 la consortialisation : la note est toujours celle de la banque, jamais celle du chef de file. M6 le climat et l'eau, analysés au site. M7 les sûretés, ligne par ligne, avec leur valeur réalisable. M8 les concentrations et l'ICAAP, qui alimentent le plafond C14.</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Melk, guich, habous</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Régimes fonciers marocains : propriété privée non immatriculée, terres de tribus militaires, biens de mainmorte religieuse.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 terrain habous impose des restrictions de cession et de sûreté.</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ICAAP</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Processus interne d'évaluation de l'adéquation des fonds propres.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Stress de portefeuille sur un même acheteur public.</w:t>
            </w:r>
          </w:p>
        </w:tc>
      </w:tr>
    </w:tbl>
    <w:p>
      <w:pPr>
        <w:pStyle w:val="Heading2"/>
        <w:spacing w:after="120" w:before="240"/>
      </w:pPr>
      <w:r>
        <w:t xml:space="preserve">Diapositive 29 — Stress : bibliothèque de chocs</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La note en scénario central ne conclut pas sur la bancabilité. La bibliothèque comprend dix facteurs de choc à deux niveaux : retard et surcoût de construction, recettes, coûts d'exploitation, taux, change, retard de paiement, disponibilité, climat et eau, refinancement.</w:t>
      </w:r>
    </w:p>
    <w:p>
      <w:pPr>
        <w:pBdr>
          <w:left w:val="single" w:color="2E5C8A" w:sz="12" w:space="8"/>
        </w:pBdr>
        <w:spacing w:after="120"/>
        <w:ind w:left="284"/>
      </w:pPr>
      <w:r>
        <w:rPr>
          <w:i w:val="false"/>
          <w:iCs w:val="false"/>
        </w:rPr>
        <w:t xml:space="preserve">Un choc de recettes de 20 % ne donne pas 20 % de baisse du CFADS : coûts fixes et variables sont recalculés, et les couvertures ne sont retenues que dans leurs limites contractuelles.</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Point de base (pb)</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 centième de point de pourcentage.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+200 pb : le taux passe de 5,5 % à 7,5 %.</w:t>
            </w:r>
          </w:p>
        </w:tc>
      </w:tr>
    </w:tbl>
    <w:p>
      <w:pPr>
        <w:pStyle w:val="Heading2"/>
        <w:spacing w:after="120" w:before="240"/>
      </w:pPr>
      <w:r>
        <w:t xml:space="preserve">Diapositive 30 — Scénarios obligatoires, combiné et test inversé</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Chaque régime de revenus a ses scénarios minimaux ; en construction s'ajoutent retard et surcoût, l'eau pour les projets concernés, le refinancement pour une dette avec ballon.</w:t>
      </w:r>
    </w:p>
    <w:p>
      <w:pPr>
        <w:pBdr>
          <w:left w:val="single" w:color="2E5C8A" w:sz="12" w:space="8"/>
        </w:pBdr>
        <w:spacing w:after="120"/>
        <w:ind w:left="284"/>
      </w:pPr>
      <w:r>
        <w:rPr>
          <w:i w:val="false"/>
          <w:iCs w:val="false"/>
        </w:rPr>
        <w:t xml:space="preserve">Le scénario combiné est un récit cohérent, pas une addition. Le test inversé cherche la variation qui fait passer le projet sous son seuil : baisse de recettes absorbable, retard finançable, surcoût maximal.</w:t>
      </w:r>
    </w:p>
    <w:p>
      <w:pPr>
        <w:pBdr>
          <w:left w:val="single" w:color="2E5C8A" w:sz="12" w:space="8"/>
        </w:pBdr>
        <w:spacing w:after="120"/>
        <w:ind w:left="284"/>
      </w:pPr>
      <w:r>
        <w:rPr>
          <w:i w:val="false"/>
          <w:iCs w:val="false"/>
        </w:rPr>
        <w:t xml:space="preserve">Les résultats sont mesurés avant et après recours à la DSRA et au sponsor, évalué dans le même scénario de tension.</w:t>
      </w:r>
    </w:p>
    <w:p>
      <w:pPr>
        <w:pStyle w:val="Heading2"/>
        <w:spacing w:after="120" w:before="240"/>
      </w:pPr>
      <w:r>
        <w:t xml:space="preserve">Diapositive 31 — Agrégation et table de conversion</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Une seule échelle : 0 à 100. Chaque domaine est une moyenne pondérée de ses sous-critères ; le score global est la somme des domaines pondérés selon la phase.</w:t>
      </w:r>
    </w:p>
    <w:p>
      <w:pPr>
        <w:pBdr>
          <w:left w:val="single" w:color="2E5C8A" w:sz="12" w:space="8"/>
        </w:pBdr>
        <w:spacing w:after="120"/>
        <w:ind w:left="284"/>
      </w:pPr>
      <w:r>
        <w:rPr>
          <w:i w:val="false"/>
          <w:iCs w:val="false"/>
        </w:rPr>
        <w:t xml:space="preserve">La table convertit le score en note de 1 à 10, avec un libellé et une orientation. La note 1 est atteignable par le calcul : un dossier critique partout obtient 20. Un dossier uniformément en vigilance obtient 50, donc 4 : une faiblesse générale ne produit pas une note moyenne rassurante.</w:t>
      </w:r>
    </w:p>
    <w:p>
      <w:pPr>
        <w:pBdr>
          <w:left w:val="single" w:color="2E5C8A" w:sz="12" w:space="8"/>
        </w:pBdr>
        <w:spacing w:after="120"/>
        <w:ind w:left="284"/>
      </w:pPr>
      <w:r>
        <w:rPr>
          <w:i w:val="false"/>
          <w:iCs w:val="false"/>
        </w:rPr>
        <w:t xml:space="preserve">La largeur des bandes fixe la sévérité d'ensemble du dispositif : c'est un point à trancher.</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Moyenne pondérée</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Chaque note est multipliée par son poids, puis on additionne.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D1 : 80 × 40 % + 100 × 35 % + 80 × 25 % = 87.</w:t>
            </w:r>
          </w:p>
        </w:tc>
      </w:tr>
    </w:tbl>
    <w:p>
      <w:pPr>
        <w:pStyle w:val="Heading2"/>
        <w:spacing w:after="120" w:before="240"/>
      </w:pPr>
      <w:r>
        <w:t xml:space="preserve">Diapositive 32 — L'anti-compensation en deux exemples</w:t>
      </w:r>
    </w:p>
    <w:p>
      <w:pPr>
        <w:spacing w:after="120"/>
        <w:rPr>
          <w:i/>
          <w:iCs/>
          <w:color w:val="666666"/>
        </w:rPr>
      </w:pPr>
      <w:r>
        <w:rPr>
          <w:i/>
          <w:iCs/>
          <w:color w:val="666666"/>
        </w:rPr>
        <w:t xml:space="preserve">Durée indicative : 2 min 30</w:t>
      </w:r>
    </w:p>
    <w:p>
      <w:pPr>
        <w:pStyle w:val="Heading3"/>
        <w:spacing w:after="80" w:before="160"/>
      </w:pPr>
      <w:r>
        <w:t xml:space="preserve">À dire</w:t>
      </w:r>
    </w:p>
    <w:p>
      <w:pPr>
        <w:pBdr>
          <w:left w:val="single" w:color="2E5C8A" w:sz="12" w:space="8"/>
        </w:pBdr>
        <w:spacing w:after="120"/>
        <w:ind w:left="284"/>
      </w:pPr>
      <w:r>
        <w:rPr>
          <w:i w:val="false"/>
          <w:iCs w:val="false"/>
        </w:rPr>
        <w:t xml:space="preserve">Deux exemples.</w:t>
      </w:r>
    </w:p>
    <w:p>
      <w:pPr>
        <w:pBdr>
          <w:left w:val="single" w:color="2E5C8A" w:sz="12" w:space="8"/>
        </w:pBdr>
        <w:spacing w:after="120"/>
        <w:ind w:left="284"/>
      </w:pPr>
      <w:r>
        <w:rPr>
          <w:i w:val="false"/>
          <w:iCs w:val="false"/>
        </w:rPr>
        <w:t xml:space="preserve">Premier : un dossier en exploitation avec le noyau financier à 20 et les huit autres domaines à 80. Score : 0,30 × 20 + 0,70 × 80 = 62, donc 5. Et le plafond C2 s'active, la note reste à 5.</w:t>
      </w:r>
    </w:p>
    <w:p>
      <w:pPr>
        <w:pBdr>
          <w:left w:val="single" w:color="2E5C8A" w:sz="12" w:space="8"/>
        </w:pBdr>
        <w:spacing w:after="120"/>
        <w:ind w:left="284"/>
      </w:pPr>
      <w:r>
        <w:rPr>
          <w:i w:val="false"/>
          <w:iCs w:val="false"/>
        </w:rPr>
        <w:t xml:space="preserve">Second, le cas C3 : un hôtel au dossier excellent, sponsor et documentation à 100, score 73,7, note 7. Mais son semestre creux ne couvre pas la dette sous stress : C2 et C3, note approuvée 4.</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Plafond</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Note maximale imposée par un fait objectif.</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DSCR stressé 0,75 &lt; 1,00 : plafond C3, note ≤ 4.</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BBB−</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Plus basse notation de la catégorie « investissement » ; en dessous, risque spéculatif.</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Un acheteur noté BB+ est sous BBB−.</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Refinancement (ballon)</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Part de la dette remboursée en une fois à la fin, à refinancer.</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35 % du prêt dû en une fois à 10 ans (cas ETH, plafond C8).</w:t>
            </w:r>
          </w:p>
        </w:tc>
      </w:tr>
    </w:tbl>
    <w:p>
      <w:pPr>
        <w:pStyle w:val="Heading3"/>
        <w:spacing w:after="80" w:before="160"/>
      </w:pPr>
      <w:r>
        <w:t xml:space="preserve">Questions possibles des experts</w:t>
      </w:r>
    </w:p>
    <w:p>
      <w:pPr>
        <w:spacing w:after="40"/>
      </w:pPr>
      <w:r>
        <w:rPr>
          <w:b/>
          <w:bCs/>
        </w:rPr>
        <w:t xml:space="preserve">Q : Un plafond peut-il être levé ?</w:t>
      </w:r>
    </w:p>
    <w:p>
      <w:pPr>
        <w:spacing w:after="120"/>
      </w:pPr>
      <w:r>
        <w:t xml:space="preserve">R : Oui, en changeant la donnée : couverture de change, apport de fonds propres, réserve supplémentaire. L'outil recalcule immédiatement. Le bloc 13 sert à écrire la mesure qui lèverait le plafond.</w:t>
      </w:r>
    </w:p>
    <w:p>
      <w:pPr>
        <w:pStyle w:val="Heading2"/>
        <w:spacing w:after="120" w:before="240"/>
      </w:pPr>
      <w:r>
        <w:t xml:space="preserve">Diapositive 33 — Huit sorties distinctes, une note ordinale</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Le modèle produit huit sorties sans équivalence automatique : la note, les plafonds actifs, le statut de décision, l'état de défaut, la classification BAM, le statut IFRS 9, l'analyse de la facilité et les conditions d'utilisation.</w:t>
      </w:r>
    </w:p>
    <w:p>
      <w:pPr>
        <w:pBdr>
          <w:left w:val="single" w:color="2E5C8A" w:sz="12" w:space="8"/>
        </w:pBdr>
        <w:spacing w:after="120"/>
        <w:ind w:left="284"/>
      </w:pPr>
      <w:r>
        <w:rPr>
          <w:i w:val="false"/>
          <w:iCs w:val="false"/>
        </w:rPr>
        <w:t xml:space="preserve">Une opération refusée n'est pas en défaut ; un défaut avéré ne s'efface pas par une bonne moyenne ; le statut BAM « sensible » n'est pas assimilé à un stage IFRS 9.</w:t>
      </w:r>
    </w:p>
    <w:p>
      <w:pPr>
        <w:pBdr>
          <w:left w:val="single" w:color="2E5C8A" w:sz="12" w:space="8"/>
        </w:pBdr>
        <w:spacing w:after="120"/>
        <w:ind w:left="284"/>
      </w:pPr>
      <w:r>
        <w:rPr>
          <w:i w:val="false"/>
          <w:iCs w:val="false"/>
        </w:rPr>
        <w:t xml:space="preserve">Enfin, aucune probabilité de défaut n'est annoncée : tant que la calibration n'est pas faite, la note est ordinale. Elle n'emporte aucune baisse mécanique d'actifs pondérés.</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Note ordinale</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Note qui classe les dossiers du meilleur au moins bon, sans dire une probabilité de défaut.</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 8 est meilleur qu'un 6, sans dire « 1 % de défaut ».</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IFRS 9 (stage)</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Norme comptable de provisionnement : stage 1, 2 ou 3 selon la dégradation depuis l'origine.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Un prêt noté 6 depuis l'origine reste en stage 1 ; un prêt passé de 9 à 6 peut aller en stage 2.</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LGD</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Perte en cas de défaut, après récupérations.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Sûretés solides : LGD de 25 %.</w:t>
            </w:r>
          </w:p>
        </w:tc>
      </w:tr>
    </w:tbl>
    <w:p>
      <w:pPr>
        <w:pStyle w:val="Heading2"/>
        <w:spacing w:after="120" w:before="240"/>
      </w:pPr>
      <w:r>
        <w:t xml:space="preserve">Diapositive 34 — L'outil Excel : un dossier par onglet</w:t>
      </w:r>
    </w:p>
    <w:p>
      <w:pPr>
        <w:spacing w:after="120"/>
        <w:rPr>
          <w:i/>
          <w:iCs/>
          <w:color w:val="666666"/>
        </w:rPr>
      </w:pPr>
      <w:r>
        <w:rPr>
          <w:i/>
          <w:iCs/>
          <w:color w:val="666666"/>
        </w:rPr>
        <w:t xml:space="preserve">Durée indicative : 3 min avec démonstration</w:t>
      </w:r>
    </w:p>
    <w:p>
      <w:pPr>
        <w:pStyle w:val="Heading3"/>
        <w:spacing w:after="80" w:before="160"/>
      </w:pPr>
      <w:r>
        <w:t xml:space="preserve">À dire</w:t>
      </w:r>
    </w:p>
    <w:p>
      <w:pPr>
        <w:pBdr>
          <w:left w:val="single" w:color="2E5C8A" w:sz="12" w:space="8"/>
        </w:pBdr>
        <w:spacing w:after="120"/>
        <w:ind w:left="284"/>
      </w:pPr>
      <w:r>
        <w:rPr>
          <w:i w:val="false"/>
          <w:iCs w:val="false"/>
        </w:rPr>
        <w:t xml:space="preserve">L'outil applique tout cela dans Excel. Chaque dossier est un onglet.</w:t>
      </w:r>
    </w:p>
    <w:p>
      <w:pPr>
        <w:pBdr>
          <w:left w:val="single" w:color="2E5C8A" w:sz="12" w:space="8"/>
        </w:pBdr>
        <w:spacing w:after="120"/>
        <w:ind w:left="284"/>
      </w:pPr>
      <w:r>
        <w:rPr>
          <w:i w:val="false"/>
          <w:iCs w:val="false"/>
        </w:rPr>
        <w:t xml:space="preserve">On saisit d'abord les codes : code client T24, radical à sept chiffres, code projet. On remplit ensuite les cellules orange, qui sont les saisies obligatoires ; la ligne « À SAISIR » en haut indique ce qui manque et emmène à la bonne cellule.</w:t>
      </w:r>
    </w:p>
    <w:p>
      <w:pPr>
        <w:pBdr>
          <w:left w:val="single" w:color="2E5C8A" w:sz="12" w:space="8"/>
        </w:pBdr>
        <w:spacing w:after="120"/>
        <w:ind w:left="284"/>
      </w:pPr>
      <w:r>
        <w:rPr>
          <w:i w:val="false"/>
          <w:iCs w:val="false"/>
        </w:rPr>
        <w:t xml:space="preserve">Tout le reste est calculé et protégé. Le bloc 13 recueille la synthèse, les forces, les faiblesses, les conditions proposées et l'avis risques ; il alimente la fiche comité, imprimable en PDF.</w:t>
      </w:r>
    </w:p>
    <w:p>
      <w:pPr>
        <w:pBdr>
          <w:left w:val="single" w:color="2E5C8A" w:sz="12" w:space="8"/>
        </w:pBdr>
        <w:spacing w:after="120"/>
        <w:ind w:left="284"/>
      </w:pPr>
      <w:r>
        <w:rPr>
          <w:i w:val="false"/>
          <w:iCs w:val="false"/>
        </w:rPr>
        <w:t xml:space="preserve">Je vous propose une démonstration rapide sur le cas C3. (Voir la partie « Démonstration » de ce document.)</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T24</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Système d'information bancaire où sont gérés les clients et leurs comptes.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Code client 20063902.</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Radical</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Identifiant client à 7 chiffres ; les zéros de tête sont conservés.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0063902.</w:t>
            </w:r>
          </w:p>
        </w:tc>
      </w:tr>
    </w:tbl>
    <w:p>
      <w:pPr>
        <w:pStyle w:val="Heading2"/>
        <w:spacing w:after="120" w:before="240"/>
      </w:pPr>
      <w:r>
        <w:t xml:space="preserve">Diapositive 35 — 18 cas d'étude fictifs</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L'outil contient 18 cas fictifs mais réalistes : les six cas d'origine et un cas par secteur.</w:t>
      </w:r>
    </w:p>
    <w:p>
      <w:pPr>
        <w:pBdr>
          <w:left w:val="single" w:color="2E5C8A" w:sz="12" w:space="8"/>
        </w:pBdr>
        <w:spacing w:after="120"/>
        <w:ind w:left="284"/>
      </w:pPr>
      <w:r>
        <w:rPr>
          <w:i w:val="false"/>
          <w:iCs w:val="false"/>
        </w:rPr>
        <w:t xml:space="preserve">Regardez la colonne de droite : dans la moitié des cas, la note approuvée est inférieure à la note calculée. Ce sont les garde-fous qui travaillent.</w:t>
      </w:r>
    </w:p>
    <w:p>
      <w:pPr>
        <w:pBdr>
          <w:left w:val="single" w:color="2E5C8A" w:sz="12" w:space="8"/>
        </w:pBdr>
        <w:spacing w:after="120"/>
        <w:ind w:left="284"/>
      </w:pPr>
      <w:r>
        <w:rPr>
          <w:i w:val="false"/>
          <w:iCs w:val="false"/>
        </w:rPr>
        <w:t xml:space="preserve">Le parc éolien est notre cas de référence à 10. La mine n'a aucune note : une contrepartie est sous sanctions.</w:t>
      </w:r>
    </w:p>
    <w:p>
      <w:pPr>
        <w:pBdr>
          <w:left w:val="single" w:color="2E5C8A" w:sz="12" w:space="8"/>
        </w:pBdr>
        <w:spacing w:after="120"/>
        <w:ind w:left="284"/>
      </w:pPr>
      <w:r>
        <w:rPr>
          <w:i w:val="false"/>
          <w:iCs w:val="false"/>
        </w:rPr>
        <w:t xml:space="preserve">Un moteur de calcul indépendant recalcule les 18 cas et l'onglet Concordance confirme que l'Excel donne le même résultat.</w:t>
      </w:r>
    </w:p>
    <w:p>
      <w:pPr>
        <w:pStyle w:val="Heading3"/>
        <w:spacing w:after="80" w:before="160"/>
      </w:pPr>
      <w:r>
        <w:t xml:space="preserve">Questions possibles des experts</w:t>
      </w:r>
    </w:p>
    <w:p>
      <w:pPr>
        <w:spacing w:after="40"/>
      </w:pPr>
      <w:r>
        <w:rPr>
          <w:b/>
          <w:bCs/>
        </w:rPr>
        <w:t xml:space="preserve">Q : Ces cas sont-ils réels ?</w:t>
      </w:r>
    </w:p>
    <w:p>
      <w:pPr>
        <w:spacing w:after="120"/>
      </w:pPr>
      <w:r>
        <w:t xml:space="preserve">R : Non : ils sont fictifs, construits pour illustrer chaque mécanisme. Aucun nom de société ni de projet n'est réel.</w:t>
      </w:r>
    </w:p>
    <w:p>
      <w:pPr>
        <w:pStyle w:val="Heading2"/>
        <w:spacing w:after="120" w:before="240"/>
      </w:pPr>
      <w:r>
        <w:t xml:space="preserve">Diapositive 36 — L'IA propose, l'analyste décide</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Dernier élément : l'IA peut lire les documents du projet et préremplir les champs.</w:t>
      </w:r>
    </w:p>
    <w:p>
      <w:pPr>
        <w:pBdr>
          <w:left w:val="single" w:color="2E5C8A" w:sz="12" w:space="8"/>
        </w:pBdr>
        <w:spacing w:after="120"/>
        <w:ind w:left="284"/>
      </w:pPr>
      <w:r>
        <w:rPr>
          <w:i w:val="false"/>
          <w:iCs w:val="false"/>
        </w:rPr>
        <w:t xml:space="preserve">Mais elle ne note rien seule. Chaque proposition arrive avec sa source, document et page. L'analyste voit la valeur actuelle et la valeur proposée côte à côte, et accepte ou rejette chaque ligne.</w:t>
      </w:r>
    </w:p>
    <w:p>
      <w:pPr>
        <w:pBdr>
          <w:left w:val="single" w:color="2E5C8A" w:sz="12" w:space="8"/>
        </w:pBdr>
        <w:spacing w:after="120"/>
        <w:ind w:left="284"/>
      </w:pPr>
      <w:r>
        <w:rPr>
          <w:i w:val="false"/>
          <w:iCs w:val="false"/>
        </w:rPr>
        <w:t xml:space="preserve">Si le code client ou le code projet du fichier ne correspond pas au dossier, l'import est refusé. La décision du comité ne peut jamais être importée. Tout est tracé dans le journal.</w:t>
      </w:r>
    </w:p>
    <w:p>
      <w:pPr>
        <w:pBdr>
          <w:left w:val="single" w:color="2E5C8A" w:sz="12" w:space="8"/>
        </w:pBdr>
        <w:spacing w:after="120"/>
        <w:ind w:left="284"/>
      </w:pPr>
      <w:r>
        <w:rPr>
          <w:i w:val="false"/>
          <w:iCs w:val="false"/>
        </w:rPr>
        <w:t xml:space="preserve">Le format du fichier est prêt côté Excel ; l'export depuis l'outil web reste à construire.</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Mémorandum d'information</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Document de présentation du projet remis aux banques.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 Mémorandum, page 20 » : source citée par l'IA pour l'exposition.</w:t>
            </w:r>
          </w:p>
        </w:tc>
      </w:tr>
    </w:tbl>
    <w:p>
      <w:pPr>
        <w:pStyle w:val="Heading2"/>
        <w:spacing w:after="120" w:before="240"/>
      </w:pPr>
      <w:r>
        <w:t xml:space="preserve">Diapositive 37 — Ce que nous soumettons à votre validation</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Voici les points à trancher avant le développement définitif : les seuils DSCR et les écarts sectoriels ; les quinze plafonds ; les bornes du régime simplifié ; la largeur des bandes de la table de conversion ; le référentiel de défaut de la banque ; la politique de délégation attachée aux notes, statuts et plafonds ; le calendrier de bascule de la circulaire 1/W/2025.</w:t>
      </w:r>
    </w:p>
    <w:p>
      <w:pPr>
        <w:pBdr>
          <w:left w:val="single" w:color="2E5C8A" w:sz="12" w:space="8"/>
        </w:pBdr>
        <w:spacing w:after="120"/>
        <w:ind w:left="284"/>
      </w:pPr>
      <w:r>
        <w:rPr>
          <w:i w:val="false"/>
          <w:iCs w:val="false"/>
        </w:rPr>
        <w:t xml:space="preserve">S'y ajoutent les poids, les situations décrites de chaque sous-critère et les données sectorielles. Tout est modifiable dans l'outil, et la grille expliquée vous permet de relire les situations une à une.</w:t>
      </w:r>
    </w:p>
    <w:p>
      <w:pPr>
        <w:pStyle w:val="Heading2"/>
        <w:spacing w:after="120" w:before="240"/>
      </w:pPr>
      <w:r>
        <w:t xml:space="preserve">Diapositive 38 — Mise en œuvre et pièces à réunir</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La mise en œuvre suit dix chantiers, du référentiel et du routage jusqu'au pilote en double notation sur un périmètre limité. Les moteurs financier et de règles conditionnent tout usage décisionnel.</w:t>
      </w:r>
    </w:p>
    <w:p>
      <w:pPr>
        <w:pBdr>
          <w:left w:val="single" w:color="2E5C8A" w:sz="12" w:space="8"/>
        </w:pBdr>
        <w:spacing w:after="120"/>
        <w:ind w:left="284"/>
      </w:pPr>
      <w:r>
        <w:rPr>
          <w:i w:val="false"/>
          <w:iCs w:val="false"/>
        </w:rPr>
        <w:t xml:space="preserve">Pour calibrer, il nous faut : une dizaine de dossiers représentatifs couvrant les phases, les régimes et les principaux secteurs, dont des cas dégradés ; l'historique des notes, incidents et restructurations ; la politique de crédit et la méthodologie IFRS 9.</w:t>
      </w:r>
    </w:p>
    <w:p>
      <w:pPr>
        <w:pBdr>
          <w:left w:val="single" w:color="2E5C8A" w:sz="12" w:space="8"/>
        </w:pBdr>
        <w:spacing w:after="120"/>
        <w:ind w:left="284"/>
      </w:pPr>
      <w:r>
        <w:rPr>
          <w:i w:val="false"/>
          <w:iCs w:val="false"/>
        </w:rPr>
        <w:t xml:space="preserve">Pendant la transition, l'outil est une aide à l'analyse sous contrôle, sans automatisme d'octroi.</w:t>
      </w:r>
    </w:p>
    <w:p>
      <w:pPr>
        <w:pStyle w:val="Heading2"/>
        <w:spacing w:after="120" w:before="240"/>
      </w:pPr>
      <w:r>
        <w:t xml:space="preserve">Diapositive 39 — Quatre questions pour la discussion</w:t>
      </w:r>
    </w:p>
    <w:p>
      <w:pPr>
        <w:spacing w:after="120"/>
        <w:rPr>
          <w:i/>
          <w:iCs/>
          <w:color w:val="666666"/>
        </w:rPr>
      </w:pPr>
      <w:r>
        <w:rPr>
          <w:i/>
          <w:iCs/>
          <w:color w:val="666666"/>
        </w:rPr>
        <w:t xml:space="preserve">Durée indicative : 10 à 15 min</w:t>
      </w:r>
    </w:p>
    <w:p>
      <w:pPr>
        <w:pStyle w:val="Heading3"/>
        <w:spacing w:after="80" w:before="160"/>
      </w:pPr>
      <w:r>
        <w:t xml:space="preserve">À dire</w:t>
      </w:r>
    </w:p>
    <w:p>
      <w:pPr>
        <w:pBdr>
          <w:left w:val="single" w:color="2E5C8A" w:sz="12" w:space="8"/>
        </w:pBdr>
        <w:spacing w:after="120"/>
        <w:ind w:left="284"/>
      </w:pPr>
      <w:r>
        <w:rPr>
          <w:i w:val="false"/>
          <w:iCs w:val="false"/>
        </w:rPr>
        <w:t xml:space="preserve">Pour conclure, quatre questions où votre expertise est décisive : les seuils DSCR, la sévérité de certains plafonds, la justesse des situations décrites, et les secteurs à prioriser.</w:t>
      </w:r>
    </w:p>
    <w:p>
      <w:pPr>
        <w:pBdr>
          <w:left w:val="single" w:color="2E5C8A" w:sz="12" w:space="8"/>
        </w:pBdr>
        <w:spacing w:after="120"/>
        <w:ind w:left="284"/>
      </w:pPr>
      <w:r>
        <w:rPr>
          <w:i w:val="false"/>
          <w:iCs w:val="false"/>
        </w:rPr>
        <w:t xml:space="preserve">Je vous propose d'en discuter maintenant, puis de nous renvoyer vos remarques écrites dans les deux semaines. Merci.</w:t>
      </w:r>
    </w:p>
    <w:p>
      <w:pPr>
        <w:pStyle w:val="Heading3"/>
        <w:spacing w:after="80" w:before="160"/>
      </w:pPr>
      <w:r>
        <w:t xml:space="preserve">Questions possibles des experts</w:t>
      </w:r>
    </w:p>
    <w:p>
      <w:pPr>
        <w:spacing w:after="40"/>
      </w:pPr>
      <w:r>
        <w:rPr>
          <w:b/>
          <w:bCs/>
        </w:rPr>
        <w:t xml:space="preserve">Q : Et si nous voulons ajouter un critère ?</w:t>
      </w:r>
    </w:p>
    <w:p>
      <w:pPr>
        <w:spacing w:after="120"/>
      </w:pPr>
      <w:r>
        <w:t xml:space="preserve">R : C'est possible, mais nous privilégions des critères communs à tous les secteurs pour garder la comparabilité. Une variante sectorielle de description est souvent suffisante.</w:t>
      </w:r>
    </w:p>
    <w:p>
      <w:r>
        <w:br w:type="page"/>
      </w:r>
    </w:p>
    <w:p>
      <w:pPr>
        <w:pStyle w:val="Heading1"/>
        <w:spacing w:after="160" w:before="360"/>
      </w:pPr>
      <w:r>
        <w:t xml:space="preserve">2. Démonstration de l'outil (3 minutes)</w:t>
      </w:r>
    </w:p>
    <w:p>
      <w:pPr>
        <w:spacing w:after="120"/>
      </w:pPr>
      <w:r>
        <w:rPr>
          <w:b/>
          <w:bCs/>
        </w:rPr>
        <w:t xml:space="preserve">1.</w:t>
      </w:r>
      <w:r>
        <w:t xml:space="preserve"> Ouvrir le fichier Excel de l'outil (.xlsm), activer les macros. Montrer l'Accueil et le catalogue des 18 cas.</w:t>
      </w:r>
    </w:p>
    <w:p>
      <w:pPr>
        <w:spacing w:after="120"/>
      </w:pPr>
      <w:r>
        <w:rPr>
          <w:b/>
          <w:bCs/>
        </w:rPr>
        <w:t xml:space="preserve">2.</w:t>
      </w:r>
      <w:r>
        <w:t xml:space="preserve"> Cliquer sur l'onglet C3 (hôtel). Montrer le tableau de bord : note approuvée 4, note calculée 7, plafonds actifs C2 et C3.</w:t>
      </w:r>
    </w:p>
    <w:p>
      <w:pPr>
        <w:spacing w:after="120"/>
      </w:pPr>
      <w:r>
        <w:rPr>
          <w:b/>
          <w:bCs/>
        </w:rPr>
        <w:t xml:space="preserve">3.</w:t>
      </w:r>
      <w:r>
        <w:t xml:space="preserve"> Descendre à l'échéancier (bouton « 6 · Échéancier ») : montrer le semestre creux, DSCR 1,06, classé Critique.</w:t>
      </w:r>
    </w:p>
    <w:p>
      <w:pPr>
        <w:spacing w:after="120"/>
      </w:pPr>
      <w:r>
        <w:rPr>
          <w:b/>
          <w:bCs/>
        </w:rPr>
        <w:t xml:space="preserve">4.</w:t>
      </w:r>
      <w:r>
        <w:t xml:space="preserve"> Aller à la grille (bouton « 8 · Grille ») : ouvrir une liste déroulante pour montrer les quatre situations, et la note qui s'affiche à côté.</w:t>
      </w:r>
    </w:p>
    <w:p>
      <w:pPr>
        <w:spacing w:after="120"/>
      </w:pPr>
      <w:r>
        <w:rPr>
          <w:b/>
          <w:bCs/>
        </w:rPr>
        <w:t xml:space="preserve">5.</w:t>
      </w:r>
      <w:r>
        <w:t xml:space="preserve"> Aller au bloc 13 : la justification des écarts explique les plafonds.</w:t>
      </w:r>
    </w:p>
    <w:p>
      <w:pPr>
        <w:spacing w:after="120"/>
      </w:pPr>
      <w:r>
        <w:rPr>
          <w:b/>
          <w:bCs/>
        </w:rPr>
        <w:t xml:space="preserve">6.</w:t>
      </w:r>
      <w:r>
        <w:t xml:space="preserve"> Cliquer « Fiche comité » : la page imprimable reprend tout.</w:t>
      </w:r>
    </w:p>
    <w:p>
      <w:pPr>
        <w:spacing w:after="120"/>
      </w:pPr>
      <w:r>
        <w:rPr>
          <w:b/>
          <w:bCs/>
        </w:rPr>
        <w:t xml:space="preserve">7.</w:t>
      </w:r>
      <w:r>
        <w:t xml:space="preserve"> Optionnel : onglet Comparaison, C4A face à C4B : la restructuration fait passer la note de 3 à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6CED8" w:sz="4"/>
              <w:left w:val="single" w:color="C6CED8" w:sz="4"/>
              <w:bottom w:val="single" w:color="C6CED8" w:sz="4"/>
              <w:right w:val="single" w:color="C6CED8" w:sz="4"/>
            </w:tcBorders>
            <w:shd w:fill="E2EFDA" w:color="auto" w:val="clear"/>
            <w:tcMar>
              <w:top w:type="dxa" w:w="120"/>
              <w:left w:type="dxa" w:w="160"/>
              <w:bottom w:type="dxa" w:w="120"/>
              <w:right w:type="dxa" w:w="160"/>
            </w:tcMar>
          </w:tcPr>
          <w:p>
            <w:pPr>
              <w:spacing w:after="80"/>
            </w:pPr>
            <w:r>
              <w:rPr>
                <w:b/>
                <w:bCs/>
                <w:color w:val="1F3864"/>
              </w:rPr>
              <w:t xml:space="preserve">Si une démonstration n'est pas possible</w:t>
            </w:r>
          </w:p>
          <w:p>
            <w:pPr>
              <w:spacing w:after="60"/>
            </w:pPr>
            <w:r>
              <w:t xml:space="preserve">Le fichier sans macros (.xlsx) calcule tout de la même façon ; seuls les boutons sont inactifs. Naviguez avec les onglets.</w:t>
            </w:r>
          </w:p>
        </w:tc>
      </w:tr>
    </w:tbl>
    <w:p>
      <w:r>
        <w:br w:type="page"/>
      </w:r>
    </w:p>
    <w:p>
      <w:pPr>
        <w:pStyle w:val="Heading1"/>
        <w:spacing w:after="160" w:before="360"/>
      </w:pPr>
      <w:r>
        <w:t xml:space="preserve">3.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Accord direct</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Contrat entre la banque et une contrepartie de la société de projet, qui permet à la banque de reprendre le contrat en cas de défaut.</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La banque reprend le contrat d'achat si la société de projet défaille.</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Avis juridique d'opposabilité</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Avis d'un avocat confirmant que les sûretés sont valables et opposables aux tiers.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Réserve sur le nantissement des créances : blocage B5 (cas IND).</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Bâle, Bank Al-Maghrib, IFC, EBRD</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Bâle : normes internationales de fonds propres des banques. Bank Al-Maghrib : le régulateur marocain. IFC (Banque mondiale) et EBRD (BERD) : références pour les normes environnementales et sociales.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Les « normes de performance IFC » servent à noter le domaine D9.</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BBB−</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Plus basse notation de la catégorie « investissement » ; en dessous, risque spéculatif.</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Un acheteur noté BB+ est sous BBB−.</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BFR</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Besoin en fonds de roulement : argent immobilisé dans les créances et les stocks.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 acheteur qui paie à 90 jours augmente le BFR.</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CAPEX</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Coût d'investissement total du projet.</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707 MMAD pour la centrale solaire du cas C1.</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Cascade (waterfall)</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Ordre de priorité des paiements : charges, dette, réserves, puis dividendes.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Pas de dividende tant que la DSRA n'est pas pleine.</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Cascade de paiement</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Ordre de priorité des paiements sur les comptes de la SPV.</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Charges, puis dette, puis réserves, puis dividendes.</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CFADS</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Cash Flow Available for Debt Service : trésorerie disponible pour payer la dette, après charges d'exploitation, impôts et investissements de maintien.</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Chiffre d'affaires 73 − charges 11 − impôts et maintien 8 = CFADS 54 MMAD.</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Compensation</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Effet d'une moyenne : de bonnes notes cachent une mauvaise.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Neuf critères à 100 et le DSCR à 20 donnent une moyenne flatteuse alors que le projet ne peut pas payer.</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Condition suspensive</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Condition qui doit être remplie avant un tirage ou un engagement, avec une échéance.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Couverture de change à mettre en place avant le premier tirage.</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Consortium</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Financement partagé entre plusieurs banques.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Trois banques prêtent chacune un tiers de la dette.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Corporate (CORP)</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Financement adossé au bilan de l'entreprise, noté avec le modèle entreprise.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Prêt à un groupe industriel pour une extension d'usine logée dans son propre bilan.</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Covenant</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Engagement contractuel de l'emprunteur, souvent un ratio minimum.</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DSCR d'au moins 1,20 sous peine de blocage des dividendes.</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CRE33</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Partie du cadre de Bâle qui traite des financements spécialisés.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Utilisé comme référence de méthode, sans effet automatique sur le capital.</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Dérogation</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Modification experte d'une note calculée, enregistrée comme un objet distinct : note initiale, note proposée, motif, approbateur, durée.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L'analyste remonte N4 de 50 à 80 au vu d'une ligne de liquidité signée après l'arrêté du modèle.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DSCR</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CFADS de la période ÷ service de la dette de la période (intérêts + capital).</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CFADS 25,9 ÷ échéance 19,45 = 1,33 : le flux couvre 1,33 fois l'échéance.</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DSRA</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Debt Service Reserve Account : compte bloqué équivalant à plusieurs mois d'échéances.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6 mois de DSRA sur une échéance semestrielle de 19,45 MMAD = 19,45 MMAD bloqués.</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EBITDA</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Résultat d'exploitation avant amortissements, intérêts et impôts.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Recettes 73 − charges 11 = EBITDA 62 MMAD.</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EPC</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Engineering, Procurement, Construction : contrat clé-en-main confiant toute la construction à un seul constructeur.</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Le constructeur livre la centrale à prix et date garantis, sinon il paie des pénalités.</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ESG</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Environnement, Social, Gouvernance.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Étude d'impact environnemental, consultation des riverains, système de suivi.</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Exposition</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Montant total engagé par la banque sur le projet.</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465 MMAD de crédits accordés par la banque.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Financement à terminaison</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En construction : les ressources engagées couvrent-elles tout le besoin jusqu'à la mise en service ?</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Ressources 747 ÷ besoin 707 = 105,7 %.</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ICAAP</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Processus interne d'évaluation de l'adéquation des fonds propres.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Stress de portefeuille sur un même acheteur public.</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IFRS 9 (stage)</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Norme comptable de provisionnement : stage 1, 2 ou 3 selon la dégradation depuis l'origine.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 prêt noté 6 depuis l'origine reste en stage 1 ; un prêt passé de 9 à 6 peut aller en stage 2.</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IGOC</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Instruction générale des opérations de change de l'Office des changes.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Éligibilité d'un emprunt en devises et de sa couverture.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Information insuffisante</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La pièce qui permettrait de juger manque. Comptée comme Critique (20), note provisoire.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L'étude d'impact social n'a pas été remise (cas SAN).</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Ingénieur indépendant</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Expert technique mandaté par les prêteurs pour vérifier conception, coûts, planning et avancement.</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Rapport mensuel de l'ingénieur indépendant pendant la construction.</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LBC-FT</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Lutte contre le blanchiment de capitaux et le financement du terrorisme.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Contrepartie signalée par le dispositif de conformité : exclusion X3.</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Levier, quote-part de dette</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Part du coût du projet financée par la dette.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465 de dette pour 707 de coût = 66 %.</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LGD</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Perte en cas de défaut, après récupérations.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Sûretés solides : LGD de 25 %.</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Ligne de campagne</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Crédit court terme qui finance le creux saisonnier.</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25 MMAD mobilisables pendant l'intercampagne.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LLCR</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Loan Life Coverage Ratio : valeur actuelle des CFADS sur la durée du prêt ÷ dette restante.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Valeur actuelle des flux 680 ÷ dette 500 = 1,36.</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LTV / LTC</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Loan to Value : dette ÷ valeur de l'actif. Loan to Cost : dette ÷ coût du projet.</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Dette 60 pour un immeuble valant 100 : LTV 60 %.</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Melk, guich, habous</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Régimes fonciers marocains : propriété privée non immatriculée, terres de tribus militaires, biens de mainmorte religieuse.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 terrain habous impose des restrictions de cession et de sûreté.</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Mémorandum d'information</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Document de présentation du projet remis aux banques.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 Mémorandum, page 20 » : source citée par l'IA pour l'exposition.</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MMAD</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Millions de dirhams.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465 MMAD = 465 millions de dirhams.</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Moyenne pondérée</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Chaque note est multipliée par son poids, puis on additionne.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D1 : 80 × 40 % + 100 × 35 % + 80 × 25 % = 87.</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Note calculée / note approuvée</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La note calculée vient du score ; la note approuvée est celle qui reste après plafonds et verrous.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Score 73,7 → note calculée 7 ; un plafond à 4 → note approuvée 4.</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Note ordinale</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Note qui classe les dossiers du meilleur au moins bon, sans dire une probabilité de défaut.</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Un 8 est meilleur qu'un 6, sans dire « 1 % de défaut ».</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O&amp;M</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Operation and Maintenance : contrat d'exploitation et d'entretien.</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 opérateur spécialisé exploite l'usine pendant 15 ans.</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P50 / P90</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Production atteinte avec une probabilité de 50 % / 90 %. Le P90 est le scénario prudent.</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P50 152 GWh, P90 140 GWh par an.</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Paiement à la disponibilité</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L'autorité paie un loyer si l'ouvrage est disponible et conforme, quel que soit l'usage.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 hôpital en partenariat public-privé est payé s'il est ouvert et aux normes.</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Période de différé</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Période sans remboursement, souvent pendant la construction.</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Deux ans de différé de capital : DSCR non calculé sur ces échéances.</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Phases P1, P2, P3</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P1 construction ; P2 montée en charge (les premiers mois d'exploitation) ; P3 exploitation stabilisée.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Une usine livrée il y a 6 mois et qui n'a pas atteint sa capacité est en P2.</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Plafond</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Note maximale imposée par un fait objectif.</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DSCR stressé 0,75 &lt; 1,00 : plafond C3, note ≤ 4.</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Point de base (pb)</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 centième de point de pourcentage.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+200 pb : le taux passe de 5,5 % à 7,5 %.</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Project Finance (financement de projet)</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Financement d'un projet porté par une société créée pour lui seul ; la banque est remboursée par les flux du projet, pas par le bilan de l'actionnaire.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Une centrale solaire est logée dans « Solaris SA » ; la dette est remboursée par la vente de l'électricité.</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PUE</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Power Usage Effectiveness : énergie totale du centre de données ÷ énergie informatique.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PUE 1,45 : 0,45 kWh de refroidissement et d'auxiliaires par kWh informatique.</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Radical</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Identifiant client à 7 chiffres ; les zéros de tête sont conservés.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0063902.</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Réception</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Acte par lequel la SPV accepte l'ouvrage livré par le constructeur, après essais.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Réception provisoire de la centrale après 30 jours de fonctionnement aux performances garanties.</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Recours limité</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La banque ne peut se retourner contre l'actionnaire qu'à hauteur de ses engagements contractuels.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Garantie de bonne fin du sponsor jusqu'à la réception, puis plus aucun recours.</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Refinancement (ballon)</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Part de la dette remboursée en une fois à la fin, à refinancer.</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35 % du prêt dû en une fois à 10 ans (cas ETH, plafond C8).</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Régime S / M / L</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Profondeur d'analyse calculée selon taille et complexité.</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Projet de 108 MMAD en dirhams sous contrat ferme : régime S.</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Renormalisation</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Recalculer la moyenne sur les seuls critères renseignés, ce qui ferait disparaître les trous du dossier.</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Trois critères manquants ignorés : la moyenne des autres paraît bonne alors que l'analyse est incomplète.</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RevPAR</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Revenu par chambre disponible = taux d'occupation × prix moyen.</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65 % × 1 350 MAD = 878 MAD.</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Risque de volume / de marché</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Les recettes dépendent des quantités vendues (R3) ou des prix et quantités du marché (R4).</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Une autoroute à péage dépend du trafic ; un hôtel, du taux d'occupation et du prix.</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Scénario défavorable (stress)</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Hypothèse dégradée : production plus faible, coûts plus élevés, prix plus bas.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Production P90 et charges +10 % : le DSCR tombe de 1,30 à 1,12.</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Sculpture de l'amortissement</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Adapter le montant de chaque échéance aux flux de la période.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25 MMAD remboursés en campagne, 3,5 MMAD hors campagne (cas C4B).</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Sponsor</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Actionnaire qui développe le projet et apporte les fonds propres.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Un énergéticien qui détient 60 % de la société de projet.</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SPV</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Special Purpose Vehicle : société créée pour porter un seul projet.</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 Solaris Drâa SA » ne détient que la centrale.</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T24</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Système d'information bancaire où sont gérés les clients et leurs comptes.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Code client 20063902.</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Take-or-pay</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L'acheteur paie une quantité garantie, qu'il la prenne ou non.</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L'office public paie 152 GWh par an même s'il n'en utilise que 140.</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Verrou</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Fait qui empêche la note (exclusion X) ou la rend provisoire (blocage B).</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EPC non signé en construction : blocage B2.</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Δ (delta) sectoriel</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Écart ajouté au seuil DSCR selon la volatilité propre des flux du secteur.</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Tourisme +0,20 : un hôtel R4 a un seuil critique de 1,55 en exploitation.</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Discours — Modèle de scoring Project Finance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0"/>
      <w:szCs w:val="30"/>
    </w:rPr>
  </w:style>
  <w:style w:type="paragraph" w:styleId="Heading2">
    <w:name w:val="Heading 2"/>
    <w:basedOn w:val="Normal"/>
    <w:next w:val="Normal"/>
    <w:qFormat/>
    <w:pPr>
      <w:outlineLvl w:val="1"/>
    </w:pPr>
    <w:rPr>
      <w:b/>
      <w:bCs/>
      <w:color w:val="2E5C8A"/>
      <w:sz w:val="24"/>
      <w:szCs w:val="24"/>
    </w:rPr>
  </w:style>
  <w:style w:type="paragraph" w:styleId="Heading3">
    <w:name w:val="Heading 3"/>
    <w:basedOn w:val="Normal"/>
    <w:next w:val="Normal"/>
    <w:qFormat/>
    <w:pPr>
      <w:outlineLvl w:val="2"/>
    </w:pPr>
    <w:rPr>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Discours de présentation — Modèle de scoring Project Finance</dc:title>
  <dc:creator>Outil de scoring PF</dc:creator>
  <cp:lastModifiedBy>Un-named</cp:lastModifiedBy>
  <cp:revision>1</cp:revision>
  <dcterms:created xsi:type="dcterms:W3CDTF">2026-10-18T16:49:48.137Z</dcterms:created>
  <dcterms:modified xsi:type="dcterms:W3CDTF">2026-10-18T16:49:48.137Z</dcterms:modified>
</cp:coreProperties>
</file>

<file path=docProps/custom.xml><?xml version="1.0" encoding="utf-8"?>
<Properties xmlns="http://schemas.openxmlformats.org/officeDocument/2006/custom-properties" xmlns:vt="http://schemas.openxmlformats.org/officeDocument/2006/docPropsVTypes"/>
</file>