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E8790F"/>
          <w:sz w:val="20"/>
          <w:szCs w:val="20"/>
        </w:rPr>
        <w:t xml:space="preserve">Modèle de scoring Project Finance · Risques Groupe</w:t>
      </w:r>
    </w:p>
    <w:p>
      <w:pPr>
        <w:pStyle w:val="Title"/>
      </w:pPr>
      <w:r>
        <w:t xml:space="preserve">Volet climatique : diagnostic et proposition d’amélioration</w:t>
      </w:r>
    </w:p>
    <w:p>
      <w:pPr>
        <w:spacing w:after="140" w:line="300"/>
      </w:pPr>
      <w:r>
        <w:rPr>
          <w:i/>
          <w:iCs/>
          <w:color w:val="7A7A7A"/>
        </w:rPr>
        <w:t xml:space="preserve">Document de travail, à valider avant toute modification de l’outil. Les paramètres proposés sont des valeurs candidates.</w:t>
      </w:r>
    </w:p>
    <w:p>
      <w:pPr>
        <w:pBdr>
          <w:left w:val="single" w:color="E8790F" w:sz="18" w:space="8"/>
        </w:pBdr>
        <w:shd w:fill="FDEBD3" w:color="auto" w:val="clear"/>
        <w:spacing w:after="200" w:before="120" w:line="300"/>
        <w:ind w:left="160" w:right="160"/>
      </w:pPr>
      <w:r>
        <w:rPr>
          <w:b/>
          <w:bCs/>
          <w:color w:val="5A3A1E"/>
        </w:rPr>
        <w:t xml:space="preserve">État d’avancement (octobre 2026)</w:t>
      </w:r>
      <w:r>
        <w:br/>
        <w:t xml:space="preserve"/>
      </w:r>
      <w:r>
        <w:rPr>
          <w:b/>
          <w:bCs/>
        </w:rPr>
        <w:t xml:space="preserve">Lot 1 : en service. </w:t>
      </w:r>
      <w:r>
        <w:t xml:space="preserve">L’onglet Climat (bloc 14) de l’outil web collecte la fiche des aléas, les données de transition, le scénario climatique indicatif et exporte la fiche 2/W/2025, sans effet sur la note (P1, P2, P5 option a, P6, P7).</w:t>
      </w:r>
      <w:r>
        <w:br/>
        <w:t xml:space="preserve"/>
      </w:r>
      <w:r>
        <w:rPr>
          <w:b/>
          <w:bCs/>
        </w:rPr>
        <w:t xml:space="preserve">Lot 2 : intégré, inactif. </w:t>
      </w:r>
      <w:r>
        <w:t xml:space="preserve">Les règles (exposition déduite, C11 révisé, C16, C17, D9.5, scénario climatique dans N2) sont dans le moteur, derrière un paramètre inactif par défaut. Le dossier de validation, avec l’impact mesuré sur les 18 cas de test, est prêt pour le comité.</w:t>
      </w:r>
      <w:r>
        <w:br/>
        <w:t xml:space="preserve"/>
      </w:r>
      <w:r>
        <w:rPr>
          <w:b/>
          <w:bCs/>
        </w:rPr>
        <w:t xml:space="preserve">Outil Excel : aligné. </w:t>
      </w:r>
      <w:r>
        <w:t xml:space="preserve">La version 4 de l’outil Excel de référence intègre le volet climatique (lot 2 activable dans l’onglet Paramètres) ; la concordance web / Excel est vérifiée sur les 18 cas, lot 2 inactif et actif.</w:t>
      </w:r>
      <w:r>
        <w:br/>
        <w:t xml:space="preserve"/>
      </w:r>
      <w:r>
        <w:rPr>
          <w:b/>
          <w:bCs/>
        </w:rPr>
        <w:t xml:space="preserve">Écart avec la présente proposition : </w:t>
      </w:r>
      <w:r>
        <w:t xml:space="preserve">le plafond « C11 bis » est devenu C17, avec un seul déclencheur (au moins deux aléas élevés sans adaptation) ; voir P4.</w:t>
      </w:r>
    </w:p>
    <w:p>
      <w:pPr>
        <w:pBdr>
          <w:left w:val="single" w:color="E8790F" w:sz="18" w:space="8"/>
        </w:pBdr>
        <w:shd w:fill="FDEBD3" w:color="auto" w:val="clear"/>
        <w:spacing w:after="200" w:before="120" w:line="300"/>
        <w:ind w:left="160" w:right="160"/>
      </w:pPr>
      <w:r>
        <w:rPr>
          <w:b/>
          <w:bCs/>
          <w:color w:val="5A3A1E"/>
        </w:rPr>
        <w:t xml:space="preserve">En résumé</w:t>
      </w:r>
      <w:r>
        <w:br/>
        <w:t xml:space="preserve"/>
      </w:r>
      <w:r>
        <w:t xml:space="preserve">Aujourd’hui, le climat tient en une case Oui/Non (« site à risque climatique élevé »), un sous-critère générique (D9.4) qui pèse environ 1 % du score, et un plafond (C11, note max. 6). Le risque de transition n’est pas mesuré, aucun scénario climatique n’entre dans le stress test, et les données exigées des grands emprunteurs par la directive 2/W/2025 ne sont pas collectées.</w:t>
      </w:r>
      <w:r>
        <w:br/>
        <w:t xml:space="preserve"/>
      </w:r>
      <w:r>
        <w:t xml:space="preserve">Nous proposons sept améliorations en deux lots : un premier lot sans effet sur la note (fiche climat structurée, données 2/W/2025, IA, scénario climatique informatif), puis un second lot qui modifie la note, à soumettre au comité de validation du modèle.</w:t>
      </w:r>
    </w:p>
    <w:p>
      <w:pPr>
        <w:pStyle w:val="Heading1"/>
      </w:pPr>
      <w:r>
        <w:t xml:space="preserve">1. Ce que fait le modèle aujourd’hui</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309"/>
        <w:gridCol w:w="2275"/>
        <w:gridCol w:w="3722"/>
      </w:tblGrid>
      <w:tr>
        <w:trPr>
          <w:tblHeader/>
        </w:trPr>
        <w:tc>
          <w:tcPr>
            <w:tcW w:type="dxa" w:w="3309"/>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r>
              <w:rPr>
                <w:b/>
                <w:bCs/>
                <w:color w:val="FFFFFF"/>
                <w:sz w:val="19"/>
                <w:szCs w:val="19"/>
              </w:rPr>
              <w:t xml:space="preserve">Élément</w:t>
            </w:r>
          </w:p>
        </w:tc>
        <w:tc>
          <w:tcPr>
            <w:tcW w:type="dxa" w:w="2275"/>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r>
              <w:rPr>
                <w:b/>
                <w:bCs/>
                <w:color w:val="FFFFFF"/>
                <w:sz w:val="19"/>
                <w:szCs w:val="19"/>
              </w:rPr>
              <w:t xml:space="preserve">Où</w:t>
            </w:r>
          </w:p>
        </w:tc>
        <w:tc>
          <w:tcPr>
            <w:tcW w:type="dxa" w:w="3722"/>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r>
              <w:rPr>
                <w:b/>
                <w:bCs/>
                <w:color w:val="FFFFFF"/>
                <w:sz w:val="19"/>
                <w:szCs w:val="19"/>
              </w:rPr>
              <w:t xml:space="preserve">Effet</w:t>
            </w:r>
          </w:p>
        </w:tc>
      </w:tr>
      <w:tr>
        <w:trPr>
          <w:cantSplit/>
        </w:trPr>
        <w:tc>
          <w:tcPr>
            <w:tcW w:type="dxa" w:w="3309"/>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bCs/>
                <w:color w:val="333333"/>
                <w:sz w:val="19"/>
                <w:szCs w:val="19"/>
              </w:rPr>
              <w:t xml:space="preserve">« Site à risque climatique physique élevé ? » (Oui/Non)</w:t>
            </w:r>
          </w:p>
        </w:tc>
        <w:tc>
          <w:tcPr>
            <w:tcW w:type="dxa" w:w="227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val="false"/>
                <w:bCs w:val="false"/>
                <w:color w:val="333333"/>
                <w:sz w:val="19"/>
                <w:szCs w:val="19"/>
              </w:rPr>
              <w:t xml:space="preserve">Bloc 2, proportionnalité</w:t>
            </w:r>
          </w:p>
        </w:tc>
        <w:tc>
          <w:tcPr>
            <w:tcW w:type="dxa" w:w="372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val="false"/>
                <w:bCs w:val="false"/>
                <w:color w:val="333333"/>
                <w:sz w:val="19"/>
                <w:szCs w:val="19"/>
              </w:rPr>
              <w:t xml:space="preserve">Oui = passage en analyse approfondie (régime L) et déclenchement possible de C11</w:t>
            </w:r>
          </w:p>
        </w:tc>
      </w:tr>
      <w:tr>
        <w:trPr>
          <w:cantSplit/>
        </w:trPr>
        <w:tc>
          <w:tcPr>
            <w:tcW w:type="dxa" w:w="3309"/>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bCs/>
                <w:color w:val="333333"/>
                <w:sz w:val="19"/>
                <w:szCs w:val="19"/>
              </w:rPr>
              <w:t xml:space="preserve">« Plan d’adaptation climatique financé ? » (Oui/Non)</w:t>
            </w:r>
          </w:p>
        </w:tc>
        <w:tc>
          <w:tcPr>
            <w:tcW w:type="dxa" w:w="227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val="false"/>
                <w:bCs w:val="false"/>
                <w:color w:val="333333"/>
                <w:sz w:val="19"/>
                <w:szCs w:val="19"/>
              </w:rPr>
              <w:t xml:space="preserve">Bloc 7, données des plafonds</w:t>
            </w:r>
          </w:p>
        </w:tc>
        <w:tc>
          <w:tcPr>
            <w:tcW w:type="dxa" w:w="372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val="false"/>
                <w:bCs w:val="false"/>
                <w:color w:val="333333"/>
                <w:sz w:val="19"/>
                <w:szCs w:val="19"/>
              </w:rPr>
              <w:t xml:space="preserve">Si site élevé et pas de plan : plafond C11</w:t>
            </w:r>
          </w:p>
        </w:tc>
      </w:tr>
      <w:tr>
        <w:trPr>
          <w:cantSplit/>
        </w:trPr>
        <w:tc>
          <w:tcPr>
            <w:tcW w:type="dxa" w:w="3309"/>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bCs/>
                <w:color w:val="333333"/>
                <w:sz w:val="19"/>
                <w:szCs w:val="19"/>
              </w:rPr>
              <w:t xml:space="preserve">Plafond C11</w:t>
            </w:r>
          </w:p>
        </w:tc>
        <w:tc>
          <w:tcPr>
            <w:tcW w:type="dxa" w:w="227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val="false"/>
                <w:bCs w:val="false"/>
                <w:color w:val="333333"/>
                <w:sz w:val="19"/>
                <w:szCs w:val="19"/>
              </w:rPr>
              <w:t xml:space="preserve">Bloc 11</w:t>
            </w:r>
          </w:p>
        </w:tc>
        <w:tc>
          <w:tcPr>
            <w:tcW w:type="dxa" w:w="372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val="false"/>
                <w:bCs w:val="false"/>
                <w:color w:val="333333"/>
                <w:sz w:val="19"/>
                <w:szCs w:val="19"/>
              </w:rPr>
              <w:t xml:space="preserve">Note approuvée limitée à 6</w:t>
            </w:r>
          </w:p>
        </w:tc>
      </w:tr>
      <w:tr>
        <w:trPr>
          <w:cantSplit/>
        </w:trPr>
        <w:tc>
          <w:tcPr>
            <w:tcW w:type="dxa" w:w="3309"/>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bCs/>
                <w:color w:val="333333"/>
                <w:sz w:val="19"/>
                <w:szCs w:val="19"/>
              </w:rPr>
              <w:t xml:space="preserve">D9.4 « Climat résiduel » (4 situations)</w:t>
            </w:r>
          </w:p>
        </w:tc>
        <w:tc>
          <w:tcPr>
            <w:tcW w:type="dxa" w:w="227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val="false"/>
                <w:bCs w:val="false"/>
                <w:color w:val="333333"/>
                <w:sz w:val="19"/>
                <w:szCs w:val="19"/>
              </w:rPr>
              <w:t xml:space="preserve">Bloc 8, grille</w:t>
            </w:r>
          </w:p>
        </w:tc>
        <w:tc>
          <w:tcPr>
            <w:tcW w:type="dxa" w:w="372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val="false"/>
                <w:bCs w:val="false"/>
                <w:color w:val="333333"/>
                <w:sz w:val="19"/>
                <w:szCs w:val="19"/>
              </w:rPr>
              <w:t xml:space="preserve">25 % de D9, qui pèse 5 % du score : environ 1,25 % du score</w:t>
            </w:r>
          </w:p>
        </w:tc>
      </w:tr>
      <w:tr>
        <w:trPr>
          <w:cantSplit/>
        </w:trPr>
        <w:tc>
          <w:tcPr>
            <w:tcW w:type="dxa" w:w="3309"/>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bCs/>
                <w:color w:val="333333"/>
                <w:sz w:val="19"/>
                <w:szCs w:val="19"/>
              </w:rPr>
              <w:t xml:space="preserve">Scénario défavorable du stress test</w:t>
            </w:r>
          </w:p>
        </w:tc>
        <w:tc>
          <w:tcPr>
            <w:tcW w:type="dxa" w:w="227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val="false"/>
                <w:bCs w:val="false"/>
                <w:color w:val="333333"/>
                <w:sz w:val="19"/>
                <w:szCs w:val="19"/>
              </w:rPr>
              <w:t xml:space="preserve">Bloc 6</w:t>
            </w:r>
          </w:p>
        </w:tc>
        <w:tc>
          <w:tcPr>
            <w:tcW w:type="dxa" w:w="372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val="false"/>
                <w:bCs w:val="false"/>
                <w:color w:val="333333"/>
                <w:sz w:val="19"/>
                <w:szCs w:val="19"/>
              </w:rPr>
              <w:t xml:space="preserve">Uniquement financier ; aucun scénario climatique demandé</w:t>
            </w:r>
          </w:p>
        </w:tc>
      </w:tr>
    </w:tbl>
    <w:p>
      <w:pPr>
        <w:spacing w:after="120"/>
      </w:pPr>
    </w:p>
    <w:p>
      <w:pPr>
        <w:pStyle w:val="Heading1"/>
      </w:pPr>
      <w:r>
        <w:t xml:space="preserve">2. Constats</w:t>
      </w:r>
    </w:p>
    <w:p>
      <w:pPr>
        <w:pStyle w:val="Heading2"/>
      </w:pPr>
      <w:r>
        <w:t xml:space="preserve">2.1 Un jugement binaire, sans méthode</w:t>
      </w:r>
    </w:p>
    <w:p>
      <w:pPr>
        <w:spacing w:after="140" w:line="300"/>
      </w:pPr>
      <w:r>
        <w:t xml:space="preserve">La case Oui/Non ne dit ni quel aléa est en cause (chaleur, sécheresse, inondation, submersion marine…), ni sur quelle source l’analyste s’appuie, ni ce qui distingue « élevé » de « moyen ». Deux analystes peuvent répondre différemment sur le même site, ce qui contredit l’objectif de reproductibilité du modèle.</w:t>
      </w:r>
    </w:p>
    <w:p>
      <w:pPr>
        <w:pBdr>
          <w:left w:val="single" w:color="E8790F" w:sz="18" w:space="8"/>
        </w:pBdr>
        <w:shd w:fill="FDEBD3" w:color="auto" w:val="clear"/>
        <w:spacing w:after="200" w:before="120" w:line="300"/>
        <w:ind w:left="160" w:right="160"/>
      </w:pPr>
      <w:r>
        <w:rPr>
          <w:b/>
          <w:bCs/>
          <w:color w:val="5A3A1E"/>
        </w:rPr>
        <w:t xml:space="preserve">Illustration dans les cas de test</w:t>
      </w:r>
      <w:r>
        <w:br/>
        <w:t xml:space="preserve"/>
      </w:r>
      <w:r>
        <w:t xml:space="preserve">Les deux dossiers agro-industriels (trituration d’olives) sont stressés sur une récolte en recul de 20 à 25 % pour cause de sécheresse… mais leur site est déclaré « non exposé » au risque climatique. La sécheresse est donc traitée comme un risque financier, pas comme un risque climatique : C11 ne peut pas se déclencher et le dossier n’est pas orienté vers l’analyse approfondie.</w:t>
      </w:r>
    </w:p>
    <w:p>
      <w:pPr>
        <w:pStyle w:val="Heading2"/>
      </w:pPr>
      <w:r>
        <w:t xml:space="preserve">2.2 Le risque de transition est absent</w:t>
      </w:r>
    </w:p>
    <w:p>
      <w:pPr>
        <w:spacing w:after="140" w:line="300"/>
      </w:pPr>
      <w:r>
        <w:t xml:space="preserve">Rien ne mesure l’exposition du projet aux politiques climatiques : émissions de gaz à effet de serre, prix du carbone, mécanisme d’ajustement carbone aux frontières de l’Union européenne (MACF, ou CBAM) pour les exportations de ciment, acier, aluminium, engrais, hydrogène ou électricité, risque d’actif échoué pour une centrale thermique au gaz financée sur 15 à 20 ans. La centrale à cycle combiné de 450 MW des cas de test n’a ainsi aucun signal de transition.</w:t>
      </w:r>
    </w:p>
    <w:p>
      <w:pPr>
        <w:pStyle w:val="Heading2"/>
      </w:pPr>
      <w:r>
        <w:t xml:space="preserve">2.3 Un poids marginal, un plafond grossier</w:t>
      </w:r>
    </w:p>
    <w:p>
      <w:pPr>
        <w:spacing w:after="140" w:line="300"/>
      </w:pPr>
      <w:r>
        <w:t xml:space="preserve">D9.4 pèse environ 1,25 % du score : passer de « très favorable » à « critique » coûte au plus 1 point. Le seul levier réel est le plafond C11, qui fonctionne en tout ou rien et ne distingue pas un site très exposé et non protégé d’un site moyennement exposé.</w:t>
      </w:r>
    </w:p>
    <w:p>
      <w:pPr>
        <w:pStyle w:val="Heading2"/>
      </w:pPr>
      <w:r>
        <w:t xml:space="preserve">2.4 Le stress test ignore le climat</w:t>
      </w:r>
    </w:p>
    <w:p>
      <w:pPr>
        <w:spacing w:after="140" w:line="300"/>
      </w:pPr>
      <w:r>
        <w:t xml:space="preserve">Le scénario défavorable vise le risque principal du projet, en général financier ou commercial. Il n’est pas demandé de tester un aléa climatique plausible (canicule, sécheresse pluriannuelle, crue), alors que l’étude exploratoire de Bank Al-Maghrib et de la Banque mondiale (2024) a précisément testé les portefeuilles bancaires sous des scénarios de sécheresse, d’inondation et de taxe carbone.</w:t>
      </w:r>
    </w:p>
    <w:p>
      <w:pPr>
        <w:pStyle w:val="Heading2"/>
      </w:pPr>
      <w:r>
        <w:t xml:space="preserve">2.5 Les données exigées des grands emprunteurs ne sont pas collectées</w:t>
      </w:r>
    </w:p>
    <w:p>
      <w:pPr>
        <w:spacing w:after="140" w:line="300"/>
      </w:pPr>
      <w:r>
        <w:t xml:space="preserve">La directive 2/W/2025 demande aux banques de collecter auprès des grands emprunteurs des données qualitatives et quantitatives sur leurs risques physiques et de transition. Une société de projet financée en project finance entre typiquement dans ce périmètre ; l’outil devrait être le point de collecte de ces données, au moment de l’octroi.</w:t>
      </w:r>
    </w:p>
    <w:p>
      <w:pPr>
        <w:pStyle w:val="Heading2"/>
      </w:pPr>
      <w:r>
        <w:t xml:space="preserve">2.6 L’IA n’a pas de consigne climatique</w:t>
      </w:r>
    </w:p>
    <w:p>
      <w:pPr>
        <w:spacing w:after="140" w:line="300"/>
      </w:pPr>
      <w:r>
        <w:t xml:space="preserve">Les études d’impact environnemental et social, les rapports des conseillers techniques et les études de productible contiennent souvent l’analyse des aléas et les émissions du projet, mais l’IA n’a pas de champ dédié pour les en extraire.</w:t>
      </w:r>
    </w:p>
    <w:p>
      <w:pPr>
        <w:pStyle w:val="Heading1"/>
      </w:pPr>
      <w:r>
        <w:t xml:space="preserve">3. Cadre de référence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43"/>
        <w:gridCol w:w="4963"/>
      </w:tblGrid>
      <w:tr>
        <w:trPr>
          <w:tblHeader/>
        </w:trPr>
        <w:tc>
          <w:tcPr>
            <w:tcW w:type="dxa" w:w="4343"/>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r>
              <w:rPr>
                <w:b/>
                <w:bCs/>
                <w:color w:val="FFFFFF"/>
                <w:sz w:val="19"/>
                <w:szCs w:val="19"/>
              </w:rPr>
              <w:t xml:space="preserve">Texte</w:t>
            </w:r>
          </w:p>
        </w:tc>
        <w:tc>
          <w:tcPr>
            <w:tcW w:type="dxa" w:w="4963"/>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r>
              <w:rPr>
                <w:b/>
                <w:bCs/>
                <w:color w:val="FFFFFF"/>
                <w:sz w:val="19"/>
                <w:szCs w:val="19"/>
              </w:rPr>
              <w:t xml:space="preserve">Ce qu’il implique pour le scoring</w:t>
            </w:r>
          </w:p>
        </w:tc>
      </w:tr>
      <w:tr>
        <w:trPr>
          <w:cantSplit/>
        </w:trPr>
        <w:tc>
          <w:tcPr>
            <w:tcW w:type="dxa" w:w="4343"/>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bCs/>
                <w:color w:val="333333"/>
                <w:sz w:val="19"/>
                <w:szCs w:val="19"/>
              </w:rPr>
              <w:t xml:space="preserve">BAM — directive 5/W/2021 (gestion des risques financiers liés au climat et à l’environnement)</w:t>
            </w:r>
          </w:p>
        </w:tc>
        <w:tc>
          <w:tcPr>
            <w:tcW w:type="dxa" w:w="4963"/>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val="false"/>
                <w:bCs w:val="false"/>
                <w:color w:val="333333"/>
                <w:sz w:val="19"/>
                <w:szCs w:val="19"/>
              </w:rPr>
              <w:t xml:space="preserve">Identifier, mesurer et suivre les risques climatiques dans l’octroi ; gouvernance dédiée</w:t>
            </w:r>
          </w:p>
        </w:tc>
      </w:tr>
      <w:tr>
        <w:trPr>
          <w:cantSplit/>
        </w:trPr>
        <w:tc>
          <w:tcPr>
            <w:tcW w:type="dxa" w:w="4343"/>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bCs/>
                <w:color w:val="333333"/>
                <w:sz w:val="19"/>
                <w:szCs w:val="19"/>
              </w:rPr>
              <w:t xml:space="preserve">BAM — directive 1/W/2025 (transparence)</w:t>
            </w:r>
          </w:p>
        </w:tc>
        <w:tc>
          <w:tcPr>
            <w:tcW w:type="dxa" w:w="4963"/>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val="false"/>
                <w:bCs w:val="false"/>
                <w:color w:val="333333"/>
                <w:sz w:val="19"/>
                <w:szCs w:val="19"/>
              </w:rPr>
              <w:t xml:space="preserve">Publication de l’approche climat et de données chiffrées, dont la part des actifs exposés</w:t>
            </w:r>
          </w:p>
        </w:tc>
      </w:tr>
      <w:tr>
        <w:trPr>
          <w:cantSplit/>
        </w:trPr>
        <w:tc>
          <w:tcPr>
            <w:tcW w:type="dxa" w:w="4343"/>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bCs/>
                <w:color w:val="333333"/>
                <w:sz w:val="19"/>
                <w:szCs w:val="19"/>
              </w:rPr>
              <w:t xml:space="preserve">BAM — directive 2/W/2025 (grands emprunteurs)</w:t>
            </w:r>
          </w:p>
        </w:tc>
        <w:tc>
          <w:tcPr>
            <w:tcW w:type="dxa" w:w="4963"/>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val="false"/>
                <w:bCs w:val="false"/>
                <w:color w:val="333333"/>
                <w:sz w:val="19"/>
                <w:szCs w:val="19"/>
              </w:rPr>
              <w:t xml:space="preserve">Collecte de données qualitatives et quantitatives sur les risques physiques et de transition ; mise en conformité sur 24 mois</w:t>
            </w:r>
          </w:p>
        </w:tc>
      </w:tr>
      <w:tr>
        <w:trPr>
          <w:cantSplit/>
        </w:trPr>
        <w:tc>
          <w:tcPr>
            <w:tcW w:type="dxa" w:w="4343"/>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bCs/>
                <w:color w:val="333333"/>
                <w:sz w:val="19"/>
                <w:szCs w:val="19"/>
              </w:rPr>
              <w:t xml:space="preserve">BAM et Banque mondiale — étude exploratoire (2024)</w:t>
            </w:r>
          </w:p>
        </w:tc>
        <w:tc>
          <w:tcPr>
            <w:tcW w:type="dxa" w:w="4963"/>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val="false"/>
                <w:bCs w:val="false"/>
                <w:color w:val="333333"/>
                <w:sz w:val="19"/>
                <w:szCs w:val="19"/>
              </w:rPr>
              <w:t xml:space="preserve">Scénarios de sécheresse, d’inondation et de taxe carbone appliqués aux portefeuilles</w:t>
            </w:r>
          </w:p>
        </w:tc>
      </w:tr>
      <w:tr>
        <w:trPr>
          <w:cantSplit/>
        </w:trPr>
        <w:tc>
          <w:tcPr>
            <w:tcW w:type="dxa" w:w="4343"/>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bCs/>
                <w:color w:val="333333"/>
                <w:sz w:val="19"/>
                <w:szCs w:val="19"/>
              </w:rPr>
              <w:t xml:space="preserve">Comité de Bâle — principes de gestion des risques financiers liés au climat (2022)</w:t>
            </w:r>
          </w:p>
        </w:tc>
        <w:tc>
          <w:tcPr>
            <w:tcW w:type="dxa" w:w="4963"/>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val="false"/>
                <w:bCs w:val="false"/>
                <w:color w:val="333333"/>
                <w:sz w:val="19"/>
                <w:szCs w:val="19"/>
              </w:rPr>
              <w:t xml:space="preserve">Intégrer le climat dans l’octroi, les limites et les tests de résistance</w:t>
            </w:r>
          </w:p>
        </w:tc>
      </w:tr>
      <w:tr>
        <w:trPr>
          <w:cantSplit/>
        </w:trPr>
        <w:tc>
          <w:tcPr>
            <w:tcW w:type="dxa" w:w="4343"/>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bCs/>
                <w:color w:val="333333"/>
                <w:sz w:val="19"/>
                <w:szCs w:val="19"/>
              </w:rPr>
              <w:t xml:space="preserve">SFI — normes de performance 1 et 3 ; BERD — exigences 1 et 3</w:t>
            </w:r>
          </w:p>
        </w:tc>
        <w:tc>
          <w:tcPr>
            <w:tcW w:type="dxa" w:w="4963"/>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val="false"/>
                <w:bCs w:val="false"/>
                <w:color w:val="333333"/>
                <w:sz w:val="19"/>
                <w:szCs w:val="19"/>
              </w:rPr>
              <w:t xml:space="preserve">Évaluation des risques climatiques ; quantification des émissions au-delà de 25 000 tCO₂e par an (SFI)</w:t>
            </w:r>
          </w:p>
        </w:tc>
      </w:tr>
      <w:tr>
        <w:trPr>
          <w:cantSplit/>
        </w:trPr>
        <w:tc>
          <w:tcPr>
            <w:tcW w:type="dxa" w:w="4343"/>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bCs/>
                <w:color w:val="333333"/>
                <w:sz w:val="19"/>
                <w:szCs w:val="19"/>
              </w:rPr>
              <w:t xml:space="preserve">Principes de l’Équateur (EP4)</w:t>
            </w:r>
          </w:p>
        </w:tc>
        <w:tc>
          <w:tcPr>
            <w:tcW w:type="dxa" w:w="4963"/>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val="false"/>
                <w:bCs w:val="false"/>
                <w:color w:val="333333"/>
                <w:sz w:val="19"/>
                <w:szCs w:val="19"/>
              </w:rPr>
              <w:t xml:space="preserve">Évaluation des risques climatiques physiques et de transition ; analyse des alternatives au-delà de 100 000 tCO₂e par an</w:t>
            </w:r>
          </w:p>
        </w:tc>
      </w:tr>
      <w:tr>
        <w:trPr>
          <w:cantSplit/>
        </w:trPr>
        <w:tc>
          <w:tcPr>
            <w:tcW w:type="dxa" w:w="4343"/>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bCs/>
                <w:color w:val="333333"/>
                <w:sz w:val="19"/>
                <w:szCs w:val="19"/>
              </w:rPr>
              <w:t xml:space="preserve">Union européenne — MACF (CBAM)</w:t>
            </w:r>
          </w:p>
        </w:tc>
        <w:tc>
          <w:tcPr>
            <w:tcW w:type="dxa" w:w="4963"/>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val="false"/>
                <w:bCs w:val="false"/>
                <w:color w:val="333333"/>
                <w:sz w:val="19"/>
                <w:szCs w:val="19"/>
              </w:rPr>
              <w:t xml:space="preserve">Phase définitive depuis le 1er janvier 2026 : coût carbone sur certaines importations européennes</w:t>
            </w:r>
          </w:p>
        </w:tc>
      </w:tr>
    </w:tbl>
    <w:p>
      <w:pPr>
        <w:spacing w:after="120"/>
      </w:pPr>
    </w:p>
    <w:p>
      <w:pPr>
        <w:spacing w:after="140" w:line="300"/>
      </w:pPr>
      <w:r>
        <w:rPr>
          <w:i/>
          <w:iCs/>
          <w:color w:val="7A7A7A"/>
          <w:sz w:val="19"/>
          <w:szCs w:val="19"/>
        </w:rPr>
        <w:t xml:space="preserve">Références issues de la presse spécialisée et des textes publics ; à confirmer sur les versions officielles (bkam.ma) avant validation.</w:t>
      </w:r>
    </w:p>
    <w:p>
      <w:pPr>
        <w:pStyle w:val="Heading1"/>
      </w:pPr>
      <w:r>
        <w:t xml:space="preserve">4. Propositions</w:t>
      </w:r>
    </w:p>
    <w:p>
      <w:pPr>
        <w:pStyle w:val="Heading2"/>
      </w:pPr>
      <w:r>
        <w:t xml:space="preserve">P1 · Une fiche « risques physiques » structurée par aléa</w:t>
      </w:r>
    </w:p>
    <w:p>
      <w:pPr>
        <w:spacing w:after="140" w:line="300"/>
      </w:pPr>
      <w:r>
        <w:t xml:space="preserve">Remplacer la case Oui/Non par une fiche courte : pour chacun des six aléas, le niveau d’exposition du site (faible, moyen, élevé), la source, et l’existence de mesures d’adaptation financées.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88"/>
        <w:gridCol w:w="3722"/>
        <w:gridCol w:w="2896"/>
      </w:tblGrid>
      <w:tr>
        <w:trPr>
          <w:tblHeader/>
        </w:trPr>
        <w:tc>
          <w:tcPr>
            <w:tcW w:type="dxa" w:w="2688"/>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r>
              <w:rPr>
                <w:b/>
                <w:bCs/>
                <w:color w:val="FFFFFF"/>
                <w:sz w:val="19"/>
                <w:szCs w:val="19"/>
              </w:rPr>
              <w:t xml:space="preserve">Aléa</w:t>
            </w:r>
          </w:p>
        </w:tc>
        <w:tc>
          <w:tcPr>
            <w:tcW w:type="dxa" w:w="3722"/>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r>
              <w:rPr>
                <w:b/>
                <w:bCs/>
                <w:color w:val="FFFFFF"/>
                <w:sz w:val="19"/>
                <w:szCs w:val="19"/>
              </w:rPr>
              <w:t xml:space="preserve">Exemples d’effets</w:t>
            </w:r>
          </w:p>
        </w:tc>
        <w:tc>
          <w:tcPr>
            <w:tcW w:type="dxa" w:w="2896"/>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r>
              <w:rPr>
                <w:b/>
                <w:bCs/>
                <w:color w:val="FFFFFF"/>
                <w:sz w:val="19"/>
                <w:szCs w:val="19"/>
              </w:rPr>
              <w:t xml:space="preserve">Secteurs les plus concernés</w:t>
            </w:r>
          </w:p>
        </w:tc>
      </w:tr>
      <w:tr>
        <w:trPr>
          <w:cantSplit/>
        </w:trPr>
        <w:tc>
          <w:tcPr>
            <w:tcW w:type="dxa" w:w="2688"/>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bCs/>
                <w:color w:val="333333"/>
                <w:sz w:val="19"/>
                <w:szCs w:val="19"/>
              </w:rPr>
              <w:t xml:space="preserve">Chaleur extrême</w:t>
            </w:r>
          </w:p>
        </w:tc>
        <w:tc>
          <w:tcPr>
            <w:tcW w:type="dxa" w:w="372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val="false"/>
                <w:bCs w:val="false"/>
                <w:color w:val="333333"/>
                <w:sz w:val="19"/>
                <w:szCs w:val="19"/>
              </w:rPr>
              <w:t xml:space="preserve">Baisse de rendement des panneaux et des turbines, refroidissement, fréquentation</w:t>
            </w:r>
          </w:p>
        </w:tc>
        <w:tc>
          <w:tcPr>
            <w:tcW w:type="dxa" w:w="2896"/>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val="false"/>
                <w:bCs w:val="false"/>
                <w:color w:val="333333"/>
                <w:sz w:val="19"/>
                <w:szCs w:val="19"/>
              </w:rPr>
              <w:t xml:space="preserve">ENR, ETH, TEL (centres de données), TOU</w:t>
            </w:r>
          </w:p>
        </w:tc>
      </w:tr>
      <w:tr>
        <w:trPr>
          <w:cantSplit/>
        </w:trPr>
        <w:tc>
          <w:tcPr>
            <w:tcW w:type="dxa" w:w="2688"/>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bCs/>
                <w:color w:val="333333"/>
                <w:sz w:val="19"/>
                <w:szCs w:val="19"/>
              </w:rPr>
              <w:t xml:space="preserve">Stress hydrique et sécheresse</w:t>
            </w:r>
          </w:p>
        </w:tc>
        <w:tc>
          <w:tcPr>
            <w:tcW w:type="dxa" w:w="372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val="false"/>
                <w:bCs w:val="false"/>
                <w:color w:val="333333"/>
                <w:sz w:val="19"/>
                <w:szCs w:val="19"/>
              </w:rPr>
              <w:t xml:space="preserve">Récoltes, eau de process, refroidissement</w:t>
            </w:r>
          </w:p>
        </w:tc>
        <w:tc>
          <w:tcPr>
            <w:tcW w:type="dxa" w:w="2896"/>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val="false"/>
                <w:bCs w:val="false"/>
                <w:color w:val="333333"/>
                <w:sz w:val="19"/>
                <w:szCs w:val="19"/>
              </w:rPr>
              <w:t xml:space="preserve">AGR, IND, ETH, MIN, TOU</w:t>
            </w:r>
          </w:p>
        </w:tc>
      </w:tr>
      <w:tr>
        <w:trPr>
          <w:cantSplit/>
        </w:trPr>
        <w:tc>
          <w:tcPr>
            <w:tcW w:type="dxa" w:w="2688"/>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bCs/>
                <w:color w:val="333333"/>
                <w:sz w:val="19"/>
                <w:szCs w:val="19"/>
              </w:rPr>
              <w:t xml:space="preserve">Inondation et crue</w:t>
            </w:r>
          </w:p>
        </w:tc>
        <w:tc>
          <w:tcPr>
            <w:tcW w:type="dxa" w:w="372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val="false"/>
                <w:bCs w:val="false"/>
                <w:color w:val="333333"/>
                <w:sz w:val="19"/>
                <w:szCs w:val="19"/>
              </w:rPr>
              <w:t xml:space="preserve">Dommages, arrêt d’exploitation, accès coupé</w:t>
            </w:r>
          </w:p>
        </w:tc>
        <w:tc>
          <w:tcPr>
            <w:tcW w:type="dxa" w:w="2896"/>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val="false"/>
                <w:bCs w:val="false"/>
                <w:color w:val="333333"/>
                <w:sz w:val="19"/>
                <w:szCs w:val="19"/>
              </w:rPr>
              <w:t xml:space="preserve">TRA, IMMO-REND, IND, SAN</w:t>
            </w:r>
          </w:p>
        </w:tc>
      </w:tr>
      <w:tr>
        <w:trPr>
          <w:cantSplit/>
        </w:trPr>
        <w:tc>
          <w:tcPr>
            <w:tcW w:type="dxa" w:w="2688"/>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bCs/>
                <w:color w:val="333333"/>
                <w:sz w:val="19"/>
                <w:szCs w:val="19"/>
              </w:rPr>
              <w:t xml:space="preserve">Submersion marine et élévation du niveau de la mer</w:t>
            </w:r>
          </w:p>
        </w:tc>
        <w:tc>
          <w:tcPr>
            <w:tcW w:type="dxa" w:w="372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val="false"/>
                <w:bCs w:val="false"/>
                <w:color w:val="333333"/>
                <w:sz w:val="19"/>
                <w:szCs w:val="19"/>
              </w:rPr>
              <w:t xml:space="preserve">Prises d’eau, quais, installations côtières</w:t>
            </w:r>
          </w:p>
        </w:tc>
        <w:tc>
          <w:tcPr>
            <w:tcW w:type="dxa" w:w="2896"/>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val="false"/>
                <w:bCs w:val="false"/>
                <w:color w:val="333333"/>
                <w:sz w:val="19"/>
                <w:szCs w:val="19"/>
              </w:rPr>
              <w:t xml:space="preserve">EAU (dessalement), POR, TOU</w:t>
            </w:r>
          </w:p>
        </w:tc>
      </w:tr>
      <w:tr>
        <w:trPr>
          <w:cantSplit/>
        </w:trPr>
        <w:tc>
          <w:tcPr>
            <w:tcW w:type="dxa" w:w="2688"/>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bCs/>
                <w:color w:val="333333"/>
                <w:sz w:val="19"/>
                <w:szCs w:val="19"/>
              </w:rPr>
              <w:t xml:space="preserve">Feux de forêt</w:t>
            </w:r>
          </w:p>
        </w:tc>
        <w:tc>
          <w:tcPr>
            <w:tcW w:type="dxa" w:w="372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val="false"/>
                <w:bCs w:val="false"/>
                <w:color w:val="333333"/>
                <w:sz w:val="19"/>
                <w:szCs w:val="19"/>
              </w:rPr>
              <w:t xml:space="preserve">Dommages, coupures de réseau</w:t>
            </w:r>
          </w:p>
        </w:tc>
        <w:tc>
          <w:tcPr>
            <w:tcW w:type="dxa" w:w="2896"/>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val="false"/>
                <w:bCs w:val="false"/>
                <w:color w:val="333333"/>
                <w:sz w:val="19"/>
                <w:szCs w:val="19"/>
              </w:rPr>
              <w:t xml:space="preserve">ENR, TOU, TRA</w:t>
            </w:r>
          </w:p>
        </w:tc>
      </w:tr>
      <w:tr>
        <w:trPr>
          <w:cantSplit/>
        </w:trPr>
        <w:tc>
          <w:tcPr>
            <w:tcW w:type="dxa" w:w="2688"/>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bCs/>
                <w:color w:val="333333"/>
                <w:sz w:val="19"/>
                <w:szCs w:val="19"/>
              </w:rPr>
              <w:t xml:space="preserve">Tempêtes, vents violents, vents de sable</w:t>
            </w:r>
          </w:p>
        </w:tc>
        <w:tc>
          <w:tcPr>
            <w:tcW w:type="dxa" w:w="372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val="false"/>
                <w:bCs w:val="false"/>
                <w:color w:val="333333"/>
                <w:sz w:val="19"/>
                <w:szCs w:val="19"/>
              </w:rPr>
              <w:t xml:space="preserve">Dommages, encrassement des panneaux</w:t>
            </w:r>
          </w:p>
        </w:tc>
        <w:tc>
          <w:tcPr>
            <w:tcW w:type="dxa" w:w="2896"/>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val="false"/>
                <w:bCs w:val="false"/>
                <w:color w:val="333333"/>
                <w:sz w:val="19"/>
                <w:szCs w:val="19"/>
              </w:rPr>
              <w:t xml:space="preserve">ENR, POR</w:t>
            </w:r>
          </w:p>
        </w:tc>
      </w:tr>
    </w:tbl>
    <w:p>
      <w:pPr>
        <w:spacing w:after="120"/>
      </w:pPr>
    </w:p>
    <w:p>
      <w:pPr>
        <w:spacing w:after="140" w:line="300"/>
      </w:pPr>
      <w:r>
        <w:t xml:space="preserve">Les aléas pertinents sont pré-sélectionnés selon le secteur. Sources admises : étude climat ou étude d’impact du projet, rapport du conseiller technique des prêteurs, cartes d’aléas publiques (Direction générale de la météorologie, ThinkHazard de la Banque mondiale, Copernicus). Le niveau « site à risque élevé » n’est plus déclaré : il se déduit (au moins un aléa pertinent élevé).</w:t>
      </w:r>
    </w:p>
    <w:p>
      <w:pPr>
        <w:pStyle w:val="Heading2"/>
      </w:pPr>
      <w:r>
        <w:t xml:space="preserve">P2 · Une mesure du risque de transition</w:t>
      </w:r>
    </w:p>
    <w:p>
      <w:pPr>
        <w:pStyle w:val="ListParagraph"/>
        <w:numPr>
          <w:ilvl w:val="0"/>
          <w:numId w:val="2"/>
        </w:numPr>
        <w:spacing w:after="70" w:line="290"/>
      </w:pPr>
      <w:r>
        <w:rPr>
          <w:b/>
          <w:bCs/>
        </w:rPr>
        <w:t xml:space="preserve">Émissions annuelles du projet </w:t>
      </w:r>
      <w:r>
        <w:t xml:space="preserve">(scopes 1 et 2, en tCO₂e), avec les repères des bailleurs : 25 000 t (quantification SFI) et 100 000 t (analyse des alternatives, EP4).</w:t>
      </w:r>
    </w:p>
    <w:p>
      <w:pPr>
        <w:pStyle w:val="ListParagraph"/>
        <w:numPr>
          <w:ilvl w:val="0"/>
          <w:numId w:val="2"/>
        </w:numPr>
        <w:spacing w:after="70" w:line="290"/>
      </w:pPr>
      <w:r>
        <w:rPr>
          <w:b/>
          <w:bCs/>
        </w:rPr>
        <w:t xml:space="preserve">Exposition au MACF </w:t>
      </w:r>
      <w:r>
        <w:t xml:space="preserve">: part du chiffre d’affaires exportée vers l’Union européenne en produits couverts.</w:t>
      </w:r>
    </w:p>
    <w:p>
      <w:pPr>
        <w:pStyle w:val="ListParagraph"/>
        <w:numPr>
          <w:ilvl w:val="0"/>
          <w:numId w:val="2"/>
        </w:numPr>
        <w:spacing w:after="70" w:line="290"/>
      </w:pPr>
      <w:r>
        <w:rPr>
          <w:b/>
          <w:bCs/>
        </w:rPr>
        <w:t xml:space="preserve">Risque d’actif échoué </w:t>
      </w:r>
      <w:r>
        <w:t xml:space="preserve">: actif fossile dont la dette va au-delà d’un horizon de sortie plausible, sans plan de transition.</w:t>
      </w:r>
    </w:p>
    <w:p>
      <w:pPr>
        <w:pStyle w:val="ListParagraph"/>
        <w:numPr>
          <w:ilvl w:val="0"/>
          <w:numId w:val="2"/>
        </w:numPr>
        <w:spacing w:after="70" w:line="290"/>
      </w:pPr>
      <w:r>
        <w:rPr>
          <w:b/>
          <w:bCs/>
        </w:rPr>
        <w:t xml:space="preserve">Plan de transition </w:t>
      </w:r>
      <w:r>
        <w:t xml:space="preserve">crédible et financé (oui/non).</w:t>
      </w:r>
    </w:p>
    <w:p>
      <w:pPr>
        <w:pStyle w:val="Heading2"/>
      </w:pPr>
      <w:r>
        <w:t xml:space="preserve">P3 · Une grille climat plus lisible</w:t>
      </w:r>
    </w:p>
    <w:p>
      <w:pPr>
        <w:spacing w:after="140" w:line="300"/>
      </w:pPr>
      <w:r>
        <w:t xml:space="preserve">Scinder D9.4 en deux sous-critères décrits par situation : D9.4 « Risques physiques résiduels » et D9.5 « Risque de transition ». Pondération proposée au sein de D9 : environnement 25 %, social 25 %, gouvernance ESG 10 %, physique 25 %, transition 15 %. Le poids de D9 dans le score (5 %) ne change pas : la note reste avant tout une note de crédit.</w:t>
      </w:r>
    </w:p>
    <w:p>
      <w:pPr>
        <w:pStyle w:val="Heading2"/>
      </w:pPr>
      <w:r>
        <w:t xml:space="preserve">P4 · Des plafonds gradués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758"/>
        <w:gridCol w:w="5997"/>
        <w:gridCol w:w="1551"/>
      </w:tblGrid>
      <w:tr>
        <w:trPr>
          <w:tblHeader/>
        </w:trPr>
        <w:tc>
          <w:tcPr>
            <w:tcW w:type="dxa" w:w="1758"/>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r>
              <w:rPr>
                <w:b/>
                <w:bCs/>
                <w:color w:val="FFFFFF"/>
                <w:sz w:val="19"/>
                <w:szCs w:val="19"/>
              </w:rPr>
              <w:t xml:space="preserve">Plafond</w:t>
            </w:r>
          </w:p>
        </w:tc>
        <w:tc>
          <w:tcPr>
            <w:tcW w:type="dxa" w:w="5997"/>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r>
              <w:rPr>
                <w:b/>
                <w:bCs/>
                <w:color w:val="FFFFFF"/>
                <w:sz w:val="19"/>
                <w:szCs w:val="19"/>
              </w:rPr>
              <w:t xml:space="preserve">Fait générateur</w:t>
            </w:r>
          </w:p>
        </w:tc>
        <w:tc>
          <w:tcPr>
            <w:tcW w:type="dxa" w:w="1551"/>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r>
              <w:rPr>
                <w:b/>
                <w:bCs/>
                <w:color w:val="FFFFFF"/>
                <w:sz w:val="19"/>
                <w:szCs w:val="19"/>
              </w:rPr>
              <w:t xml:space="preserve">Note max.</w:t>
            </w:r>
          </w:p>
        </w:tc>
      </w:tr>
      <w:tr>
        <w:trPr>
          <w:cantSplit/>
        </w:trPr>
        <w:tc>
          <w:tcPr>
            <w:tcW w:type="dxa" w:w="1758"/>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bCs/>
                <w:color w:val="333333"/>
                <w:sz w:val="19"/>
                <w:szCs w:val="19"/>
              </w:rPr>
              <w:t xml:space="preserve">C11 (révisé)</w:t>
            </w:r>
          </w:p>
        </w:tc>
        <w:tc>
          <w:tcPr>
            <w:tcW w:type="dxa" w:w="5997"/>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val="false"/>
                <w:bCs w:val="false"/>
                <w:color w:val="333333"/>
                <w:sz w:val="19"/>
                <w:szCs w:val="19"/>
              </w:rPr>
              <w:t xml:space="preserve">Au moins un aléa pertinent élevé sans adaptation financée</w:t>
            </w:r>
          </w:p>
        </w:tc>
        <w:tc>
          <w:tcPr>
            <w:tcW w:type="dxa" w:w="1551"/>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val="false"/>
                <w:bCs w:val="false"/>
                <w:color w:val="333333"/>
                <w:sz w:val="19"/>
                <w:szCs w:val="19"/>
              </w:rPr>
              <w:t xml:space="preserve">6 (inchangé)</w:t>
            </w:r>
          </w:p>
        </w:tc>
      </w:tr>
      <w:tr>
        <w:trPr>
          <w:cantSplit/>
        </w:trPr>
        <w:tc>
          <w:tcPr>
            <w:tcW w:type="dxa" w:w="1758"/>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bCs/>
                <w:color w:val="333333"/>
                <w:sz w:val="19"/>
                <w:szCs w:val="19"/>
              </w:rPr>
              <w:t xml:space="preserve">C17 (nouveau, anciennement C11 bis)</w:t>
            </w:r>
          </w:p>
        </w:tc>
        <w:tc>
          <w:tcPr>
            <w:tcW w:type="dxa" w:w="5997"/>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val="false"/>
                <w:bCs w:val="false"/>
                <w:color w:val="333333"/>
                <w:sz w:val="19"/>
                <w:szCs w:val="19"/>
              </w:rPr>
              <w:t xml:space="preserve">Au moins deux aléas pertinents élevés sans adaptation financée</w:t>
            </w:r>
          </w:p>
        </w:tc>
        <w:tc>
          <w:tcPr>
            <w:tcW w:type="dxa" w:w="1551"/>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val="false"/>
                <w:bCs w:val="false"/>
                <w:color w:val="333333"/>
                <w:sz w:val="19"/>
                <w:szCs w:val="19"/>
              </w:rPr>
              <w:t xml:space="preserve">5</w:t>
            </w:r>
          </w:p>
        </w:tc>
      </w:tr>
      <w:tr>
        <w:trPr>
          <w:cantSplit/>
        </w:trPr>
        <w:tc>
          <w:tcPr>
            <w:tcW w:type="dxa" w:w="1758"/>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bCs/>
                <w:color w:val="333333"/>
                <w:sz w:val="19"/>
                <w:szCs w:val="19"/>
              </w:rPr>
              <w:t xml:space="preserve">C16 (nouveau)</w:t>
            </w:r>
          </w:p>
        </w:tc>
        <w:tc>
          <w:tcPr>
            <w:tcW w:type="dxa" w:w="5997"/>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val="false"/>
                <w:bCs w:val="false"/>
                <w:color w:val="333333"/>
                <w:sz w:val="19"/>
                <w:szCs w:val="19"/>
              </w:rPr>
              <w:t xml:space="preserve">Risque de transition élevé (émissions &gt; 100 000 tCO₂e/an ou MACF significatif ou actif échoué) sans plan de transition crédible</w:t>
            </w:r>
          </w:p>
        </w:tc>
        <w:tc>
          <w:tcPr>
            <w:tcW w:type="dxa" w:w="1551"/>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val="false"/>
                <w:bCs w:val="false"/>
                <w:color w:val="333333"/>
                <w:sz w:val="19"/>
                <w:szCs w:val="19"/>
              </w:rPr>
              <w:t xml:space="preserve">6</w:t>
            </w:r>
          </w:p>
        </w:tc>
      </w:tr>
    </w:tbl>
    <w:p>
      <w:pPr>
        <w:spacing w:after="120"/>
      </w:pPr>
    </w:p>
    <w:p>
      <w:pPr>
        <w:spacing w:after="140" w:line="300"/>
      </w:pPr>
      <w:r>
        <w:rPr>
          <w:i/>
          <w:iCs/>
          <w:color w:val="7A7A7A"/>
          <w:sz w:val="19"/>
          <w:szCs w:val="19"/>
        </w:rPr>
        <w:t xml:space="preserve">Simplification retenue : le second déclencheur envisagé pour C11 bis (« un aléa élevé touchant directement la capacité de production ») est écarté, faute de critère reproductible. Le plafond est numéroté C17, à la suite des plafonds existants.</w:t>
      </w:r>
    </w:p>
    <w:p>
      <w:pPr>
        <w:pStyle w:val="Heading2"/>
      </w:pPr>
      <w:r>
        <w:t xml:space="preserve">P5 · Un scénario climatique dans le stress test</w:t>
      </w:r>
    </w:p>
    <w:p>
      <w:pPr>
        <w:spacing w:after="140" w:line="300"/>
      </w:pPr>
      <w:r>
        <w:t xml:space="preserve">Ajouter à la bibliothèque de scénarios une variante climatique par secteur. Exemples : sécheresse sur deux campagnes consécutives (agro-industrie) ; canicule prolongée réduisant le rendement et la fréquentation (solaire, tourisme) ; indisponibilité d’une prise d’eau de mer après tempête (dessalement) ; prix du carbone appliqué aux émissions (thermique, industrie exportatrice).</w:t>
      </w:r>
    </w:p>
    <w:p>
      <w:pPr>
        <w:spacing w:after="140" w:line="300"/>
      </w:pPr>
      <w:r>
        <w:t xml:space="preserve">Deux options : (a) le scénario climatique est calculé et affiché, sans effet sur la note ; (b) quand un aléa pertinent est élevé, le DSCR stressé retenu pour N2 est le plus bas des deux scénarios, financier et climatique. Nous recommandons (a) au premier lot, puis (b) après calibrage.</w:t>
      </w:r>
    </w:p>
    <w:p>
      <w:pPr>
        <w:pStyle w:val="Heading2"/>
      </w:pPr>
      <w:r>
        <w:t xml:space="preserve">P6 · Les données 2/W/2025 collectées à l’octroi</w:t>
      </w:r>
    </w:p>
    <w:p>
      <w:pPr>
        <w:spacing w:after="140" w:line="300"/>
      </w:pPr>
      <w:r>
        <w:t xml:space="preserve">La fiche climat (aléas, sources, émissions, MACF, plans d’adaptation et de transition, localisation du site) est conservée avec l’évaluation, exportable, et sert de base au reporting grands emprunteurs. Les données sont datées et rattachées à leur pièce.</w:t>
      </w:r>
    </w:p>
    <w:p>
      <w:pPr>
        <w:pStyle w:val="Heading2"/>
      </w:pPr>
      <w:r>
        <w:t xml:space="preserve">P7 · L’IA au service de la fiche climat</w:t>
      </w:r>
    </w:p>
    <w:p>
      <w:pPr>
        <w:spacing w:after="140" w:line="300"/>
      </w:pPr>
      <w:r>
        <w:t xml:space="preserve">Ajouter des consignes à l’IA pour extraire de l’étude d’impact, du rapport technique et de l’étude climat : les aléas analysés et leur niveau, les mesures d’adaptation, les émissions estimées, les destinations d’export. Chaque valeur reprise affiche son origine sous le champ, comme pour les autres blocs.</w:t>
      </w:r>
    </w:p>
    <w:p>
      <w:pPr>
        <w:pStyle w:val="Heading1"/>
      </w:pPr>
      <w:r>
        <w:t xml:space="preserve">5. Mise en œuvre proposée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034"/>
        <w:gridCol w:w="4343"/>
        <w:gridCol w:w="1654"/>
        <w:gridCol w:w="2275"/>
      </w:tblGrid>
      <w:tr>
        <w:trPr>
          <w:tblHeader/>
        </w:trPr>
        <w:tc>
          <w:tcPr>
            <w:tcW w:type="dxa" w:w="1034"/>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r>
              <w:rPr>
                <w:b/>
                <w:bCs/>
                <w:color w:val="FFFFFF"/>
                <w:sz w:val="19"/>
                <w:szCs w:val="19"/>
              </w:rPr>
              <w:t xml:space="preserve">Lot</w:t>
            </w:r>
          </w:p>
        </w:tc>
        <w:tc>
          <w:tcPr>
            <w:tcW w:type="dxa" w:w="4343"/>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r>
              <w:rPr>
                <w:b/>
                <w:bCs/>
                <w:color w:val="FFFFFF"/>
                <w:sz w:val="19"/>
                <w:szCs w:val="19"/>
              </w:rPr>
              <w:t xml:space="preserve">Contenu</w:t>
            </w:r>
          </w:p>
        </w:tc>
        <w:tc>
          <w:tcPr>
            <w:tcW w:type="dxa" w:w="1654"/>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r>
              <w:rPr>
                <w:b/>
                <w:bCs/>
                <w:color w:val="FFFFFF"/>
                <w:sz w:val="19"/>
                <w:szCs w:val="19"/>
              </w:rPr>
              <w:t xml:space="preserve">Effet sur la note</w:t>
            </w:r>
          </w:p>
        </w:tc>
        <w:tc>
          <w:tcPr>
            <w:tcW w:type="dxa" w:w="2275"/>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r>
              <w:rPr>
                <w:b/>
                <w:bCs/>
                <w:color w:val="FFFFFF"/>
                <w:sz w:val="19"/>
                <w:szCs w:val="19"/>
              </w:rPr>
              <w:t xml:space="preserve">Préalable</w:t>
            </w:r>
          </w:p>
        </w:tc>
      </w:tr>
      <w:tr>
        <w:trPr>
          <w:cantSplit/>
        </w:trPr>
        <w:tc>
          <w:tcPr>
            <w:tcW w:type="dxa" w:w="1034"/>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bCs/>
                <w:color w:val="333333"/>
                <w:sz w:val="19"/>
                <w:szCs w:val="19"/>
              </w:rPr>
              <w:t xml:space="preserve">Lot 1</w:t>
            </w:r>
          </w:p>
        </w:tc>
        <w:tc>
          <w:tcPr>
            <w:tcW w:type="dxa" w:w="4343"/>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val="false"/>
                <w:bCs w:val="false"/>
                <w:color w:val="333333"/>
                <w:sz w:val="19"/>
                <w:szCs w:val="19"/>
              </w:rPr>
              <w:t xml:space="preserve">P1 (fiche aléas, en complément de la case actuelle), P2 (données transition), P5 option (a), P6, P7</w:t>
            </w:r>
          </w:p>
        </w:tc>
        <w:tc>
          <w:tcPr>
            <w:tcW w:type="dxa" w:w="1654"/>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val="false"/>
                <w:bCs w:val="false"/>
                <w:color w:val="333333"/>
                <w:sz w:val="19"/>
                <w:szCs w:val="19"/>
              </w:rPr>
              <w:t xml:space="preserve">Aucun</w:t>
            </w:r>
          </w:p>
        </w:tc>
        <w:tc>
          <w:tcPr>
            <w:tcW w:type="dxa" w:w="227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val="false"/>
                <w:bCs w:val="false"/>
                <w:color w:val="333333"/>
                <w:sz w:val="19"/>
                <w:szCs w:val="19"/>
              </w:rPr>
              <w:t xml:space="preserve">Validation de cette proposition</w:t>
            </w:r>
          </w:p>
        </w:tc>
      </w:tr>
      <w:tr>
        <w:trPr>
          <w:cantSplit/>
        </w:trPr>
        <w:tc>
          <w:tcPr>
            <w:tcW w:type="dxa" w:w="1034"/>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bCs/>
                <w:color w:val="333333"/>
                <w:sz w:val="19"/>
                <w:szCs w:val="19"/>
              </w:rPr>
              <w:t xml:space="preserve">Lot 2</w:t>
            </w:r>
          </w:p>
        </w:tc>
        <w:tc>
          <w:tcPr>
            <w:tcW w:type="dxa" w:w="4343"/>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val="false"/>
                <w:bCs w:val="false"/>
                <w:color w:val="333333"/>
                <w:sz w:val="19"/>
                <w:szCs w:val="19"/>
              </w:rPr>
              <w:t xml:space="preserve">« Site élevé » déduit de la fiche, P3 (D9.4 / D9.5), P4 (C16, C17 — anciennement C11 bis), P5 option (b)</w:t>
            </w:r>
          </w:p>
        </w:tc>
        <w:tc>
          <w:tcPr>
            <w:tcW w:type="dxa" w:w="1654"/>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val="false"/>
                <w:bCs w:val="false"/>
                <w:color w:val="333333"/>
                <w:sz w:val="19"/>
                <w:szCs w:val="19"/>
              </w:rPr>
              <w:t xml:space="preserve">Oui, sur les dossiers exposés</w:t>
            </w:r>
          </w:p>
        </w:tc>
        <w:tc>
          <w:tcPr>
            <w:tcW w:type="dxa" w:w="227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r>
              <w:rPr>
                <w:b w:val="false"/>
                <w:bCs w:val="false"/>
                <w:color w:val="333333"/>
                <w:sz w:val="19"/>
                <w:szCs w:val="19"/>
              </w:rPr>
              <w:t xml:space="preserve">Validation par le comité de validation du modèle ; mise à jour de l’outil Excel et recalcul des 18 cas de test</w:t>
            </w:r>
          </w:p>
        </w:tc>
      </w:tr>
    </w:tbl>
    <w:p>
      <w:pPr>
        <w:spacing w:after="120"/>
      </w:pPr>
    </w:p>
    <w:p>
      <w:pPr>
        <w:spacing w:after="140" w:line="300"/>
      </w:pPr>
      <w:r>
        <w:t xml:space="preserve">Le lot 2 modifie le moteur de calcul : l’outil Excel de référence et les 18 cas de test doivent être alignés en même temps, comme pour toute évolution du modèle.</w:t>
      </w:r>
    </w:p>
    <w:p>
      <w:pPr>
        <w:pStyle w:val="Heading1"/>
      </w:pPr>
      <w:r>
        <w:t xml:space="preserve">6. Effet attendu sur les cas de test (lot 2, à confirmer par calcul)</w:t>
      </w:r>
    </w:p>
    <w:p>
      <w:pPr>
        <w:pStyle w:val="ListParagraph"/>
        <w:numPr>
          <w:ilvl w:val="0"/>
          <w:numId w:val="2"/>
        </w:numPr>
        <w:spacing w:after="70" w:line="290"/>
      </w:pPr>
      <w:r>
        <w:rPr>
          <w:b/>
          <w:bCs/>
        </w:rPr>
        <w:t xml:space="preserve">Agro-industrie (olives) : </w:t>
      </w:r>
      <w:r>
        <w:t xml:space="preserve">la sécheresse devient un aléa élevé ; sans plan d’adaptation (irrigation, contrats d’approvisionnement diversifiés), C11 limite la note à 6. C17 (anciennement C11 bis) ne s’y ajoute pas : depuis la simplification, il exige au moins deux aléas élevés sans adaptation. Calcul confirmé : la note de l’huilerie passe de 8 à 6 (voir le dossier de validation du lot 2).</w:t>
      </w:r>
    </w:p>
    <w:p>
      <w:pPr>
        <w:pStyle w:val="ListParagraph"/>
        <w:numPr>
          <w:ilvl w:val="0"/>
          <w:numId w:val="2"/>
        </w:numPr>
        <w:spacing w:after="70" w:line="290"/>
      </w:pPr>
      <w:r>
        <w:rPr>
          <w:b/>
          <w:bCs/>
        </w:rPr>
        <w:t xml:space="preserve">Centrale à cycle combiné au gaz : </w:t>
      </w:r>
      <w:r>
        <w:t xml:space="preserve">émissions largement supérieures à 100 000 tCO₂e par an ; sans plan de transition, C16 limite la note à 6. Le dossier est aujourd’hui déjà plafonné à 4 par d’autres motifs : pas de changement de note, mais un signal de transition visible.</w:t>
      </w:r>
    </w:p>
    <w:p>
      <w:pPr>
        <w:pStyle w:val="ListParagraph"/>
        <w:numPr>
          <w:ilvl w:val="0"/>
          <w:numId w:val="2"/>
        </w:numPr>
        <w:spacing w:after="70" w:line="290"/>
      </w:pPr>
      <w:r>
        <w:rPr>
          <w:b/>
          <w:bCs/>
        </w:rPr>
        <w:t xml:space="preserve">Usine de dessalement : </w:t>
      </w:r>
      <w:r>
        <w:t xml:space="preserve">la submersion marine et la qualité de l’eau de mer deviennent des aléas pertinents ; le dossier reste inchangé s’il documente ses mesures d’adaptation.</w:t>
      </w:r>
    </w:p>
    <w:p>
      <w:pPr>
        <w:pStyle w:val="ListParagraph"/>
        <w:numPr>
          <w:ilvl w:val="0"/>
          <w:numId w:val="2"/>
        </w:numPr>
        <w:spacing w:after="70" w:line="290"/>
      </w:pPr>
      <w:r>
        <w:rPr>
          <w:b/>
          <w:bCs/>
        </w:rPr>
        <w:t xml:space="preserve">Centrales solaires et éoliennes : </w:t>
      </w:r>
      <w:r>
        <w:t xml:space="preserve">risque de transition faible ; la chaleur et les vents de sable sont analysés, en général couverts par la conception.</w:t>
      </w:r>
    </w:p>
    <w:p>
      <w:pPr>
        <w:pStyle w:val="Heading1"/>
      </w:pPr>
      <w:r>
        <w:t xml:space="preserve">7. Décisions attendues</w:t>
      </w:r>
    </w:p>
    <w:p>
      <w:pPr>
        <w:pStyle w:val="ListParagraph"/>
        <w:numPr>
          <w:ilvl w:val="0"/>
          <w:numId w:val="2"/>
        </w:numPr>
        <w:spacing w:after="70" w:line="290"/>
      </w:pPr>
      <w:r>
        <w:t xml:space="preserve">Valider le principe des deux lots et le lancement du lot 1.</w:t>
      </w:r>
    </w:p>
    <w:p>
      <w:pPr>
        <w:pStyle w:val="ListParagraph"/>
        <w:numPr>
          <w:ilvl w:val="0"/>
          <w:numId w:val="2"/>
        </w:numPr>
        <w:spacing w:after="70" w:line="290"/>
      </w:pPr>
      <w:r>
        <w:t xml:space="preserve">Valider la liste des six aléas et leur pré-sélection par secteur.</w:t>
      </w:r>
    </w:p>
    <w:p>
      <w:pPr>
        <w:pStyle w:val="ListParagraph"/>
        <w:numPr>
          <w:ilvl w:val="0"/>
          <w:numId w:val="2"/>
        </w:numPr>
        <w:spacing w:after="70" w:line="290"/>
      </w:pPr>
      <w:r>
        <w:t xml:space="preserve">Valider les repères de transition (25 000 et 100 000 tCO₂e, MACF, actif échoué).</w:t>
      </w:r>
    </w:p>
    <w:p>
      <w:pPr>
        <w:pStyle w:val="ListParagraph"/>
        <w:numPr>
          <w:ilvl w:val="0"/>
          <w:numId w:val="2"/>
        </w:numPr>
        <w:spacing w:after="70" w:line="290"/>
      </w:pPr>
      <w:r>
        <w:t xml:space="preserve">Choisir l’option du scénario climatique : (a) informatif, puis (b) après calibrage.</w:t>
      </w:r>
    </w:p>
    <w:p>
      <w:pPr>
        <w:pStyle w:val="ListParagraph"/>
        <w:numPr>
          <w:ilvl w:val="0"/>
          <w:numId w:val="2"/>
        </w:numPr>
        <w:spacing w:after="70" w:line="290"/>
      </w:pPr>
      <w:r>
        <w:t xml:space="preserve">Désigner le référent climat (Risques Groupe ou Conformité) pour la validation des sources et le lien avec le reporting 2/W/2025.</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7A7A"/>
        <w:sz w:val="18"/>
        <w:szCs w:val="18"/>
      </w:rPr>
      <w:t xml:space="preserve">Risques Groupe · Volet climatique — proposition · page </w:t>
    </w:r>
    <w:r>
      <w:rPr>
        <w:color w:val="7A7A7A"/>
        <w:sz w:val="18"/>
        <w:szCs w:val="18"/>
      </w:rPr>
      <w:fldChar w:fldCharType="begin"/>
    </w:r>
    <w:r>
      <w:rPr>
        <w:color w:val="7A7A7A"/>
        <w:sz w:val="18"/>
        <w:szCs w:val="18"/>
      </w:rPr>
      <w:instrText xml:space="preserve">PAGE</w:instrText>
    </w:r>
    <w:r>
      <w:rPr>
        <w:color w:val="7A7A7A"/>
        <w:sz w:val="18"/>
        <w:szCs w:val="18"/>
      </w:rPr>
      <w:fldChar w:fldCharType="separate"/>
    </w:r>
    <w:r>
      <w:rPr>
        <w:color w:val="7A7A7A"/>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rPr>
        <w:color w:val="E8790F"/>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333"/>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next w:val="Normal"/>
    <w:qFormat/>
    <w:pPr>
      <w:spacing w:after="80"/>
    </w:pPr>
    <w:rPr>
      <w:rFonts w:ascii="Calibri" w:cs="Calibri" w:eastAsia="Calibri" w:hAnsi="Calibri"/>
      <w:b/>
      <w:bCs/>
      <w:color w:val="E8790F"/>
      <w:sz w:val="40"/>
      <w:szCs w:val="40"/>
    </w:rPr>
  </w:style>
  <w:style w:type="paragraph" w:styleId="Heading1">
    <w:name w:val="Heading 1"/>
    <w:basedOn w:val="Normal"/>
    <w:next w:val="Normal"/>
    <w:qFormat/>
    <w:pPr>
      <w:keepNext/>
      <w:spacing w:after="120" w:before="320"/>
      <w:outlineLvl w:val="0"/>
    </w:pPr>
    <w:rPr>
      <w:rFonts w:ascii="Calibri" w:cs="Calibri" w:eastAsia="Calibri" w:hAnsi="Calibri"/>
      <w:b/>
      <w:bCs/>
      <w:color w:val="E8790F"/>
      <w:sz w:val="30"/>
      <w:szCs w:val="30"/>
    </w:rPr>
  </w:style>
  <w:style w:type="paragraph" w:styleId="Heading2">
    <w:name w:val="Heading 2"/>
    <w:basedOn w:val="Normal"/>
    <w:next w:val="Normal"/>
    <w:qFormat/>
    <w:pPr>
      <w:keepNext/>
      <w:spacing w:after="80" w:before="200"/>
      <w:outlineLvl w:val="1"/>
    </w:pPr>
    <w:rPr>
      <w:rFonts w:ascii="Calibri" w:cs="Calibri" w:eastAsia="Calibri" w:hAnsi="Calibri"/>
      <w:b/>
      <w:bCs/>
      <w:color w:val="5A3A1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Volet climatique du modèle de scoring PF — proposition</dc:title>
  <dc:creator>Risques Groupe</dc:creator>
  <cp:lastModifiedBy>Un-named</cp:lastModifiedBy>
  <cp:revision>1</cp:revision>
  <dcterms:created xsi:type="dcterms:W3CDTF">2026-10-27T11:57:22.602Z</dcterms:created>
  <dcterms:modified xsi:type="dcterms:W3CDTF">2026-10-27T11:57:22.602Z</dcterms:modified>
</cp:coreProperties>
</file>

<file path=docProps/custom.xml><?xml version="1.0" encoding="utf-8"?>
<Properties xmlns="http://schemas.openxmlformats.org/officeDocument/2006/custom-properties" xmlns:vt="http://schemas.openxmlformats.org/officeDocument/2006/docPropsVTypes"/>
</file>