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E8790F"/>
          <w:sz w:val="20"/>
          <w:szCs w:val="20"/>
        </w:rPr>
        <w:t xml:space="preserve">Modèle de scoring Project Finance · Risques Groupe</w:t>
      </w:r>
    </w:p>
    <w:p>
      <w:pPr>
        <w:pStyle w:val="Title"/>
      </w:pPr>
      <w:r>
        <w:t xml:space="preserve">Le volet stress test du modèle</w:t>
      </w:r>
    </w:p>
    <w:p>
      <w:pPr>
        <w:spacing w:after="140" w:line="300"/>
      </w:pPr>
      <w:r>
        <w:rPr>
          <w:i/>
          <w:iCs/>
          <w:color w:val="7A7A7A"/>
        </w:rPr>
        <w:t xml:space="preserve">Note pédagogique : à quoi sert le scénario défavorable, d’où viennent ses hypothèses, comment le modèle le calcule et comment lire le résultat.</w:t>
      </w:r>
    </w:p>
    <w:p>
      <w:pPr>
        <w:pBdr>
          <w:left w:val="single" w:color="E8790F" w:sz="18" w:space="8"/>
        </w:pBdr>
        <w:shd w:fill="FDEBD3" w:color="auto" w:val="clear"/>
        <w:spacing w:after="200" w:before="120" w:line="300"/>
        <w:ind w:left="160" w:right="160"/>
      </w:pPr>
      <w:r>
        <w:rPr>
          <w:b/>
          <w:bCs/>
          <w:color w:val="5A3A1E"/>
        </w:rPr>
        <w:t xml:space="preserve">En une phrase</w:t>
      </w:r>
      <w:r>
        <w:br/>
        <w:t xml:space="preserve"/>
      </w:r>
      <w:r>
        <w:t xml:space="preserve">Le stress test pose une question simple : si le principal risque du projet se matérialise, les flux de trésorerie suffisent-ils encore à payer la dette ? Le modèle y répond en recalculant le DSCR dans un scénario défavorable, puis en notant ce DSCR « stressé ».</w:t>
      </w:r>
    </w:p>
    <w:p>
      <w:pPr>
        <w:pStyle w:val="Heading1"/>
      </w:pPr>
      <w:r>
        <w:t xml:space="preserve">1. Pourquoi un stress test en project finance</w:t>
      </w:r>
    </w:p>
    <w:p>
      <w:pPr>
        <w:spacing w:after="140" w:line="300"/>
      </w:pPr>
      <w:r>
        <w:t xml:space="preserve">Dans un financement de projet, la banque est remboursée uniquement par les flux de la société de projet : pas de bilan d’entreprise derrière, pas d’autres activités pour compenser. Tout repose sur le plan d’affaires.</w:t>
      </w:r>
    </w:p>
    <w:p>
      <w:pPr>
        <w:spacing w:after="140" w:line="300"/>
      </w:pPr>
      <w:r>
        <w:t xml:space="preserve">Or le plan d’affaires présenté, le « scénario central » ou cas de base, reflète les hypothèses attendues : production normale, prix prévus, coûts maîtrisés. Il dit ce qui devrait se passer, pas ce qui peut mal tourner. Un projet peut afficher une belle couverture en cas de base et devenir incapable de payer sa dette dès que son hypothèse la plus sensible se dégrade.</w:t>
      </w:r>
    </w:p>
    <w:p>
      <w:pPr>
        <w:spacing w:after="140" w:line="300"/>
      </w:pPr>
      <w:r>
        <w:t xml:space="preserve">Le stress test sert donc à mesurer la résistance du projet : on dégrade volontairement l’hypothèse la plus risquée et on regarde ce qu’il reste pour la dette.</w:t>
      </w:r>
    </w:p>
    <w:p>
      <w:pPr>
        <w:pStyle w:val="Heading1"/>
      </w:pPr>
      <w:r>
        <w:t xml:space="preserve">2. Trois notions à avoir en tête</w:t>
      </w:r>
    </w:p>
    <w:p>
      <w:pPr>
        <w:pStyle w:val="ListParagraph"/>
        <w:numPr>
          <w:ilvl w:val="0"/>
          <w:numId w:val="2"/>
        </w:numPr>
        <w:spacing w:after="70" w:line="290"/>
      </w:pPr>
      <w:r>
        <w:rPr>
          <w:b/>
          <w:bCs/>
        </w:rPr>
        <w:t xml:space="preserve">CFADS </w:t>
      </w:r>
      <w:r>
        <w:t xml:space="preserve">(Cash Flow Available for Debt Service) : la trésorerie dégagée par le projet sur une période, après charges d’exploitation, impôts et investissements de maintien, disponible pour payer la dette.</w:t>
      </w:r>
    </w:p>
    <w:p>
      <w:pPr>
        <w:pStyle w:val="ListParagraph"/>
        <w:numPr>
          <w:ilvl w:val="0"/>
          <w:numId w:val="2"/>
        </w:numPr>
        <w:spacing w:after="70" w:line="290"/>
      </w:pPr>
      <w:r>
        <w:rPr>
          <w:b/>
          <w:bCs/>
        </w:rPr>
        <w:t xml:space="preserve">Service de la dette </w:t>
      </w:r>
      <w:r>
        <w:t xml:space="preserve">: ce que le projet doit payer à la banque sur la période, intérêts et remboursement du principal.</w:t>
      </w:r>
    </w:p>
    <w:p>
      <w:pPr>
        <w:pStyle w:val="ListParagraph"/>
        <w:numPr>
          <w:ilvl w:val="0"/>
          <w:numId w:val="2"/>
        </w:numPr>
        <w:spacing w:after="70" w:line="290"/>
      </w:pPr>
      <w:r>
        <w:rPr>
          <w:b/>
          <w:bCs/>
        </w:rPr>
        <w:t xml:space="preserve">DSCR </w:t>
      </w:r>
      <w:r>
        <w:t xml:space="preserve">(Debt Service Coverage Ratio) = CFADS ÷ service de la dette. Un DSCR de 1,30 signifie que le projet dégage 1,30 dirham pour chaque dirham dû. À 1,00, il paie tout juste ; en dessous de 1,00, il ne peut plus payer sans puiser dans ses réserves.</w:t>
      </w:r>
    </w:p>
    <w:p>
      <w:pPr>
        <w:spacing w:after="140" w:line="300"/>
      </w:pPr>
      <w:r>
        <w:t xml:space="preserve">Le modèle calcule le DSCR à chaque échéance et retient le minimum, pas la moyenne : un seul semestre faible suffit à mettre le projet en difficulté.</w:t>
      </w:r>
    </w:p>
    <w:p>
      <w:pPr>
        <w:pStyle w:val="Heading1"/>
      </w:pPr>
      <w:r>
        <w:t xml:space="preserve">3. Ce que fait le modèle, étape par étape</w:t>
      </w:r>
    </w:p>
    <w:p>
      <w:pPr>
        <w:pStyle w:val="ListParagraph"/>
        <w:numPr>
          <w:ilvl w:val="0"/>
          <w:numId w:val="3"/>
        </w:numPr>
        <w:spacing w:after="90" w:line="290"/>
      </w:pPr>
      <w:r>
        <w:rPr>
          <w:b/>
          <w:bCs/>
        </w:rPr>
        <w:t xml:space="preserve">Définir le scénario défavorable. </w:t>
      </w:r>
      <w:r>
        <w:t xml:space="preserve">L’analyste part du scénario de référence du secteur proposé par l’outil (voir section 7), l’adapte au projet et le décrit en une phrase dans la saisie (bloc 6).</w:t>
      </w:r>
    </w:p>
    <w:p>
      <w:pPr>
        <w:pStyle w:val="ListParagraph"/>
        <w:numPr>
          <w:ilvl w:val="0"/>
          <w:numId w:val="3"/>
        </w:numPr>
        <w:spacing w:after="90" w:line="290"/>
      </w:pPr>
      <w:r>
        <w:rPr>
          <w:b/>
          <w:bCs/>
        </w:rPr>
        <w:t xml:space="preserve">Le traduire en baisse de CFADS. </w:t>
      </w:r>
      <w:r>
        <w:t xml:space="preserve">Deux façons de faire : soit un pourcentage unique de baisse du CFADS (le « choc », par exemple 14 %) appliqué à toutes les échéances, calculé comme en section 4 ; soit un CFADS stressé saisi échéance par échéance, issu du modèle financier du projet. Si un CFADS stressé est saisi pour une échéance, il remplace le choc sur cette échéance.</w:t>
      </w:r>
    </w:p>
    <w:p>
      <w:pPr>
        <w:pStyle w:val="ListParagraph"/>
        <w:numPr>
          <w:ilvl w:val="0"/>
          <w:numId w:val="3"/>
        </w:numPr>
        <w:spacing w:after="90" w:line="290"/>
      </w:pPr>
      <w:r>
        <w:rPr>
          <w:b/>
          <w:bCs/>
        </w:rPr>
        <w:t xml:space="preserve">Recalculer le DSCR à chaque échéance. </w:t>
      </w:r>
      <w:r>
        <w:t xml:space="preserve">DSCR stressé = CFADS stressé ÷ service de la dette. Le service de la dette, lui, ne change pas : la banque attend les mêmes échéances.</w:t>
      </w:r>
    </w:p>
    <w:p>
      <w:pPr>
        <w:pStyle w:val="ListParagraph"/>
        <w:numPr>
          <w:ilvl w:val="0"/>
          <w:numId w:val="3"/>
        </w:numPr>
        <w:spacing w:after="90" w:line="290"/>
      </w:pPr>
      <w:r>
        <w:rPr>
          <w:b/>
          <w:bCs/>
        </w:rPr>
        <w:t xml:space="preserve">Retenir le DSCR stressé minimum. </w:t>
      </w:r>
      <w:r>
        <w:t xml:space="preserve">C’est l’indicateur N2 du noyau financier.</w:t>
      </w:r>
    </w:p>
    <w:p>
      <w:pPr>
        <w:pStyle w:val="ListParagraph"/>
        <w:numPr>
          <w:ilvl w:val="0"/>
          <w:numId w:val="3"/>
        </w:numPr>
        <w:spacing w:after="90" w:line="290"/>
      </w:pPr>
      <w:r>
        <w:rPr>
          <w:b/>
          <w:bCs/>
        </w:rPr>
        <w:t xml:space="preserve">Le classer selon les seuils du projet. </w:t>
      </w:r>
      <w:r>
        <w:t xml:space="preserve">Ce sont les mêmes seuils que pour le DSCR central : seuil du régime de revenus, plus l’écart du secteur, plus 0,05 en montée en charge. N2 vaut 100 (très favorable), 80 (favorable), 50 (vigilance) ou 20 (critique).</w:t>
      </w:r>
    </w:p>
    <w:p>
      <w:pPr>
        <w:pStyle w:val="ListParagraph"/>
        <w:numPr>
          <w:ilvl w:val="0"/>
          <w:numId w:val="3"/>
        </w:numPr>
        <w:spacing w:after="90" w:line="290"/>
      </w:pPr>
      <w:r>
        <w:rPr>
          <w:b/>
          <w:bCs/>
        </w:rPr>
        <w:t xml:space="preserve">Appliquer le garde-fou. </w:t>
      </w:r>
      <w:r>
        <w:t xml:space="preserve">Si le DSCR stressé minimum passe sous 1,00x, le plafond C3 se déclenche : la note approuvée ne peut pas dépasser 4, quel que soit le score.</w:t>
      </w:r>
    </w:p>
    <w:p>
      <w:pPr>
        <w:pBdr>
          <w:left w:val="single" w:color="E8790F" w:sz="18" w:space="8"/>
        </w:pBdr>
        <w:shd w:fill="FDEBD3" w:color="auto" w:val="clear"/>
        <w:spacing w:after="200" w:before="120" w:line="300"/>
        <w:ind w:left="160" w:right="160"/>
      </w:pPr>
      <w:r>
        <w:rPr>
          <w:b/>
          <w:bCs/>
          <w:color w:val="5A3A1E"/>
        </w:rPr>
        <w:t xml:space="preserve">Deux effets distincts, à ne pas confondre</w:t>
      </w:r>
      <w:r>
        <w:br/>
        <w:t xml:space="preserve"/>
      </w:r>
      <w:r>
        <w:t xml:space="preserve">L’effet sur le score est modéré : N2 pèse 20 % du noyau financier D7, qui pèse lui-même 25 à 30 % du score. Passer de « très favorable » à « critique » coûte environ 4 à 5 points de score.</w:t>
      </w:r>
      <w:r>
        <w:br/>
        <w:t xml:space="preserve"/>
      </w:r>
      <w:r>
        <w:t xml:space="preserve">L’effet du plafond est décisif : un DSCR stressé sous 1,00 ramène la note à 4 au plus, même si tout le reste est excellent. C’est là que le stress test a ses vraies dents.</w:t>
      </w:r>
    </w:p>
    <w:p>
      <w:pPr>
        <w:pStyle w:val="Heading1"/>
      </w:pPr>
      <w:r>
        <w:t xml:space="preserve">4. Du scénario au choc : le calcul</w:t>
      </w:r>
    </w:p>
    <w:p>
      <w:pPr>
        <w:spacing w:after="140" w:line="300"/>
      </w:pPr>
      <w:r>
        <w:t xml:space="preserve">Le scénario s’exprime en langage métier (« production − 8 % », « charges + 10 % ») ; le DSCR se calcule en dirhams. Le choc ne se choisit pas : il se calcule en refaisant le compte d’une année type avec les hypothèses défavorables.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59"/>
        <w:gridCol w:w="1773"/>
        <w:gridCol w:w="2659"/>
        <w:gridCol w:w="2215"/>
      </w:tblGrid>
      <w:tr>
        <w:trPr>
          <w:tblHeader/>
        </w:trPr>
        <w:tc>
          <w:tcPr>
            <w:tcW w:type="dxa" w:w="2659"/>
            <w:tcBorders>
              <w:top w:val="single" w:color="D9D9D9" w:sz="4"/>
              <w:left w:val="single" w:color="D9D9D9" w:sz="4"/>
              <w:bottom w:val="single" w:color="D9D9D9" w:sz="4"/>
              <w:right w:val="single" w:color="D9D9D9" w:sz="4"/>
            </w:tcBorders>
            <w:shd w:fill="E8790F" w:color="auto" w:val="clear"/>
            <w:tcMar>
              <w:top w:type="dxa" w:w="60"/>
              <w:left w:type="dxa" w:w="100"/>
              <w:bottom w:type="dxa" w:w="60"/>
              <w:right w:type="dxa" w:w="100"/>
            </w:tcMar>
          </w:tcPr>
          <w:p>
            <w:pPr>
              <w:jc w:val="left"/>
            </w:pPr>
            <w:r>
              <w:rPr>
                <w:b/>
                <w:bCs/>
                <w:color w:val="FFFFFF"/>
                <w:sz w:val="20"/>
                <w:szCs w:val="20"/>
              </w:rPr>
              <w:t xml:space="preserve">En MMAD</w:t>
            </w:r>
          </w:p>
        </w:tc>
        <w:tc>
          <w:tcPr>
            <w:tcW w:type="dxa" w:w="1773"/>
            <w:tcBorders>
              <w:top w:val="single" w:color="D9D9D9" w:sz="4"/>
              <w:left w:val="single" w:color="D9D9D9" w:sz="4"/>
              <w:bottom w:val="single" w:color="D9D9D9" w:sz="4"/>
              <w:right w:val="single" w:color="D9D9D9" w:sz="4"/>
            </w:tcBorders>
            <w:shd w:fill="E8790F" w:color="auto" w:val="clear"/>
            <w:tcMar>
              <w:top w:type="dxa" w:w="60"/>
              <w:left w:type="dxa" w:w="100"/>
              <w:bottom w:type="dxa" w:w="60"/>
              <w:right w:type="dxa" w:w="100"/>
            </w:tcMar>
          </w:tcPr>
          <w:p>
            <w:pPr>
              <w:jc w:val="right"/>
            </w:pPr>
            <w:r>
              <w:rPr>
                <w:b/>
                <w:bCs/>
                <w:color w:val="FFFFFF"/>
                <w:sz w:val="20"/>
                <w:szCs w:val="20"/>
              </w:rPr>
              <w:t xml:space="preserve">Scénario central</w:t>
            </w:r>
          </w:p>
        </w:tc>
        <w:tc>
          <w:tcPr>
            <w:tcW w:type="dxa" w:w="2659"/>
            <w:tcBorders>
              <w:top w:val="single" w:color="D9D9D9" w:sz="4"/>
              <w:left w:val="single" w:color="D9D9D9" w:sz="4"/>
              <w:bottom w:val="single" w:color="D9D9D9" w:sz="4"/>
              <w:right w:val="single" w:color="D9D9D9" w:sz="4"/>
            </w:tcBorders>
            <w:shd w:fill="E8790F" w:color="auto" w:val="clear"/>
            <w:tcMar>
              <w:top w:type="dxa" w:w="60"/>
              <w:left w:type="dxa" w:w="100"/>
              <w:bottom w:type="dxa" w:w="60"/>
              <w:right w:type="dxa" w:w="100"/>
            </w:tcMar>
          </w:tcPr>
          <w:p>
            <w:pPr>
              <w:jc w:val="left"/>
            </w:pPr>
            <w:r>
              <w:rPr>
                <w:b/>
                <w:bCs/>
                <w:color w:val="FFFFFF"/>
                <w:sz w:val="20"/>
                <w:szCs w:val="20"/>
              </w:rPr>
              <w:t xml:space="preserve">Hypothèse</w:t>
            </w:r>
          </w:p>
        </w:tc>
        <w:tc>
          <w:tcPr>
            <w:tcW w:type="dxa" w:w="2215"/>
            <w:tcBorders>
              <w:top w:val="single" w:color="D9D9D9" w:sz="4"/>
              <w:left w:val="single" w:color="D9D9D9" w:sz="4"/>
              <w:bottom w:val="single" w:color="D9D9D9" w:sz="4"/>
              <w:right w:val="single" w:color="D9D9D9" w:sz="4"/>
            </w:tcBorders>
            <w:shd w:fill="E8790F" w:color="auto" w:val="clear"/>
            <w:tcMar>
              <w:top w:type="dxa" w:w="60"/>
              <w:left w:type="dxa" w:w="100"/>
              <w:bottom w:type="dxa" w:w="60"/>
              <w:right w:type="dxa" w:w="100"/>
            </w:tcMar>
          </w:tcPr>
          <w:p>
            <w:pPr>
              <w:jc w:val="right"/>
            </w:pPr>
            <w:r>
              <w:rPr>
                <w:b/>
                <w:bCs/>
                <w:color w:val="FFFFFF"/>
                <w:sz w:val="20"/>
                <w:szCs w:val="20"/>
              </w:rPr>
              <w:t xml:space="preserve">Scénario défavorable</w:t>
            </w:r>
          </w:p>
        </w:tc>
      </w:tr>
      <w:tr>
        <w:trPr>
          <w:cantSplit/>
        </w:trPr>
        <w:tc>
          <w:tcPr>
            <w:tcW w:type="dxa" w:w="2659"/>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bCs/>
                <w:color w:val="333333"/>
                <w:sz w:val="20"/>
                <w:szCs w:val="20"/>
              </w:rPr>
              <w:t xml:space="preserve">Recettes</w:t>
            </w:r>
          </w:p>
        </w:tc>
        <w:tc>
          <w:tcPr>
            <w:tcW w:type="dxa" w:w="1773"/>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right"/>
            </w:pPr>
            <w:r>
              <w:rPr>
                <w:b w:val="false"/>
                <w:bCs w:val="false"/>
                <w:color w:val="333333"/>
                <w:sz w:val="20"/>
                <w:szCs w:val="20"/>
              </w:rPr>
              <w:t xml:space="preserve">100</w:t>
            </w:r>
          </w:p>
        </w:tc>
        <w:tc>
          <w:tcPr>
            <w:tcW w:type="dxa" w:w="2659"/>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val="false"/>
                <w:bCs w:val="false"/>
                <w:color w:val="333333"/>
                <w:sz w:val="20"/>
                <w:szCs w:val="20"/>
              </w:rPr>
              <w:t xml:space="preserve">− 8 % (production P90)</w:t>
            </w:r>
          </w:p>
        </w:tc>
        <w:tc>
          <w:tcPr>
            <w:tcW w:type="dxa" w:w="2215"/>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right"/>
            </w:pPr>
            <w:r>
              <w:rPr>
                <w:b w:val="false"/>
                <w:bCs w:val="false"/>
                <w:color w:val="333333"/>
                <w:sz w:val="20"/>
                <w:szCs w:val="20"/>
              </w:rPr>
              <w:t xml:space="preserve">92</w:t>
            </w:r>
          </w:p>
        </w:tc>
      </w:tr>
      <w:tr>
        <w:trPr>
          <w:cantSplit/>
        </w:trPr>
        <w:tc>
          <w:tcPr>
            <w:tcW w:type="dxa" w:w="2659"/>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bCs/>
                <w:color w:val="333333"/>
                <w:sz w:val="20"/>
                <w:szCs w:val="20"/>
              </w:rPr>
              <w:t xml:space="preserve">Charges d’exploitation</w:t>
            </w:r>
          </w:p>
        </w:tc>
        <w:tc>
          <w:tcPr>
            <w:tcW w:type="dxa" w:w="1773"/>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right"/>
            </w:pPr>
            <w:r>
              <w:rPr>
                <w:b w:val="false"/>
                <w:bCs w:val="false"/>
                <w:color w:val="333333"/>
                <w:sz w:val="20"/>
                <w:szCs w:val="20"/>
              </w:rPr>
              <w:t xml:space="preserve">− 25</w:t>
            </w:r>
          </w:p>
        </w:tc>
        <w:tc>
          <w:tcPr>
            <w:tcW w:type="dxa" w:w="2659"/>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val="false"/>
                <w:bCs w:val="false"/>
                <w:color w:val="333333"/>
                <w:sz w:val="20"/>
                <w:szCs w:val="20"/>
              </w:rPr>
              <w:t xml:space="preserve">+ 10 %</w:t>
            </w:r>
          </w:p>
        </w:tc>
        <w:tc>
          <w:tcPr>
            <w:tcW w:type="dxa" w:w="2215"/>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right"/>
            </w:pPr>
            <w:r>
              <w:rPr>
                <w:b w:val="false"/>
                <w:bCs w:val="false"/>
                <w:color w:val="333333"/>
                <w:sz w:val="20"/>
                <w:szCs w:val="20"/>
              </w:rPr>
              <w:t xml:space="preserve">− 27,5</w:t>
            </w:r>
          </w:p>
        </w:tc>
      </w:tr>
      <w:tr>
        <w:trPr>
          <w:cantSplit/>
        </w:trPr>
        <w:tc>
          <w:tcPr>
            <w:tcW w:type="dxa" w:w="2659"/>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bCs/>
                <w:color w:val="333333"/>
                <w:sz w:val="20"/>
                <w:szCs w:val="20"/>
              </w:rPr>
              <w:t xml:space="preserve">CFADS</w:t>
            </w:r>
          </w:p>
        </w:tc>
        <w:tc>
          <w:tcPr>
            <w:tcW w:type="dxa" w:w="1773"/>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right"/>
            </w:pPr>
            <w:r>
              <w:rPr>
                <w:b w:val="false"/>
                <w:bCs w:val="false"/>
                <w:color w:val="333333"/>
                <w:sz w:val="20"/>
                <w:szCs w:val="20"/>
              </w:rPr>
              <w:t xml:space="preserve">75</w:t>
            </w:r>
          </w:p>
        </w:tc>
        <w:tc>
          <w:tcPr>
            <w:tcW w:type="dxa" w:w="2659"/>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val="false"/>
                <w:bCs w:val="false"/>
                <w:color w:val="333333"/>
                <w:sz w:val="20"/>
                <w:szCs w:val="20"/>
              </w:rPr>
              <w:t xml:space="preserve"/>
            </w:r>
          </w:p>
        </w:tc>
        <w:tc>
          <w:tcPr>
            <w:tcW w:type="dxa" w:w="2215"/>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right"/>
            </w:pPr>
            <w:r>
              <w:rPr>
                <w:b w:val="false"/>
                <w:bCs w:val="false"/>
                <w:color w:val="333333"/>
                <w:sz w:val="20"/>
                <w:szCs w:val="20"/>
              </w:rPr>
              <w:t xml:space="preserve">64,5</w:t>
            </w:r>
          </w:p>
        </w:tc>
      </w:tr>
      <w:tr>
        <w:trPr>
          <w:cantSplit/>
        </w:trPr>
        <w:tc>
          <w:tcPr>
            <w:tcW w:type="dxa" w:w="2659"/>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bCs/>
                <w:color w:val="333333"/>
                <w:sz w:val="20"/>
                <w:szCs w:val="20"/>
              </w:rPr>
              <w:t xml:space="preserve">Service de la dette</w:t>
            </w:r>
          </w:p>
        </w:tc>
        <w:tc>
          <w:tcPr>
            <w:tcW w:type="dxa" w:w="1773"/>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right"/>
            </w:pPr>
            <w:r>
              <w:rPr>
                <w:b w:val="false"/>
                <w:bCs w:val="false"/>
                <w:color w:val="333333"/>
                <w:sz w:val="20"/>
                <w:szCs w:val="20"/>
              </w:rPr>
              <w:t xml:space="preserve">58</w:t>
            </w:r>
          </w:p>
        </w:tc>
        <w:tc>
          <w:tcPr>
            <w:tcW w:type="dxa" w:w="2659"/>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val="false"/>
                <w:bCs w:val="false"/>
                <w:color w:val="333333"/>
                <w:sz w:val="20"/>
                <w:szCs w:val="20"/>
              </w:rPr>
              <w:t xml:space="preserve">inchangé</w:t>
            </w:r>
          </w:p>
        </w:tc>
        <w:tc>
          <w:tcPr>
            <w:tcW w:type="dxa" w:w="2215"/>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right"/>
            </w:pPr>
            <w:r>
              <w:rPr>
                <w:b w:val="false"/>
                <w:bCs w:val="false"/>
                <w:color w:val="333333"/>
                <w:sz w:val="20"/>
                <w:szCs w:val="20"/>
              </w:rPr>
              <w:t xml:space="preserve">58</w:t>
            </w:r>
          </w:p>
        </w:tc>
      </w:tr>
      <w:tr>
        <w:trPr>
          <w:cantSplit/>
        </w:trPr>
        <w:tc>
          <w:tcPr>
            <w:tcW w:type="dxa" w:w="2659"/>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bCs/>
                <w:color w:val="333333"/>
                <w:sz w:val="20"/>
                <w:szCs w:val="20"/>
              </w:rPr>
              <w:t xml:space="preserve">DSCR</w:t>
            </w:r>
          </w:p>
        </w:tc>
        <w:tc>
          <w:tcPr>
            <w:tcW w:type="dxa" w:w="1773"/>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right"/>
            </w:pPr>
            <w:r>
              <w:rPr>
                <w:b w:val="false"/>
                <w:bCs w:val="false"/>
                <w:color w:val="333333"/>
                <w:sz w:val="20"/>
                <w:szCs w:val="20"/>
              </w:rPr>
              <w:t xml:space="preserve">1,29</w:t>
            </w:r>
          </w:p>
        </w:tc>
        <w:tc>
          <w:tcPr>
            <w:tcW w:type="dxa" w:w="2659"/>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val="false"/>
                <w:bCs w:val="false"/>
                <w:color w:val="333333"/>
                <w:sz w:val="20"/>
                <w:szCs w:val="20"/>
              </w:rPr>
              <w:t xml:space="preserve"/>
            </w:r>
          </w:p>
        </w:tc>
        <w:tc>
          <w:tcPr>
            <w:tcW w:type="dxa" w:w="2215"/>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right"/>
            </w:pPr>
            <w:r>
              <w:rPr>
                <w:b w:val="false"/>
                <w:bCs w:val="false"/>
                <w:color w:val="333333"/>
                <w:sz w:val="20"/>
                <w:szCs w:val="20"/>
              </w:rPr>
              <w:t xml:space="preserve">1,11</w:t>
            </w:r>
          </w:p>
        </w:tc>
      </w:tr>
    </w:tbl>
    <w:p>
      <w:pPr>
        <w:spacing w:after="120"/>
      </w:pPr>
    </w:p>
    <w:p>
      <w:pPr>
        <w:pBdr>
          <w:left w:val="single" w:color="E8790F" w:sz="18" w:space="8"/>
        </w:pBdr>
        <w:shd w:fill="FDEBD3" w:color="auto" w:val="clear"/>
        <w:spacing w:after="200" w:before="120" w:line="300"/>
        <w:ind w:left="160" w:right="160"/>
      </w:pPr>
      <w:r>
        <w:rPr>
          <w:b/>
          <w:bCs/>
          <w:color w:val="5A3A1E"/>
        </w:rPr>
        <w:t xml:space="preserve">Les deux formules</w:t>
      </w:r>
      <w:r>
        <w:br/>
        <w:t xml:space="preserve"/>
      </w:r>
      <w:r>
        <w:t xml:space="preserve">Choc = (recettes perdues + charges supplémentaires) ÷ CFADS central = (8 + 2,5) ÷ 75 = 14 %</w:t>
      </w:r>
      <w:r>
        <w:br/>
        <w:t xml:space="preserve"/>
      </w:r>
      <w:r>
        <w:t xml:space="preserve">DSCR stressé = DSCR central × (1 − choc) = 1,29 × 0,86 = 1,11</w:t>
      </w:r>
    </w:p>
    <w:p>
      <w:pPr>
        <w:spacing w:after="140" w:line="300"/>
      </w:pPr>
      <w:r>
        <w:t xml:space="preserve">Le choc (14 %) est plus fort que la baisse des recettes (8 %) parce que les deux pertes sortent du CFADS, plus petit que les recettes : c’est l’effet des charges fixes. Et comme le service de la dette ne bouge pas, le DSCR baisse exactement du même pourcentage que le CFADS.</w:t>
      </w:r>
    </w:p>
    <w:p>
      <w:pPr>
        <w:spacing w:after="140" w:line="300"/>
      </w:pPr>
      <w:r>
        <w:rPr>
          <w:b/>
          <w:bCs/>
        </w:rPr>
        <w:t xml:space="preserve">Dans l’outil, </w:t>
      </w:r>
      <w:r>
        <w:t xml:space="preserve">le bloc 6 propose ce calcul : on saisit les recettes et les charges d’une année type, les hypothèses de référence du secteur sont préremplies, et le bouton « Appliquer ce choc » reporte le résultat dans la saisie. Sous le champ, un commentaire indique alors « Calculé par l’aide de l’outil », avec le détail du calcul ; si l’analyste modifie ensuite la valeur, la valeur initiale reste affichée.</w:t>
      </w:r>
    </w:p>
    <w:p>
      <w:pPr>
        <w:pStyle w:val="Heading1"/>
      </w:pPr>
      <w:r>
        <w:t xml:space="preserve">5. Un exemple sur l’échéancier : la centrale solaire</w:t>
      </w:r>
    </w:p>
    <w:p>
      <w:pPr>
        <w:spacing w:after="140" w:line="300"/>
      </w:pPr>
      <w:r>
        <w:t xml:space="preserve">Cas 1 de la base de test (fictif) : centrale photovoltaïque de 80 MWc en construction, production vendue sous contrat d’achat de 25 ans (régime R1, take-or-pay), secteur ENR. Scénario : production P90 (− 8 %) et charges + 10 %. Avec la structure de charges de ce projet (environ 24 % des recettes), le choc calculé est de 13,8 %.</w:t>
      </w:r>
    </w:p>
    <w:p>
      <w:pPr>
        <w:pStyle w:val="Heading2"/>
      </w:pPr>
      <w:r>
        <w:t xml:space="preserve">Le DSCR stressé à chaque échéance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45"/>
        <w:gridCol w:w="1512"/>
        <w:gridCol w:w="1745"/>
        <w:gridCol w:w="1396"/>
        <w:gridCol w:w="1512"/>
        <w:gridCol w:w="1396"/>
      </w:tblGrid>
      <w:tr>
        <w:trPr>
          <w:tblHeader/>
        </w:trPr>
        <w:tc>
          <w:tcPr>
            <w:tcW w:type="dxa" w:w="1745"/>
            <w:tcBorders>
              <w:top w:val="single" w:color="D9D9D9" w:sz="4"/>
              <w:left w:val="single" w:color="D9D9D9" w:sz="4"/>
              <w:bottom w:val="single" w:color="D9D9D9" w:sz="4"/>
              <w:right w:val="single" w:color="D9D9D9" w:sz="4"/>
            </w:tcBorders>
            <w:shd w:fill="E8790F" w:color="auto" w:val="clear"/>
            <w:tcMar>
              <w:top w:type="dxa" w:w="60"/>
              <w:left w:type="dxa" w:w="100"/>
              <w:bottom w:type="dxa" w:w="60"/>
              <w:right w:type="dxa" w:w="100"/>
            </w:tcMar>
          </w:tcPr>
          <w:p>
            <w:pPr>
              <w:jc w:val="left"/>
            </w:pPr>
            <w:r>
              <w:rPr>
                <w:b/>
                <w:bCs/>
                <w:color w:val="FFFFFF"/>
                <w:sz w:val="20"/>
                <w:szCs w:val="20"/>
              </w:rPr>
              <w:t xml:space="preserve">Échéance</w:t>
            </w:r>
          </w:p>
        </w:tc>
        <w:tc>
          <w:tcPr>
            <w:tcW w:type="dxa" w:w="1512"/>
            <w:tcBorders>
              <w:top w:val="single" w:color="D9D9D9" w:sz="4"/>
              <w:left w:val="single" w:color="D9D9D9" w:sz="4"/>
              <w:bottom w:val="single" w:color="D9D9D9" w:sz="4"/>
              <w:right w:val="single" w:color="D9D9D9" w:sz="4"/>
            </w:tcBorders>
            <w:shd w:fill="E8790F" w:color="auto" w:val="clear"/>
            <w:tcMar>
              <w:top w:type="dxa" w:w="60"/>
              <w:left w:type="dxa" w:w="100"/>
              <w:bottom w:type="dxa" w:w="60"/>
              <w:right w:type="dxa" w:w="100"/>
            </w:tcMar>
          </w:tcPr>
          <w:p>
            <w:pPr>
              <w:jc w:val="right"/>
            </w:pPr>
            <w:r>
              <w:rPr>
                <w:b/>
                <w:bCs/>
                <w:color w:val="FFFFFF"/>
                <w:sz w:val="20"/>
                <w:szCs w:val="20"/>
              </w:rPr>
              <w:t xml:space="preserve">CFADS central</w:t>
            </w:r>
          </w:p>
        </w:tc>
        <w:tc>
          <w:tcPr>
            <w:tcW w:type="dxa" w:w="1745"/>
            <w:tcBorders>
              <w:top w:val="single" w:color="D9D9D9" w:sz="4"/>
              <w:left w:val="single" w:color="D9D9D9" w:sz="4"/>
              <w:bottom w:val="single" w:color="D9D9D9" w:sz="4"/>
              <w:right w:val="single" w:color="D9D9D9" w:sz="4"/>
            </w:tcBorders>
            <w:shd w:fill="E8790F" w:color="auto" w:val="clear"/>
            <w:tcMar>
              <w:top w:type="dxa" w:w="60"/>
              <w:left w:type="dxa" w:w="100"/>
              <w:bottom w:type="dxa" w:w="60"/>
              <w:right w:type="dxa" w:w="100"/>
            </w:tcMar>
          </w:tcPr>
          <w:p>
            <w:pPr>
              <w:jc w:val="right"/>
            </w:pPr>
            <w:r>
              <w:rPr>
                <w:b/>
                <w:bCs/>
                <w:color w:val="FFFFFF"/>
                <w:sz w:val="20"/>
                <w:szCs w:val="20"/>
              </w:rPr>
              <w:t xml:space="preserve">Service de la dette</w:t>
            </w:r>
          </w:p>
        </w:tc>
        <w:tc>
          <w:tcPr>
            <w:tcW w:type="dxa" w:w="1396"/>
            <w:tcBorders>
              <w:top w:val="single" w:color="D9D9D9" w:sz="4"/>
              <w:left w:val="single" w:color="D9D9D9" w:sz="4"/>
              <w:bottom w:val="single" w:color="D9D9D9" w:sz="4"/>
              <w:right w:val="single" w:color="D9D9D9" w:sz="4"/>
            </w:tcBorders>
            <w:shd w:fill="E8790F" w:color="auto" w:val="clear"/>
            <w:tcMar>
              <w:top w:type="dxa" w:w="60"/>
              <w:left w:type="dxa" w:w="100"/>
              <w:bottom w:type="dxa" w:w="60"/>
              <w:right w:type="dxa" w:w="100"/>
            </w:tcMar>
          </w:tcPr>
          <w:p>
            <w:pPr>
              <w:jc w:val="right"/>
            </w:pPr>
            <w:r>
              <w:rPr>
                <w:b/>
                <w:bCs/>
                <w:color w:val="FFFFFF"/>
                <w:sz w:val="20"/>
                <w:szCs w:val="20"/>
              </w:rPr>
              <w:t xml:space="preserve">DSCR central</w:t>
            </w:r>
          </w:p>
        </w:tc>
        <w:tc>
          <w:tcPr>
            <w:tcW w:type="dxa" w:w="1512"/>
            <w:tcBorders>
              <w:top w:val="single" w:color="D9D9D9" w:sz="4"/>
              <w:left w:val="single" w:color="D9D9D9" w:sz="4"/>
              <w:bottom w:val="single" w:color="D9D9D9" w:sz="4"/>
              <w:right w:val="single" w:color="D9D9D9" w:sz="4"/>
            </w:tcBorders>
            <w:shd w:fill="E8790F" w:color="auto" w:val="clear"/>
            <w:tcMar>
              <w:top w:type="dxa" w:w="60"/>
              <w:left w:type="dxa" w:w="100"/>
              <w:bottom w:type="dxa" w:w="60"/>
              <w:right w:type="dxa" w:w="100"/>
            </w:tcMar>
          </w:tcPr>
          <w:p>
            <w:pPr>
              <w:jc w:val="right"/>
            </w:pPr>
            <w:r>
              <w:rPr>
                <w:b/>
                <w:bCs/>
                <w:color w:val="FFFFFF"/>
                <w:sz w:val="20"/>
                <w:szCs w:val="20"/>
              </w:rPr>
              <w:t xml:space="preserve">CFADS stressé</w:t>
            </w:r>
          </w:p>
        </w:tc>
        <w:tc>
          <w:tcPr>
            <w:tcW w:type="dxa" w:w="1396"/>
            <w:tcBorders>
              <w:top w:val="single" w:color="D9D9D9" w:sz="4"/>
              <w:left w:val="single" w:color="D9D9D9" w:sz="4"/>
              <w:bottom w:val="single" w:color="D9D9D9" w:sz="4"/>
              <w:right w:val="single" w:color="D9D9D9" w:sz="4"/>
            </w:tcBorders>
            <w:shd w:fill="E8790F" w:color="auto" w:val="clear"/>
            <w:tcMar>
              <w:top w:type="dxa" w:w="60"/>
              <w:left w:type="dxa" w:w="100"/>
              <w:bottom w:type="dxa" w:w="60"/>
              <w:right w:type="dxa" w:w="100"/>
            </w:tcMar>
          </w:tcPr>
          <w:p>
            <w:pPr>
              <w:jc w:val="right"/>
            </w:pPr>
            <w:r>
              <w:rPr>
                <w:b/>
                <w:bCs/>
                <w:color w:val="FFFFFF"/>
                <w:sz w:val="20"/>
                <w:szCs w:val="20"/>
              </w:rPr>
              <w:t xml:space="preserve">DSCR stressé</w:t>
            </w:r>
          </w:p>
        </w:tc>
      </w:tr>
      <w:tr>
        <w:trPr>
          <w:cantSplit/>
        </w:trPr>
        <w:tc>
          <w:tcPr>
            <w:tcW w:type="dxa" w:w="1745"/>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color w:val="333333"/>
                <w:sz w:val="20"/>
                <w:szCs w:val="20"/>
              </w:rPr>
              <w:t xml:space="preserve">An 1 · S1</w:t>
            </w:r>
          </w:p>
        </w:tc>
        <w:tc>
          <w:tcPr>
            <w:tcW w:type="dxa" w:w="1512"/>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right"/>
            </w:pPr>
            <w:r>
              <w:rPr>
                <w:b w:val="false"/>
                <w:bCs w:val="false"/>
                <w:color w:val="333333"/>
                <w:sz w:val="20"/>
                <w:szCs w:val="20"/>
              </w:rPr>
              <w:t xml:space="preserve">25,9</w:t>
            </w:r>
          </w:p>
        </w:tc>
        <w:tc>
          <w:tcPr>
            <w:tcW w:type="dxa" w:w="1745"/>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right"/>
            </w:pPr>
            <w:r>
              <w:rPr>
                <w:b w:val="false"/>
                <w:bCs w:val="false"/>
                <w:color w:val="333333"/>
                <w:sz w:val="20"/>
                <w:szCs w:val="20"/>
              </w:rPr>
              <w:t xml:space="preserve">19,45</w:t>
            </w:r>
          </w:p>
        </w:tc>
        <w:tc>
          <w:tcPr>
            <w:tcW w:type="dxa" w:w="1396"/>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right"/>
            </w:pPr>
            <w:r>
              <w:rPr>
                <w:b w:val="false"/>
                <w:bCs w:val="false"/>
                <w:color w:val="333333"/>
                <w:sz w:val="20"/>
                <w:szCs w:val="20"/>
              </w:rPr>
              <w:t xml:space="preserve">1,33</w:t>
            </w:r>
          </w:p>
        </w:tc>
        <w:tc>
          <w:tcPr>
            <w:tcW w:type="dxa" w:w="1512"/>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right"/>
            </w:pPr>
            <w:r>
              <w:rPr>
                <w:b w:val="false"/>
                <w:bCs w:val="false"/>
                <w:color w:val="333333"/>
                <w:sz w:val="20"/>
                <w:szCs w:val="20"/>
              </w:rPr>
              <w:t xml:space="preserve">22,3</w:t>
            </w:r>
          </w:p>
        </w:tc>
        <w:tc>
          <w:tcPr>
            <w:tcW w:type="dxa" w:w="1396"/>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right"/>
            </w:pPr>
            <w:r>
              <w:rPr>
                <w:b w:val="false"/>
                <w:bCs w:val="false"/>
                <w:color w:val="333333"/>
                <w:sz w:val="20"/>
                <w:szCs w:val="20"/>
              </w:rPr>
              <w:t xml:space="preserve">1,15</w:t>
            </w:r>
          </w:p>
        </w:tc>
      </w:tr>
      <w:tr>
        <w:trPr>
          <w:cantSplit/>
        </w:trPr>
        <w:tc>
          <w:tcPr>
            <w:tcW w:type="dxa" w:w="1745"/>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color w:val="333333"/>
                <w:sz w:val="20"/>
                <w:szCs w:val="20"/>
              </w:rPr>
              <w:t xml:space="preserve">An 1 · S2</w:t>
            </w:r>
          </w:p>
        </w:tc>
        <w:tc>
          <w:tcPr>
            <w:tcW w:type="dxa" w:w="1512"/>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right"/>
            </w:pPr>
            <w:r>
              <w:rPr>
                <w:b w:val="false"/>
                <w:bCs w:val="false"/>
                <w:color w:val="333333"/>
                <w:sz w:val="20"/>
                <w:szCs w:val="20"/>
              </w:rPr>
              <w:t xml:space="preserve">28,1</w:t>
            </w:r>
          </w:p>
        </w:tc>
        <w:tc>
          <w:tcPr>
            <w:tcW w:type="dxa" w:w="1745"/>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right"/>
            </w:pPr>
            <w:r>
              <w:rPr>
                <w:b w:val="false"/>
                <w:bCs w:val="false"/>
                <w:color w:val="333333"/>
                <w:sz w:val="20"/>
                <w:szCs w:val="20"/>
              </w:rPr>
              <w:t xml:space="preserve">19,45</w:t>
            </w:r>
          </w:p>
        </w:tc>
        <w:tc>
          <w:tcPr>
            <w:tcW w:type="dxa" w:w="1396"/>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right"/>
            </w:pPr>
            <w:r>
              <w:rPr>
                <w:b w:val="false"/>
                <w:bCs w:val="false"/>
                <w:color w:val="333333"/>
                <w:sz w:val="20"/>
                <w:szCs w:val="20"/>
              </w:rPr>
              <w:t xml:space="preserve">1,44</w:t>
            </w:r>
          </w:p>
        </w:tc>
        <w:tc>
          <w:tcPr>
            <w:tcW w:type="dxa" w:w="1512"/>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right"/>
            </w:pPr>
            <w:r>
              <w:rPr>
                <w:b w:val="false"/>
                <w:bCs w:val="false"/>
                <w:color w:val="333333"/>
                <w:sz w:val="20"/>
                <w:szCs w:val="20"/>
              </w:rPr>
              <w:t xml:space="preserve">24,2</w:t>
            </w:r>
          </w:p>
        </w:tc>
        <w:tc>
          <w:tcPr>
            <w:tcW w:type="dxa" w:w="1396"/>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right"/>
            </w:pPr>
            <w:r>
              <w:rPr>
                <w:b w:val="false"/>
                <w:bCs w:val="false"/>
                <w:color w:val="333333"/>
                <w:sz w:val="20"/>
                <w:szCs w:val="20"/>
              </w:rPr>
              <w:t xml:space="preserve">1,25</w:t>
            </w:r>
          </w:p>
        </w:tc>
      </w:tr>
      <w:tr>
        <w:trPr>
          <w:cantSplit/>
        </w:trPr>
        <w:tc>
          <w:tcPr>
            <w:tcW w:type="dxa" w:w="1745"/>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color w:val="333333"/>
                <w:sz w:val="20"/>
                <w:szCs w:val="20"/>
              </w:rPr>
              <w:t xml:space="preserve">An 10 · S1</w:t>
            </w:r>
          </w:p>
        </w:tc>
        <w:tc>
          <w:tcPr>
            <w:tcW w:type="dxa" w:w="1512"/>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right"/>
            </w:pPr>
            <w:r>
              <w:rPr>
                <w:b w:val="false"/>
                <w:bCs w:val="false"/>
                <w:color w:val="333333"/>
                <w:sz w:val="20"/>
                <w:szCs w:val="20"/>
              </w:rPr>
              <w:t xml:space="preserve">25,5</w:t>
            </w:r>
          </w:p>
        </w:tc>
        <w:tc>
          <w:tcPr>
            <w:tcW w:type="dxa" w:w="1745"/>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right"/>
            </w:pPr>
            <w:r>
              <w:rPr>
                <w:b w:val="false"/>
                <w:bCs w:val="false"/>
                <w:color w:val="333333"/>
                <w:sz w:val="20"/>
                <w:szCs w:val="20"/>
              </w:rPr>
              <w:t xml:space="preserve">19,45</w:t>
            </w:r>
          </w:p>
        </w:tc>
        <w:tc>
          <w:tcPr>
            <w:tcW w:type="dxa" w:w="1396"/>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right"/>
            </w:pPr>
            <w:r>
              <w:rPr>
                <w:b w:val="false"/>
                <w:bCs w:val="false"/>
                <w:color w:val="333333"/>
                <w:sz w:val="20"/>
                <w:szCs w:val="20"/>
              </w:rPr>
              <w:t xml:space="preserve">1,31</w:t>
            </w:r>
          </w:p>
        </w:tc>
        <w:tc>
          <w:tcPr>
            <w:tcW w:type="dxa" w:w="1512"/>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right"/>
            </w:pPr>
            <w:r>
              <w:rPr>
                <w:b w:val="false"/>
                <w:bCs w:val="false"/>
                <w:color w:val="333333"/>
                <w:sz w:val="20"/>
                <w:szCs w:val="20"/>
              </w:rPr>
              <w:t xml:space="preserve">22,0</w:t>
            </w:r>
          </w:p>
        </w:tc>
        <w:tc>
          <w:tcPr>
            <w:tcW w:type="dxa" w:w="1396"/>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right"/>
            </w:pPr>
            <w:r>
              <w:rPr>
                <w:b w:val="false"/>
                <w:bCs w:val="false"/>
                <w:color w:val="333333"/>
                <w:sz w:val="20"/>
                <w:szCs w:val="20"/>
              </w:rPr>
              <w:t xml:space="preserve">1,13</w:t>
            </w:r>
          </w:p>
        </w:tc>
      </w:tr>
      <w:tr>
        <w:trPr>
          <w:cantSplit/>
        </w:trPr>
        <w:tc>
          <w:tcPr>
            <w:tcW w:type="dxa" w:w="1745"/>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color w:val="333333"/>
                <w:sz w:val="20"/>
                <w:szCs w:val="20"/>
              </w:rPr>
              <w:t xml:space="preserve">An 10 · S2</w:t>
            </w:r>
          </w:p>
        </w:tc>
        <w:tc>
          <w:tcPr>
            <w:tcW w:type="dxa" w:w="1512"/>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right"/>
            </w:pPr>
            <w:r>
              <w:rPr>
                <w:b w:val="false"/>
                <w:bCs w:val="false"/>
                <w:color w:val="333333"/>
                <w:sz w:val="20"/>
                <w:szCs w:val="20"/>
              </w:rPr>
              <w:t xml:space="preserve">27,7</w:t>
            </w:r>
          </w:p>
        </w:tc>
        <w:tc>
          <w:tcPr>
            <w:tcW w:type="dxa" w:w="1745"/>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right"/>
            </w:pPr>
            <w:r>
              <w:rPr>
                <w:b w:val="false"/>
                <w:bCs w:val="false"/>
                <w:color w:val="333333"/>
                <w:sz w:val="20"/>
                <w:szCs w:val="20"/>
              </w:rPr>
              <w:t xml:space="preserve">19,45</w:t>
            </w:r>
          </w:p>
        </w:tc>
        <w:tc>
          <w:tcPr>
            <w:tcW w:type="dxa" w:w="1396"/>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right"/>
            </w:pPr>
            <w:r>
              <w:rPr>
                <w:b w:val="false"/>
                <w:bCs w:val="false"/>
                <w:color w:val="333333"/>
                <w:sz w:val="20"/>
                <w:szCs w:val="20"/>
              </w:rPr>
              <w:t xml:space="preserve">1,42</w:t>
            </w:r>
          </w:p>
        </w:tc>
        <w:tc>
          <w:tcPr>
            <w:tcW w:type="dxa" w:w="1512"/>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right"/>
            </w:pPr>
            <w:r>
              <w:rPr>
                <w:b w:val="false"/>
                <w:bCs w:val="false"/>
                <w:color w:val="333333"/>
                <w:sz w:val="20"/>
                <w:szCs w:val="20"/>
              </w:rPr>
              <w:t xml:space="preserve">23,9</w:t>
            </w:r>
          </w:p>
        </w:tc>
        <w:tc>
          <w:tcPr>
            <w:tcW w:type="dxa" w:w="1396"/>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right"/>
            </w:pPr>
            <w:r>
              <w:rPr>
                <w:b w:val="false"/>
                <w:bCs w:val="false"/>
                <w:color w:val="333333"/>
                <w:sz w:val="20"/>
                <w:szCs w:val="20"/>
              </w:rPr>
              <w:t xml:space="preserve">1,23</w:t>
            </w:r>
          </w:p>
        </w:tc>
      </w:tr>
      <w:tr>
        <w:trPr>
          <w:cantSplit/>
        </w:trPr>
        <w:tc>
          <w:tcPr>
            <w:tcW w:type="dxa" w:w="1745"/>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color w:val="333333"/>
                <w:sz w:val="20"/>
                <w:szCs w:val="20"/>
              </w:rPr>
              <w:t xml:space="preserve">An 20 · S1</w:t>
            </w:r>
          </w:p>
        </w:tc>
        <w:tc>
          <w:tcPr>
            <w:tcW w:type="dxa" w:w="1512"/>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right"/>
            </w:pPr>
            <w:r>
              <w:rPr>
                <w:b w:val="false"/>
                <w:bCs w:val="false"/>
                <w:color w:val="333333"/>
                <w:sz w:val="20"/>
                <w:szCs w:val="20"/>
              </w:rPr>
              <w:t xml:space="preserve">25,2</w:t>
            </w:r>
          </w:p>
        </w:tc>
        <w:tc>
          <w:tcPr>
            <w:tcW w:type="dxa" w:w="1745"/>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right"/>
            </w:pPr>
            <w:r>
              <w:rPr>
                <w:b w:val="false"/>
                <w:bCs w:val="false"/>
                <w:color w:val="333333"/>
                <w:sz w:val="20"/>
                <w:szCs w:val="20"/>
              </w:rPr>
              <w:t xml:space="preserve">19,45</w:t>
            </w:r>
          </w:p>
        </w:tc>
        <w:tc>
          <w:tcPr>
            <w:tcW w:type="dxa" w:w="1396"/>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right"/>
            </w:pPr>
            <w:r>
              <w:rPr>
                <w:b w:val="false"/>
                <w:bCs w:val="false"/>
                <w:color w:val="333333"/>
                <w:sz w:val="20"/>
                <w:szCs w:val="20"/>
              </w:rPr>
              <w:t xml:space="preserve">1,30</w:t>
            </w:r>
          </w:p>
        </w:tc>
        <w:tc>
          <w:tcPr>
            <w:tcW w:type="dxa" w:w="1512"/>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right"/>
            </w:pPr>
            <w:r>
              <w:rPr>
                <w:b w:val="false"/>
                <w:bCs w:val="false"/>
                <w:color w:val="333333"/>
                <w:sz w:val="20"/>
                <w:szCs w:val="20"/>
              </w:rPr>
              <w:t xml:space="preserve">21,7</w:t>
            </w:r>
          </w:p>
        </w:tc>
        <w:tc>
          <w:tcPr>
            <w:tcW w:type="dxa" w:w="1396"/>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right"/>
            </w:pPr>
            <w:r>
              <w:rPr>
                <w:b w:val="false"/>
                <w:bCs w:val="false"/>
                <w:color w:val="333333"/>
                <w:sz w:val="20"/>
                <w:szCs w:val="20"/>
              </w:rPr>
              <w:t xml:space="preserve">1,12</w:t>
            </w:r>
          </w:p>
        </w:tc>
      </w:tr>
      <w:tr>
        <w:trPr>
          <w:cantSplit/>
        </w:trPr>
        <w:tc>
          <w:tcPr>
            <w:tcW w:type="dxa" w:w="1745"/>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color w:val="333333"/>
                <w:sz w:val="20"/>
                <w:szCs w:val="20"/>
              </w:rPr>
              <w:t xml:space="preserve">An 20 · S2</w:t>
            </w:r>
          </w:p>
        </w:tc>
        <w:tc>
          <w:tcPr>
            <w:tcW w:type="dxa" w:w="1512"/>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right"/>
            </w:pPr>
            <w:r>
              <w:rPr>
                <w:b w:val="false"/>
                <w:bCs w:val="false"/>
                <w:color w:val="333333"/>
                <w:sz w:val="20"/>
                <w:szCs w:val="20"/>
              </w:rPr>
              <w:t xml:space="preserve">27,2</w:t>
            </w:r>
          </w:p>
        </w:tc>
        <w:tc>
          <w:tcPr>
            <w:tcW w:type="dxa" w:w="1745"/>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right"/>
            </w:pPr>
            <w:r>
              <w:rPr>
                <w:b w:val="false"/>
                <w:bCs w:val="false"/>
                <w:color w:val="333333"/>
                <w:sz w:val="20"/>
                <w:szCs w:val="20"/>
              </w:rPr>
              <w:t xml:space="preserve">19,45</w:t>
            </w:r>
          </w:p>
        </w:tc>
        <w:tc>
          <w:tcPr>
            <w:tcW w:type="dxa" w:w="1396"/>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right"/>
            </w:pPr>
            <w:r>
              <w:rPr>
                <w:b w:val="false"/>
                <w:bCs w:val="false"/>
                <w:color w:val="333333"/>
                <w:sz w:val="20"/>
                <w:szCs w:val="20"/>
              </w:rPr>
              <w:t xml:space="preserve">1,40</w:t>
            </w:r>
          </w:p>
        </w:tc>
        <w:tc>
          <w:tcPr>
            <w:tcW w:type="dxa" w:w="1512"/>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right"/>
            </w:pPr>
            <w:r>
              <w:rPr>
                <w:b w:val="false"/>
                <w:bCs w:val="false"/>
                <w:color w:val="333333"/>
                <w:sz w:val="20"/>
                <w:szCs w:val="20"/>
              </w:rPr>
              <w:t xml:space="preserve">23,5</w:t>
            </w:r>
          </w:p>
        </w:tc>
        <w:tc>
          <w:tcPr>
            <w:tcW w:type="dxa" w:w="1396"/>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right"/>
            </w:pPr>
            <w:r>
              <w:rPr>
                <w:b w:val="false"/>
                <w:bCs w:val="false"/>
                <w:color w:val="333333"/>
                <w:sz w:val="20"/>
                <w:szCs w:val="20"/>
              </w:rPr>
              <w:t xml:space="preserve">1,21</w:t>
            </w:r>
          </w:p>
        </w:tc>
      </w:tr>
    </w:tbl>
    <w:p>
      <w:pPr>
        <w:spacing w:after="120"/>
      </w:pPr>
    </w:p>
    <w:p>
      <w:pPr>
        <w:spacing w:after="140" w:line="300"/>
      </w:pPr>
      <w:r>
        <w:t xml:space="preserve">Montants en millions de dirhams. Exemple de calcul, An 20 · S1 : 25,2 × (1 − 0,138) = 21,7 ; puis 21,7 ÷ 19,45 = 1,12. Le minimum est donc </w:t>
      </w:r>
      <w:r>
        <w:rPr>
          <w:b/>
          <w:bCs/>
        </w:rPr>
        <w:t xml:space="preserve">1,30 en central et 1,12 en défavorable</w:t>
      </w:r>
      <w:r>
        <w:t xml:space="preserve">.</w:t>
      </w:r>
    </w:p>
    <w:p>
      <w:pPr>
        <w:pStyle w:val="Heading2"/>
      </w:pPr>
      <w:r>
        <w:t xml:space="preserve">Le classement</w:t>
      </w:r>
    </w:p>
    <w:p>
      <w:pPr>
        <w:spacing w:after="140" w:line="300"/>
      </w:pPr>
      <w:r>
        <w:t xml:space="preserve">Seuils de ce projet : régime R1 (1,10 · 1,20 · 1,30), écart du secteur ENR − 0,05, pas de majoration en construction, soit critique 1,05, vigilance 1,15, favorable 1,25.</w:t>
      </w:r>
    </w:p>
    <w:p>
      <w:pPr>
        <w:pStyle w:val="ListParagraph"/>
        <w:numPr>
          <w:ilvl w:val="0"/>
          <w:numId w:val="2"/>
        </w:numPr>
        <w:spacing w:after="70" w:line="290"/>
      </w:pPr>
      <w:r>
        <w:rPr>
          <w:b/>
          <w:bCs/>
        </w:rPr>
        <w:t xml:space="preserve">N1, DSCR central 1,30 ≥ 1,25 : </w:t>
      </w:r>
      <w:r>
        <w:t xml:space="preserve">très favorable, 100.</w:t>
      </w:r>
    </w:p>
    <w:p>
      <w:pPr>
        <w:pStyle w:val="ListParagraph"/>
        <w:numPr>
          <w:ilvl w:val="0"/>
          <w:numId w:val="2"/>
        </w:numPr>
        <w:spacing w:after="70" w:line="290"/>
      </w:pPr>
      <w:r>
        <w:rPr>
          <w:b/>
          <w:bCs/>
        </w:rPr>
        <w:t xml:space="preserve">N2, DSCR stressé 1,12 : </w:t>
      </w:r>
      <w:r>
        <w:t xml:space="preserve">entre 1,05 et 1,15, vigilance, 50.</w:t>
      </w:r>
    </w:p>
    <w:p>
      <w:pPr>
        <w:pStyle w:val="ListParagraph"/>
        <w:numPr>
          <w:ilvl w:val="0"/>
          <w:numId w:val="2"/>
        </w:numPr>
        <w:spacing w:after="70" w:line="290"/>
      </w:pPr>
      <w:r>
        <w:rPr>
          <w:b/>
          <w:bCs/>
        </w:rPr>
        <w:t xml:space="preserve">Plafond C3 : </w:t>
      </w:r>
      <w:r>
        <w:t xml:space="preserve">1,12 ≥ 1,00, non déclenché.</w:t>
      </w:r>
    </w:p>
    <w:p>
      <w:pPr>
        <w:spacing w:after="140" w:line="300"/>
      </w:pPr>
      <w:r>
        <w:t xml:space="preserve">Résultat : le projet reste très bien noté (AA, note 9), mais le stress test signale une marge réduite en cas de mauvaise année d’ensoleillement. C’est une information pour le comité, pas un motif de refus.</w:t>
      </w:r>
    </w:p>
    <w:p>
      <w:pPr>
        <w:pStyle w:val="Heading1"/>
      </w:pPr>
      <w:r>
        <w:t xml:space="preserve">6. Trois situations types</w:t>
      </w:r>
    </w:p>
    <w:p>
      <w:pPr>
        <w:spacing w:after="140" w:line="300"/>
      </w:pPr>
      <w:r>
        <w:t xml:space="preserve">Les cas de test illustrent les trois lectures possibles du stress test :</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683"/>
        <w:gridCol w:w="2151"/>
        <w:gridCol w:w="1263"/>
        <w:gridCol w:w="1263"/>
        <w:gridCol w:w="2058"/>
        <w:gridCol w:w="888"/>
      </w:tblGrid>
      <w:tr>
        <w:trPr>
          <w:tblHeader/>
        </w:trPr>
        <w:tc>
          <w:tcPr>
            <w:tcW w:type="dxa" w:w="1683"/>
            <w:tcBorders>
              <w:top w:val="single" w:color="D9D9D9" w:sz="4"/>
              <w:left w:val="single" w:color="D9D9D9" w:sz="4"/>
              <w:bottom w:val="single" w:color="D9D9D9" w:sz="4"/>
              <w:right w:val="single" w:color="D9D9D9" w:sz="4"/>
            </w:tcBorders>
            <w:shd w:fill="E8790F" w:color="auto" w:val="clear"/>
            <w:tcMar>
              <w:top w:type="dxa" w:w="60"/>
              <w:left w:type="dxa" w:w="100"/>
              <w:bottom w:type="dxa" w:w="60"/>
              <w:right w:type="dxa" w:w="100"/>
            </w:tcMar>
          </w:tcPr>
          <w:p>
            <w:pPr>
              <w:jc w:val="left"/>
            </w:pPr>
            <w:r>
              <w:rPr>
                <w:b/>
                <w:bCs/>
                <w:color w:val="FFFFFF"/>
                <w:sz w:val="20"/>
                <w:szCs w:val="20"/>
              </w:rPr>
              <w:t xml:space="preserve">Cas (fictif)</w:t>
            </w:r>
          </w:p>
        </w:tc>
        <w:tc>
          <w:tcPr>
            <w:tcW w:type="dxa" w:w="2151"/>
            <w:tcBorders>
              <w:top w:val="single" w:color="D9D9D9" w:sz="4"/>
              <w:left w:val="single" w:color="D9D9D9" w:sz="4"/>
              <w:bottom w:val="single" w:color="D9D9D9" w:sz="4"/>
              <w:right w:val="single" w:color="D9D9D9" w:sz="4"/>
            </w:tcBorders>
            <w:shd w:fill="E8790F" w:color="auto" w:val="clear"/>
            <w:tcMar>
              <w:top w:type="dxa" w:w="60"/>
              <w:left w:type="dxa" w:w="100"/>
              <w:bottom w:type="dxa" w:w="60"/>
              <w:right w:type="dxa" w:w="100"/>
            </w:tcMar>
          </w:tcPr>
          <w:p>
            <w:pPr>
              <w:jc w:val="left"/>
            </w:pPr>
            <w:r>
              <w:rPr>
                <w:b/>
                <w:bCs/>
                <w:color w:val="FFFFFF"/>
                <w:sz w:val="20"/>
                <w:szCs w:val="20"/>
              </w:rPr>
              <w:t xml:space="preserve">Scénario défavorable</w:t>
            </w:r>
          </w:p>
        </w:tc>
        <w:tc>
          <w:tcPr>
            <w:tcW w:type="dxa" w:w="1263"/>
            <w:tcBorders>
              <w:top w:val="single" w:color="D9D9D9" w:sz="4"/>
              <w:left w:val="single" w:color="D9D9D9" w:sz="4"/>
              <w:bottom w:val="single" w:color="D9D9D9" w:sz="4"/>
              <w:right w:val="single" w:color="D9D9D9" w:sz="4"/>
            </w:tcBorders>
            <w:shd w:fill="E8790F" w:color="auto" w:val="clear"/>
            <w:tcMar>
              <w:top w:type="dxa" w:w="60"/>
              <w:left w:type="dxa" w:w="100"/>
              <w:bottom w:type="dxa" w:w="60"/>
              <w:right w:type="dxa" w:w="100"/>
            </w:tcMar>
          </w:tcPr>
          <w:p>
            <w:pPr>
              <w:jc w:val="right"/>
            </w:pPr>
            <w:r>
              <w:rPr>
                <w:b/>
                <w:bCs/>
                <w:color w:val="FFFFFF"/>
                <w:sz w:val="20"/>
                <w:szCs w:val="20"/>
              </w:rPr>
              <w:t xml:space="preserve">DSCR central</w:t>
            </w:r>
          </w:p>
        </w:tc>
        <w:tc>
          <w:tcPr>
            <w:tcW w:type="dxa" w:w="1263"/>
            <w:tcBorders>
              <w:top w:val="single" w:color="D9D9D9" w:sz="4"/>
              <w:left w:val="single" w:color="D9D9D9" w:sz="4"/>
              <w:bottom w:val="single" w:color="D9D9D9" w:sz="4"/>
              <w:right w:val="single" w:color="D9D9D9" w:sz="4"/>
            </w:tcBorders>
            <w:shd w:fill="E8790F" w:color="auto" w:val="clear"/>
            <w:tcMar>
              <w:top w:type="dxa" w:w="60"/>
              <w:left w:type="dxa" w:w="100"/>
              <w:bottom w:type="dxa" w:w="60"/>
              <w:right w:type="dxa" w:w="100"/>
            </w:tcMar>
          </w:tcPr>
          <w:p>
            <w:pPr>
              <w:jc w:val="right"/>
            </w:pPr>
            <w:r>
              <w:rPr>
                <w:b/>
                <w:bCs/>
                <w:color w:val="FFFFFF"/>
                <w:sz w:val="20"/>
                <w:szCs w:val="20"/>
              </w:rPr>
              <w:t xml:space="preserve">DSCR stressé</w:t>
            </w:r>
          </w:p>
        </w:tc>
        <w:tc>
          <w:tcPr>
            <w:tcW w:type="dxa" w:w="2058"/>
            <w:tcBorders>
              <w:top w:val="single" w:color="D9D9D9" w:sz="4"/>
              <w:left w:val="single" w:color="D9D9D9" w:sz="4"/>
              <w:bottom w:val="single" w:color="D9D9D9" w:sz="4"/>
              <w:right w:val="single" w:color="D9D9D9" w:sz="4"/>
            </w:tcBorders>
            <w:shd w:fill="E8790F" w:color="auto" w:val="clear"/>
            <w:tcMar>
              <w:top w:type="dxa" w:w="60"/>
              <w:left w:type="dxa" w:w="100"/>
              <w:bottom w:type="dxa" w:w="60"/>
              <w:right w:type="dxa" w:w="100"/>
            </w:tcMar>
          </w:tcPr>
          <w:p>
            <w:pPr>
              <w:jc w:val="left"/>
            </w:pPr>
            <w:r>
              <w:rPr>
                <w:b/>
                <w:bCs/>
                <w:color w:val="FFFFFF"/>
                <w:sz w:val="20"/>
                <w:szCs w:val="20"/>
              </w:rPr>
              <w:t xml:space="preserve">Lecture</w:t>
            </w:r>
          </w:p>
        </w:tc>
        <w:tc>
          <w:tcPr>
            <w:tcW w:type="dxa" w:w="888"/>
            <w:tcBorders>
              <w:top w:val="single" w:color="D9D9D9" w:sz="4"/>
              <w:left w:val="single" w:color="D9D9D9" w:sz="4"/>
              <w:bottom w:val="single" w:color="D9D9D9" w:sz="4"/>
              <w:right w:val="single" w:color="D9D9D9" w:sz="4"/>
            </w:tcBorders>
            <w:shd w:fill="E8790F" w:color="auto" w:val="clear"/>
            <w:tcMar>
              <w:top w:type="dxa" w:w="60"/>
              <w:left w:type="dxa" w:w="100"/>
              <w:bottom w:type="dxa" w:w="60"/>
              <w:right w:type="dxa" w:w="100"/>
            </w:tcMar>
          </w:tcPr>
          <w:p>
            <w:pPr>
              <w:jc w:val="right"/>
            </w:pPr>
            <w:r>
              <w:rPr>
                <w:b/>
                <w:bCs/>
                <w:color w:val="FFFFFF"/>
                <w:sz w:val="20"/>
                <w:szCs w:val="20"/>
              </w:rPr>
              <w:t xml:space="preserve">Note</w:t>
            </w:r>
          </w:p>
        </w:tc>
      </w:tr>
      <w:tr>
        <w:trPr>
          <w:cantSplit/>
        </w:trPr>
        <w:tc>
          <w:tcPr>
            <w:tcW w:type="dxa" w:w="1683"/>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bCs/>
                <w:color w:val="333333"/>
                <w:sz w:val="20"/>
                <w:szCs w:val="20"/>
              </w:rPr>
              <w:t xml:space="preserve">Centrale solaire 80 MWc</w:t>
            </w:r>
          </w:p>
        </w:tc>
        <w:tc>
          <w:tcPr>
            <w:tcW w:type="dxa" w:w="2151"/>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val="false"/>
                <w:bCs w:val="false"/>
                <w:color w:val="333333"/>
                <w:sz w:val="20"/>
                <w:szCs w:val="20"/>
              </w:rPr>
              <w:t xml:space="preserve">Production P90 (− 8 %), charges + 10 %</w:t>
            </w:r>
          </w:p>
        </w:tc>
        <w:tc>
          <w:tcPr>
            <w:tcW w:type="dxa" w:w="1263"/>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right"/>
            </w:pPr>
            <w:r>
              <w:rPr>
                <w:b w:val="false"/>
                <w:bCs w:val="false"/>
                <w:color w:val="333333"/>
                <w:sz w:val="20"/>
                <w:szCs w:val="20"/>
              </w:rPr>
              <w:t xml:space="preserve">1,30</w:t>
            </w:r>
          </w:p>
        </w:tc>
        <w:tc>
          <w:tcPr>
            <w:tcW w:type="dxa" w:w="1263"/>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right"/>
            </w:pPr>
            <w:r>
              <w:rPr>
                <w:b w:val="false"/>
                <w:bCs w:val="false"/>
                <w:color w:val="333333"/>
                <w:sz w:val="20"/>
                <w:szCs w:val="20"/>
              </w:rPr>
              <w:t xml:space="preserve">1,12</w:t>
            </w:r>
          </w:p>
        </w:tc>
        <w:tc>
          <w:tcPr>
            <w:tcW w:type="dxa" w:w="2058"/>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val="false"/>
                <w:bCs w:val="false"/>
                <w:color w:val="333333"/>
                <w:sz w:val="20"/>
                <w:szCs w:val="20"/>
              </w:rPr>
              <w:t xml:space="preserve">Vigilance : le projet résiste</w:t>
            </w:r>
          </w:p>
        </w:tc>
        <w:tc>
          <w:tcPr>
            <w:tcW w:type="dxa" w:w="888"/>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right"/>
            </w:pPr>
            <w:r>
              <w:rPr>
                <w:b w:val="false"/>
                <w:bCs w:val="false"/>
                <w:color w:val="333333"/>
                <w:sz w:val="20"/>
                <w:szCs w:val="20"/>
              </w:rPr>
              <w:t xml:space="preserve">9 · AA</w:t>
            </w:r>
          </w:p>
        </w:tc>
      </w:tr>
      <w:tr>
        <w:trPr>
          <w:cantSplit/>
        </w:trPr>
        <w:tc>
          <w:tcPr>
            <w:tcW w:type="dxa" w:w="1683"/>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bCs/>
                <w:color w:val="333333"/>
                <w:sz w:val="20"/>
                <w:szCs w:val="20"/>
              </w:rPr>
              <w:t xml:space="preserve">Dessalement 100 000 m³/j</w:t>
            </w:r>
          </w:p>
        </w:tc>
        <w:tc>
          <w:tcPr>
            <w:tcW w:type="dxa" w:w="2151"/>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val="false"/>
                <w:bCs w:val="false"/>
                <w:color w:val="333333"/>
                <w:sz w:val="20"/>
                <w:szCs w:val="20"/>
              </w:rPr>
              <w:t xml:space="preserve">Énergie + 15 % répercutée à 60 %, disponibilité 92 %</w:t>
            </w:r>
          </w:p>
        </w:tc>
        <w:tc>
          <w:tcPr>
            <w:tcW w:type="dxa" w:w="1263"/>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right"/>
            </w:pPr>
            <w:r>
              <w:rPr>
                <w:b w:val="false"/>
                <w:bCs w:val="false"/>
                <w:color w:val="333333"/>
                <w:sz w:val="20"/>
                <w:szCs w:val="20"/>
              </w:rPr>
              <w:t xml:space="preserve">1,23</w:t>
            </w:r>
          </w:p>
        </w:tc>
        <w:tc>
          <w:tcPr>
            <w:tcW w:type="dxa" w:w="1263"/>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right"/>
            </w:pPr>
            <w:r>
              <w:rPr>
                <w:b w:val="false"/>
                <w:bCs w:val="false"/>
                <w:color w:val="333333"/>
                <w:sz w:val="20"/>
                <w:szCs w:val="20"/>
              </w:rPr>
              <w:t xml:space="preserve">1,09</w:t>
            </w:r>
          </w:p>
        </w:tc>
        <w:tc>
          <w:tcPr>
            <w:tcW w:type="dxa" w:w="2058"/>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val="false"/>
                <w:bCs w:val="false"/>
                <w:color w:val="333333"/>
                <w:sz w:val="20"/>
                <w:szCs w:val="20"/>
              </w:rPr>
              <w:t xml:space="preserve">Critique, mais au-dessus de 1,00 : pas de plafond</w:t>
            </w:r>
          </w:p>
        </w:tc>
        <w:tc>
          <w:tcPr>
            <w:tcW w:type="dxa" w:w="888"/>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right"/>
            </w:pPr>
            <w:r>
              <w:rPr>
                <w:b w:val="false"/>
                <w:bCs w:val="false"/>
                <w:color w:val="333333"/>
                <w:sz w:val="20"/>
                <w:szCs w:val="20"/>
              </w:rPr>
              <w:t xml:space="preserve">6 · BB</w:t>
            </w:r>
          </w:p>
        </w:tc>
      </w:tr>
      <w:tr>
        <w:trPr>
          <w:cantSplit/>
        </w:trPr>
        <w:tc>
          <w:tcPr>
            <w:tcW w:type="dxa" w:w="1683"/>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bCs/>
                <w:color w:val="333333"/>
                <w:sz w:val="20"/>
                <w:szCs w:val="20"/>
              </w:rPr>
              <w:t xml:space="preserve">Hôtel 4 étoiles</w:t>
            </w:r>
          </w:p>
        </w:tc>
        <w:tc>
          <w:tcPr>
            <w:tcW w:type="dxa" w:w="2151"/>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val="false"/>
                <w:bCs w:val="false"/>
                <w:color w:val="333333"/>
                <w:sz w:val="20"/>
                <w:szCs w:val="20"/>
              </w:rPr>
              <w:t xml:space="preserve">Occupation de 65 % à 55 % (CA − 15 %)</w:t>
            </w:r>
          </w:p>
        </w:tc>
        <w:tc>
          <w:tcPr>
            <w:tcW w:type="dxa" w:w="1263"/>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right"/>
            </w:pPr>
            <w:r>
              <w:rPr>
                <w:b w:val="false"/>
                <w:bCs w:val="false"/>
                <w:color w:val="333333"/>
                <w:sz w:val="20"/>
                <w:szCs w:val="20"/>
              </w:rPr>
              <w:t xml:space="preserve">1,06</w:t>
            </w:r>
          </w:p>
        </w:tc>
        <w:tc>
          <w:tcPr>
            <w:tcW w:type="dxa" w:w="1263"/>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right"/>
            </w:pPr>
            <w:r>
              <w:rPr>
                <w:b w:val="false"/>
                <w:bCs w:val="false"/>
                <w:color w:val="333333"/>
                <w:sz w:val="20"/>
                <w:szCs w:val="20"/>
              </w:rPr>
              <w:t xml:space="preserve">0,75</w:t>
            </w:r>
          </w:p>
        </w:tc>
        <w:tc>
          <w:tcPr>
            <w:tcW w:type="dxa" w:w="2058"/>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val="false"/>
                <w:bCs w:val="false"/>
                <w:color w:val="333333"/>
                <w:sz w:val="20"/>
                <w:szCs w:val="20"/>
              </w:rPr>
              <w:t xml:space="preserve">Défaut en scénario défavorable : plafond C3</w:t>
            </w:r>
          </w:p>
        </w:tc>
        <w:tc>
          <w:tcPr>
            <w:tcW w:type="dxa" w:w="888"/>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right"/>
            </w:pPr>
            <w:r>
              <w:rPr>
                <w:b w:val="false"/>
                <w:bCs w:val="false"/>
                <w:color w:val="333333"/>
                <w:sz w:val="20"/>
                <w:szCs w:val="20"/>
              </w:rPr>
              <w:t xml:space="preserve">4 · CCC</w:t>
            </w:r>
          </w:p>
        </w:tc>
      </w:tr>
    </w:tbl>
    <w:p>
      <w:pPr>
        <w:spacing w:after="120"/>
      </w:pPr>
    </w:p>
    <w:p>
      <w:pPr>
        <w:spacing w:after="140" w:line="300"/>
      </w:pPr>
      <w:r>
        <w:t xml:space="preserve">Pour l’hôtel, la baisse de 15 % du chiffre d’affaires fait chuter le CFADS de 29 % : un hôtel a beaucoup de charges fixes, donc un levier opérationnel fort. Le DSCR tombe à 0,75 : le projet ne paierait que les trois quarts de sa dette. Le plafond C3 limite la note à 4, et le DSCR central, déjà sous le seuil critique du tourisme (1,60), déclenche aussi le plafond C2.</w:t>
      </w:r>
    </w:p>
    <w:p>
      <w:pPr>
        <w:pStyle w:val="Heading1"/>
      </w:pPr>
      <w:r>
        <w:t xml:space="preserve">7. D’où viennent les hypothèses du scénario</w:t>
      </w:r>
    </w:p>
    <w:p>
      <w:pPr>
        <w:spacing w:after="140" w:line="300"/>
      </w:pPr>
      <w:r>
        <w:t xml:space="preserve">Les hypothèses (« production − 8 % », « charges + 10 % ») ne sortent pas du modèle de scoring : l’analyste les fixe pour chaque projet, à partir de trois sources.</w:t>
      </w:r>
    </w:p>
    <w:p>
      <w:pPr>
        <w:pStyle w:val="ListParagraph"/>
        <w:numPr>
          <w:ilvl w:val="0"/>
          <w:numId w:val="4"/>
        </w:numPr>
        <w:spacing w:after="90" w:line="290"/>
      </w:pPr>
      <w:r>
        <w:rPr>
          <w:b/>
          <w:bCs/>
        </w:rPr>
        <w:t xml:space="preserve">Repérer les variables qui font bouger les flux : </w:t>
      </w:r>
      <w:r>
        <w:t xml:space="preserve">les deux ou trois qui pèsent le plus sur le CFADS. Pour une centrale solaire : la production et les charges ; le prix, fixé par le contrat d’achat, ne bouge pas.</w:t>
      </w:r>
    </w:p>
    <w:p>
      <w:pPr>
        <w:pStyle w:val="ListParagraph"/>
        <w:numPr>
          <w:ilvl w:val="0"/>
          <w:numId w:val="4"/>
        </w:numPr>
        <w:spacing w:after="90" w:line="290"/>
      </w:pPr>
      <w:r>
        <w:rPr>
          <w:b/>
          <w:bCs/>
        </w:rPr>
        <w:t xml:space="preserve">Trouver un niveau défavorable mais plausible : </w:t>
      </w:r>
      <w:r>
        <w:t xml:space="preserve">la règle courante est un événement qui arrive environ une année sur dix, sévère mais réaliste sur la durée du prêt.</w:t>
      </w:r>
    </w:p>
    <w:p>
      <w:pPr>
        <w:pStyle w:val="ListParagraph"/>
        <w:numPr>
          <w:ilvl w:val="0"/>
          <w:numId w:val="4"/>
        </w:numPr>
        <w:spacing w:after="90" w:line="290"/>
      </w:pPr>
      <w:r>
        <w:rPr>
          <w:b/>
          <w:bCs/>
        </w:rPr>
        <w:t xml:space="preserve">Le justifier par une source : </w:t>
      </w:r>
      <w:r>
        <w:t xml:space="preserve">étude d’expert (productible, trafic, marché), historique (crises, sécheresses, cycles de prix) ou contrat (ce qui n’est pas couvert : minimum garanti, plafond de pénalités, indexation).</w:t>
      </w:r>
    </w:p>
    <w:p>
      <w:pPr>
        <w:pStyle w:val="Heading2"/>
      </w:pPr>
      <w:r>
        <w:t xml:space="preserve">Exemple : d’où vient « production − 8 % » ?</w:t>
      </w:r>
    </w:p>
    <w:p>
      <w:pPr>
        <w:spacing w:after="140" w:line="300"/>
      </w:pPr>
      <w:r>
        <w:t xml:space="preserve">De l’étude de productible, réalisée par un conseiller technique indépendant pour tout projet solaire ou éolien financé. Elle donne la production attendue, le P50 (une chance sur deux d’être dépassée), et l’incertitude qui l’entoure : variabilité de l’ensoleillement d’une année à l’autre, précision des mesures, modèle de calcul. Pour le solaire, cette incertitude tourne autour de 6 % sur un an. Le P90, production dépassée 9 années sur 10, vaut alors P50 × (1 − 1,28 × 6 %) ≈ P50 − 8 %. Le chiffre se lit dans l’étude du projet. Pour l’éolien, plus variable, l’écart est souvent de 10 à 15 %.</w:t>
      </w:r>
    </w:p>
    <w:p>
      <w:pPr>
        <w:pStyle w:val="Heading2"/>
      </w:pPr>
      <w:r>
        <w:t xml:space="preserve">Et « charges + 10 % » ?</w:t>
      </w:r>
    </w:p>
    <w:p>
      <w:pPr>
        <w:spacing w:after="140" w:line="300"/>
      </w:pPr>
      <w:r>
        <w:t xml:space="preserve">On part du contrat d’exploitation et maintenance : une partie des charges est couverte (prix forfaitaire indexé), une partie ne l’est pas (dérive de l’inflation au-delà de l’indice, réparations imprévues, primes d’assurance). Le + 10 % est la sensibilité usuelle appliquée par les prêteurs ; on l’ajuste à la baisse si le contrat est ferme sur longue durée, à la hausse si les charges sont mal maîtrisées.</w:t>
      </w:r>
    </w:p>
    <w:p>
      <w:pPr>
        <w:pStyle w:val="Heading2"/>
      </w:pPr>
      <w:r>
        <w:t xml:space="preserve">La bibliothèque de référence de l’outil</w:t>
      </w:r>
    </w:p>
    <w:p>
      <w:pPr>
        <w:keepNext/>
        <w:spacing w:after="140" w:line="300"/>
      </w:pPr>
      <w:r>
        <w:t xml:space="preserve">L’outil propose, au bloc 6, un scénario de référence par secteur (valeurs candidates, à valider par le comité). On stresse ce que les contrats ne couvrent pas, et on chiffre ce stress avec une étude ou un historique. L’analyste peut s’en écarter en le justifiant. Le bouton « Reprendre cette description » copie le scénario de référence dans la saisie, avec l’origine « Repris de la bibliothèque de référence ».</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09"/>
        <w:gridCol w:w="2855"/>
        <w:gridCol w:w="4442"/>
      </w:tblGrid>
      <w:tr>
        <w:trPr>
          <w:tblHeader/>
        </w:trPr>
        <w:tc>
          <w:tcPr>
            <w:tcW w:type="dxa" w:w="2009"/>
            <w:tcBorders>
              <w:top w:val="single" w:color="D9D9D9" w:sz="4"/>
              <w:left w:val="single" w:color="D9D9D9" w:sz="4"/>
              <w:bottom w:val="single" w:color="D9D9D9" w:sz="4"/>
              <w:right w:val="single" w:color="D9D9D9" w:sz="4"/>
            </w:tcBorders>
            <w:shd w:fill="E8790F" w:color="auto" w:val="clear"/>
            <w:tcMar>
              <w:top w:type="dxa" w:w="60"/>
              <w:left w:type="dxa" w:w="100"/>
              <w:bottom w:type="dxa" w:w="60"/>
              <w:right w:type="dxa" w:w="100"/>
            </w:tcMar>
          </w:tcPr>
          <w:p>
            <w:pPr>
              <w:jc w:val="left"/>
            </w:pPr>
            <w:r>
              <w:rPr>
                <w:b/>
                <w:bCs/>
                <w:color w:val="FFFFFF"/>
                <w:sz w:val="20"/>
                <w:szCs w:val="20"/>
              </w:rPr>
              <w:t xml:space="preserve">Secteur</w:t>
            </w:r>
          </w:p>
        </w:tc>
        <w:tc>
          <w:tcPr>
            <w:tcW w:type="dxa" w:w="2855"/>
            <w:tcBorders>
              <w:top w:val="single" w:color="D9D9D9" w:sz="4"/>
              <w:left w:val="single" w:color="D9D9D9" w:sz="4"/>
              <w:bottom w:val="single" w:color="D9D9D9" w:sz="4"/>
              <w:right w:val="single" w:color="D9D9D9" w:sz="4"/>
            </w:tcBorders>
            <w:shd w:fill="E8790F" w:color="auto" w:val="clear"/>
            <w:tcMar>
              <w:top w:type="dxa" w:w="60"/>
              <w:left w:type="dxa" w:w="100"/>
              <w:bottom w:type="dxa" w:w="60"/>
              <w:right w:type="dxa" w:w="100"/>
            </w:tcMar>
          </w:tcPr>
          <w:p>
            <w:pPr>
              <w:jc w:val="left"/>
            </w:pPr>
            <w:r>
              <w:rPr>
                <w:b/>
                <w:bCs/>
                <w:color w:val="FFFFFF"/>
                <w:sz w:val="20"/>
                <w:szCs w:val="20"/>
              </w:rPr>
              <w:t xml:space="preserve">Hypothèses de référence</w:t>
            </w:r>
          </w:p>
        </w:tc>
        <w:tc>
          <w:tcPr>
            <w:tcW w:type="dxa" w:w="4442"/>
            <w:tcBorders>
              <w:top w:val="single" w:color="D9D9D9" w:sz="4"/>
              <w:left w:val="single" w:color="D9D9D9" w:sz="4"/>
              <w:bottom w:val="single" w:color="D9D9D9" w:sz="4"/>
              <w:right w:val="single" w:color="D9D9D9" w:sz="4"/>
            </w:tcBorders>
            <w:shd w:fill="E8790F" w:color="auto" w:val="clear"/>
            <w:tcMar>
              <w:top w:type="dxa" w:w="60"/>
              <w:left w:type="dxa" w:w="100"/>
              <w:bottom w:type="dxa" w:w="60"/>
              <w:right w:type="dxa" w:w="100"/>
            </w:tcMar>
          </w:tcPr>
          <w:p>
            <w:pPr>
              <w:jc w:val="left"/>
            </w:pPr>
            <w:r>
              <w:rPr>
                <w:b/>
                <w:bCs/>
                <w:color w:val="FFFFFF"/>
                <w:sz w:val="20"/>
                <w:szCs w:val="20"/>
              </w:rPr>
              <w:t xml:space="preserve">D’où vient le chiffre</w:t>
            </w:r>
          </w:p>
        </w:tc>
      </w:tr>
      <w:tr>
        <w:trPr>
          <w:cantSplit/>
        </w:trPr>
        <w:tc>
          <w:tcPr>
            <w:tcW w:type="dxa" w:w="2009"/>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bCs/>
                <w:color w:val="333333"/>
                <w:sz w:val="20"/>
                <w:szCs w:val="20"/>
              </w:rPr>
              <w:t xml:space="preserve">Énergies renouvelables</w:t>
            </w:r>
          </w:p>
        </w:tc>
        <w:tc>
          <w:tcPr>
            <w:tcW w:type="dxa" w:w="2855"/>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val="false"/>
                <w:bCs w:val="false"/>
                <w:color w:val="333333"/>
                <w:sz w:val="20"/>
                <w:szCs w:val="20"/>
              </w:rPr>
              <w:t xml:space="preserve">Production P90 (− 8 %), charges + 10 %</w:t>
            </w:r>
          </w:p>
        </w:tc>
        <w:tc>
          <w:tcPr>
            <w:tcW w:type="dxa" w:w="4442"/>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val="false"/>
                <w:bCs w:val="false"/>
                <w:color w:val="333333"/>
                <w:sz w:val="20"/>
                <w:szCs w:val="20"/>
              </w:rPr>
              <w:t xml:space="preserve">Étude de productible (écart P50/P90 à un an) ; sensibilité usuelle des prêteurs sur les charges</w:t>
            </w:r>
          </w:p>
        </w:tc>
      </w:tr>
      <w:tr>
        <w:trPr>
          <w:cantSplit/>
        </w:trPr>
        <w:tc>
          <w:tcPr>
            <w:tcW w:type="dxa" w:w="2009"/>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bCs/>
                <w:color w:val="333333"/>
                <w:sz w:val="20"/>
                <w:szCs w:val="20"/>
              </w:rPr>
              <w:t xml:space="preserve">Dessalement, eau</w:t>
            </w:r>
          </w:p>
        </w:tc>
        <w:tc>
          <w:tcPr>
            <w:tcW w:type="dxa" w:w="2855"/>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val="false"/>
                <w:bCs w:val="false"/>
                <w:color w:val="333333"/>
                <w:sz w:val="20"/>
                <w:szCs w:val="20"/>
              </w:rPr>
              <w:t xml:space="preserve">Recettes − 5 %, charges + 15 %</w:t>
            </w:r>
          </w:p>
        </w:tc>
        <w:tc>
          <w:tcPr>
            <w:tcW w:type="dxa" w:w="4442"/>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val="false"/>
                <w:bCs w:val="false"/>
                <w:color w:val="333333"/>
                <w:sz w:val="20"/>
                <w:szCs w:val="20"/>
              </w:rPr>
              <w:t xml:space="preserve">Disponibilité garantie aux contrats EPC et O&amp;M ; part du coût de l’énergie non répercutée par la formule de redevance</w:t>
            </w:r>
          </w:p>
        </w:tc>
      </w:tr>
      <w:tr>
        <w:trPr>
          <w:cantSplit/>
        </w:trPr>
        <w:tc>
          <w:tcPr>
            <w:tcW w:type="dxa" w:w="2009"/>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bCs/>
                <w:color w:val="333333"/>
                <w:sz w:val="20"/>
                <w:szCs w:val="20"/>
              </w:rPr>
              <w:t xml:space="preserve">Télécom, data centers</w:t>
            </w:r>
          </w:p>
        </w:tc>
        <w:tc>
          <w:tcPr>
            <w:tcW w:type="dxa" w:w="2855"/>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val="false"/>
                <w:bCs w:val="false"/>
                <w:color w:val="333333"/>
                <w:sz w:val="20"/>
                <w:szCs w:val="20"/>
              </w:rPr>
              <w:t xml:space="preserve">Recettes − 20 %, charges + 5 %</w:t>
            </w:r>
          </w:p>
        </w:tc>
        <w:tc>
          <w:tcPr>
            <w:tcW w:type="dxa" w:w="4442"/>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val="false"/>
                <w:bCs w:val="false"/>
                <w:color w:val="333333"/>
                <w:sz w:val="20"/>
                <w:szCs w:val="20"/>
              </w:rPr>
              <w:t xml:space="preserve">Étude de marché ; clauses de sortie des contrats clients</w:t>
            </w:r>
          </w:p>
        </w:tc>
      </w:tr>
      <w:tr>
        <w:trPr>
          <w:cantSplit/>
        </w:trPr>
        <w:tc>
          <w:tcPr>
            <w:tcW w:type="dxa" w:w="2009"/>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bCs/>
                <w:color w:val="333333"/>
                <w:sz w:val="20"/>
                <w:szCs w:val="20"/>
              </w:rPr>
              <w:t xml:space="preserve">Transport</w:t>
            </w:r>
          </w:p>
        </w:tc>
        <w:tc>
          <w:tcPr>
            <w:tcW w:type="dxa" w:w="2855"/>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val="false"/>
                <w:bCs w:val="false"/>
                <w:color w:val="333333"/>
                <w:sz w:val="20"/>
                <w:szCs w:val="20"/>
              </w:rPr>
              <w:t xml:space="preserve">Trafic − 15 %, charges + 10 %</w:t>
            </w:r>
          </w:p>
        </w:tc>
        <w:tc>
          <w:tcPr>
            <w:tcW w:type="dxa" w:w="4442"/>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val="false"/>
                <w:bCs w:val="false"/>
                <w:color w:val="333333"/>
                <w:sz w:val="20"/>
                <w:szCs w:val="20"/>
              </w:rPr>
              <w:t xml:space="preserve">Cas bas de l’étude de trafic ; baisses observées en récession</w:t>
            </w:r>
          </w:p>
        </w:tc>
      </w:tr>
      <w:tr>
        <w:trPr>
          <w:cantSplit/>
        </w:trPr>
        <w:tc>
          <w:tcPr>
            <w:tcW w:type="dxa" w:w="2009"/>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bCs/>
                <w:color w:val="333333"/>
                <w:sz w:val="20"/>
                <w:szCs w:val="20"/>
              </w:rPr>
              <w:t xml:space="preserve">Ports et logistique</w:t>
            </w:r>
          </w:p>
        </w:tc>
        <w:tc>
          <w:tcPr>
            <w:tcW w:type="dxa" w:w="2855"/>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val="false"/>
                <w:bCs w:val="false"/>
                <w:color w:val="333333"/>
                <w:sz w:val="20"/>
                <w:szCs w:val="20"/>
              </w:rPr>
              <w:t xml:space="preserve">Volumes − 15 %, charges + 5 %</w:t>
            </w:r>
          </w:p>
        </w:tc>
        <w:tc>
          <w:tcPr>
            <w:tcW w:type="dxa" w:w="4442"/>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val="false"/>
                <w:bCs w:val="false"/>
                <w:color w:val="333333"/>
                <w:sz w:val="20"/>
                <w:szCs w:val="20"/>
              </w:rPr>
              <w:t xml:space="preserve">Étude de trafic ; volume minimum garanti</w:t>
            </w:r>
          </w:p>
        </w:tc>
      </w:tr>
      <w:tr>
        <w:trPr>
          <w:cantSplit/>
        </w:trPr>
        <w:tc>
          <w:tcPr>
            <w:tcW w:type="dxa" w:w="2009"/>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bCs/>
                <w:color w:val="333333"/>
                <w:sz w:val="20"/>
                <w:szCs w:val="20"/>
              </w:rPr>
              <w:t xml:space="preserve">Santé en PPP</w:t>
            </w:r>
          </w:p>
        </w:tc>
        <w:tc>
          <w:tcPr>
            <w:tcW w:type="dxa" w:w="2855"/>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val="false"/>
                <w:bCs w:val="false"/>
                <w:color w:val="333333"/>
                <w:sz w:val="20"/>
                <w:szCs w:val="20"/>
              </w:rPr>
              <w:t xml:space="preserve">Recettes − 5 %, charges + 10 %</w:t>
            </w:r>
          </w:p>
        </w:tc>
        <w:tc>
          <w:tcPr>
            <w:tcW w:type="dxa" w:w="4442"/>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val="false"/>
                <w:bCs w:val="false"/>
                <w:color w:val="333333"/>
                <w:sz w:val="20"/>
                <w:szCs w:val="20"/>
              </w:rPr>
              <w:t xml:space="preserve">Plafond des pénalités du contrat de partenariat</w:t>
            </w:r>
          </w:p>
        </w:tc>
      </w:tr>
      <w:tr>
        <w:trPr>
          <w:cantSplit/>
        </w:trPr>
        <w:tc>
          <w:tcPr>
            <w:tcW w:type="dxa" w:w="2009"/>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bCs/>
                <w:color w:val="333333"/>
                <w:sz w:val="20"/>
                <w:szCs w:val="20"/>
              </w:rPr>
              <w:t xml:space="preserve">Thermique et gaz</w:t>
            </w:r>
          </w:p>
        </w:tc>
        <w:tc>
          <w:tcPr>
            <w:tcW w:type="dxa" w:w="2855"/>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val="false"/>
                <w:bCs w:val="false"/>
                <w:color w:val="333333"/>
                <w:sz w:val="20"/>
                <w:szCs w:val="20"/>
              </w:rPr>
              <w:t xml:space="preserve">Recettes − 10 %, charges + 10 %</w:t>
            </w:r>
          </w:p>
        </w:tc>
        <w:tc>
          <w:tcPr>
            <w:tcW w:type="dxa" w:w="4442"/>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val="false"/>
                <w:bCs w:val="false"/>
                <w:color w:val="333333"/>
                <w:sz w:val="20"/>
                <w:szCs w:val="20"/>
              </w:rPr>
              <w:t xml:space="preserve">Historique de disponibilité du constructeur ; franchise d’assurance perte d’exploitation</w:t>
            </w:r>
          </w:p>
        </w:tc>
      </w:tr>
      <w:tr>
        <w:trPr>
          <w:cantSplit/>
        </w:trPr>
        <w:tc>
          <w:tcPr>
            <w:tcW w:type="dxa" w:w="2009"/>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bCs/>
                <w:color w:val="333333"/>
                <w:sz w:val="20"/>
                <w:szCs w:val="20"/>
              </w:rPr>
              <w:t xml:space="preserve">Immobilier de rendement</w:t>
            </w:r>
          </w:p>
        </w:tc>
        <w:tc>
          <w:tcPr>
            <w:tcW w:type="dxa" w:w="2855"/>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val="false"/>
                <w:bCs w:val="false"/>
                <w:color w:val="333333"/>
                <w:sz w:val="20"/>
                <w:szCs w:val="20"/>
              </w:rPr>
              <w:t xml:space="preserve">Recettes − 15 %, charges + 5 %</w:t>
            </w:r>
          </w:p>
        </w:tc>
        <w:tc>
          <w:tcPr>
            <w:tcW w:type="dxa" w:w="4442"/>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val="false"/>
                <w:bCs w:val="false"/>
                <w:color w:val="333333"/>
                <w:sz w:val="20"/>
                <w:szCs w:val="20"/>
              </w:rPr>
              <w:t xml:space="preserve">Historique de vacance du marché ; échéancier des baux</w:t>
            </w:r>
          </w:p>
        </w:tc>
      </w:tr>
      <w:tr>
        <w:trPr>
          <w:cantSplit/>
        </w:trPr>
        <w:tc>
          <w:tcPr>
            <w:tcW w:type="dxa" w:w="2009"/>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bCs/>
                <w:color w:val="333333"/>
                <w:sz w:val="20"/>
                <w:szCs w:val="20"/>
              </w:rPr>
              <w:t xml:space="preserve">Industrie</w:t>
            </w:r>
          </w:p>
        </w:tc>
        <w:tc>
          <w:tcPr>
            <w:tcW w:type="dxa" w:w="2855"/>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val="false"/>
                <w:bCs w:val="false"/>
                <w:color w:val="333333"/>
                <w:sz w:val="20"/>
                <w:szCs w:val="20"/>
              </w:rPr>
              <w:t xml:space="preserve">Volumes − 15 %, charges + 15 %</w:t>
            </w:r>
          </w:p>
        </w:tc>
        <w:tc>
          <w:tcPr>
            <w:tcW w:type="dxa" w:w="4442"/>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val="false"/>
                <w:bCs w:val="false"/>
                <w:color w:val="333333"/>
                <w:sz w:val="20"/>
                <w:szCs w:val="20"/>
              </w:rPr>
              <w:t xml:space="preserve">Étude de marché ; historique des prix des intrants</w:t>
            </w:r>
          </w:p>
        </w:tc>
      </w:tr>
      <w:tr>
        <w:trPr>
          <w:cantSplit/>
        </w:trPr>
        <w:tc>
          <w:tcPr>
            <w:tcW w:type="dxa" w:w="2009"/>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bCs/>
                <w:color w:val="333333"/>
                <w:sz w:val="20"/>
                <w:szCs w:val="20"/>
              </w:rPr>
              <w:t xml:space="preserve">Agro-industrie</w:t>
            </w:r>
          </w:p>
        </w:tc>
        <w:tc>
          <w:tcPr>
            <w:tcW w:type="dxa" w:w="2855"/>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val="false"/>
                <w:bCs w:val="false"/>
                <w:color w:val="333333"/>
                <w:sz w:val="20"/>
                <w:szCs w:val="20"/>
              </w:rPr>
              <w:t xml:space="preserve">Récolte − 20 %, charges + 5 %</w:t>
            </w:r>
          </w:p>
        </w:tc>
        <w:tc>
          <w:tcPr>
            <w:tcW w:type="dxa" w:w="4442"/>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val="false"/>
                <w:bCs w:val="false"/>
                <w:color w:val="333333"/>
                <w:sz w:val="20"/>
                <w:szCs w:val="20"/>
              </w:rPr>
              <w:t xml:space="preserve">Historique des campagnes (sécheresses)</w:t>
            </w:r>
          </w:p>
        </w:tc>
      </w:tr>
      <w:tr>
        <w:trPr>
          <w:cantSplit/>
        </w:trPr>
        <w:tc>
          <w:tcPr>
            <w:tcW w:type="dxa" w:w="2009"/>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bCs/>
                <w:color w:val="333333"/>
                <w:sz w:val="20"/>
                <w:szCs w:val="20"/>
              </w:rPr>
              <w:t xml:space="preserve">Tourisme</w:t>
            </w:r>
          </w:p>
        </w:tc>
        <w:tc>
          <w:tcPr>
            <w:tcW w:type="dxa" w:w="2855"/>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val="false"/>
                <w:bCs w:val="false"/>
                <w:color w:val="333333"/>
                <w:sz w:val="20"/>
                <w:szCs w:val="20"/>
              </w:rPr>
              <w:t xml:space="preserve">Recettes − 15 %, charges + 5 %</w:t>
            </w:r>
          </w:p>
        </w:tc>
        <w:tc>
          <w:tcPr>
            <w:tcW w:type="dxa" w:w="4442"/>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val="false"/>
                <w:bCs w:val="false"/>
                <w:color w:val="333333"/>
                <w:sz w:val="20"/>
                <w:szCs w:val="20"/>
              </w:rPr>
              <w:t xml:space="preserve">Historique des crises (2008, 2011, 2020)</w:t>
            </w:r>
          </w:p>
        </w:tc>
      </w:tr>
      <w:tr>
        <w:trPr>
          <w:cantSplit/>
        </w:trPr>
        <w:tc>
          <w:tcPr>
            <w:tcW w:type="dxa" w:w="2009"/>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bCs/>
                <w:color w:val="333333"/>
                <w:sz w:val="20"/>
                <w:szCs w:val="20"/>
              </w:rPr>
              <w:t xml:space="preserve">Mines</w:t>
            </w:r>
          </w:p>
        </w:tc>
        <w:tc>
          <w:tcPr>
            <w:tcW w:type="dxa" w:w="2855"/>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val="false"/>
                <w:bCs w:val="false"/>
                <w:color w:val="333333"/>
                <w:sz w:val="20"/>
                <w:szCs w:val="20"/>
              </w:rPr>
              <w:t xml:space="preserve">Prix − 25 %, coûts + 8 %</w:t>
            </w:r>
          </w:p>
        </w:tc>
        <w:tc>
          <w:tcPr>
            <w:tcW w:type="dxa" w:w="4442"/>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val="false"/>
                <w:bCs w:val="false"/>
                <w:color w:val="333333"/>
                <w:sz w:val="20"/>
                <w:szCs w:val="20"/>
              </w:rPr>
              <w:t xml:space="preserve">Prix bas sur 10 à 20 ans ; cas bas des analystes</w:t>
            </w:r>
          </w:p>
        </w:tc>
      </w:tr>
    </w:tbl>
    <w:p>
      <w:pPr>
        <w:spacing w:after="120"/>
      </w:pPr>
    </w:p>
    <w:p>
      <w:pPr>
        <w:pStyle w:val="Heading1"/>
      </w:pPr>
      <w:r>
        <w:t xml:space="preserve">8. Un complément de lecture : le point mort</w:t>
      </w:r>
    </w:p>
    <w:p>
      <w:pPr>
        <w:spacing w:after="140" w:line="300"/>
      </w:pPr>
      <w:r>
        <w:t xml:space="preserve">On peut retourner la question : quelle baisse de CFADS le projet peut-il supporter avant de ne plus payer sa dette ? La réponse se lit directement sur le DSCR minimum central :</w:t>
      </w:r>
    </w:p>
    <w:p>
      <w:pPr>
        <w:pBdr>
          <w:left w:val="single" w:color="E8790F" w:sz="18" w:space="8"/>
        </w:pBdr>
        <w:shd w:fill="FDEBD3" w:color="auto" w:val="clear"/>
        <w:spacing w:after="200" w:before="120" w:line="300"/>
        <w:ind w:left="160" w:right="160"/>
      </w:pPr>
      <w:r>
        <w:rPr>
          <w:b/>
          <w:bCs/>
          <w:color w:val="5A3A1E"/>
        </w:rPr>
        <w:t xml:space="preserve">Baisse de CFADS supportable avant défaut = 1 − 1 ÷ DSCR minimum</w:t>
      </w:r>
      <w:r>
        <w:br/>
        <w:t xml:space="preserve"/>
      </w:r>
      <w:r>
        <w:t xml:space="preserve">Centrale solaire : 1 − 1 ÷ 1,30 = 23 %. Le choc retenu (13,8 %) laisse encore de la marge.</w:t>
      </w:r>
      <w:r>
        <w:br/>
        <w:t xml:space="preserve"/>
      </w:r>
      <w:r>
        <w:t xml:space="preserve">Hôtel : 1 − 1 ÷ 1,06 = 6 %. Le moindre aléa met le projet en défaut.</w:t>
      </w:r>
    </w:p>
    <w:p>
      <w:pPr>
        <w:spacing w:after="140" w:line="300"/>
      </w:pPr>
      <w:r>
        <w:rPr>
          <w:i/>
          <w:iCs/>
          <w:color w:val="7A7A7A"/>
        </w:rPr>
        <w:t xml:space="preserve">Ce calcul n’est pas fait par l’outil ; c’est une aide à la lecture du comité, utile pour comparer la marge de sécurité de deux projets.</w:t>
      </w:r>
    </w:p>
    <w:p>
      <w:pPr>
        <w:pStyle w:val="Heading1"/>
      </w:pPr>
      <w:r>
        <w:t xml:space="preserve">9. Le scénario climatique</w:t>
      </w:r>
    </w:p>
    <w:p>
      <w:pPr>
        <w:spacing w:after="140" w:line="300"/>
      </w:pPr>
      <w:r>
        <w:t xml:space="preserve">Le scénario défavorable du bloc 6 vise le risque principal du projet, en général financier ou commercial. L’onglet Climat (bloc 14) y ajoute un second scénario : un aléa climatique plausible pour le site (canicule, sécheresse, crue, tempête, prix du carbone), chiffré lui aussi en baisse du CFADS.</w:t>
      </w:r>
    </w:p>
    <w:p>
      <w:pPr>
        <w:pStyle w:val="Heading2"/>
      </w:pPr>
      <w:r>
        <w:t xml:space="preserve">Comment il se calcule</w:t>
      </w:r>
    </w:p>
    <w:p>
      <w:pPr>
        <w:keepNext/>
        <w:spacing w:after="140" w:line="300"/>
      </w:pPr>
      <w:r>
        <w:t xml:space="preserve">Exactement comme le scénario financier : l’onglet propose le scénario climatique de référence du secteur, l’analyste l’adapte au site, et l’aide « Du scénario au choc » convertit les hypothèses en baisse du CFADS. L’outil en déduit le DSCR minimum climatique, classé selon les seuils du dossier.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327"/>
        <w:gridCol w:w="6979"/>
      </w:tblGrid>
      <w:tr>
        <w:trPr>
          <w:tblHeader/>
        </w:trPr>
        <w:tc>
          <w:tcPr>
            <w:tcW w:type="dxa" w:w="2327"/>
            <w:tcBorders>
              <w:top w:val="single" w:color="D9D9D9" w:sz="4"/>
              <w:left w:val="single" w:color="D9D9D9" w:sz="4"/>
              <w:bottom w:val="single" w:color="D9D9D9" w:sz="4"/>
              <w:right w:val="single" w:color="D9D9D9" w:sz="4"/>
            </w:tcBorders>
            <w:shd w:fill="E8790F" w:color="auto" w:val="clear"/>
            <w:tcMar>
              <w:top w:type="dxa" w:w="60"/>
              <w:left w:type="dxa" w:w="100"/>
              <w:bottom w:type="dxa" w:w="60"/>
              <w:right w:type="dxa" w:w="100"/>
            </w:tcMar>
          </w:tcPr>
          <w:p>
            <w:pPr>
              <w:jc w:val="left"/>
            </w:pPr>
            <w:r>
              <w:rPr>
                <w:b/>
                <w:bCs/>
                <w:color w:val="FFFFFF"/>
                <w:sz w:val="20"/>
                <w:szCs w:val="20"/>
              </w:rPr>
              <w:t xml:space="preserve">Secteur</w:t>
            </w:r>
          </w:p>
        </w:tc>
        <w:tc>
          <w:tcPr>
            <w:tcW w:type="dxa" w:w="6979"/>
            <w:tcBorders>
              <w:top w:val="single" w:color="D9D9D9" w:sz="4"/>
              <w:left w:val="single" w:color="D9D9D9" w:sz="4"/>
              <w:bottom w:val="single" w:color="D9D9D9" w:sz="4"/>
              <w:right w:val="single" w:color="D9D9D9" w:sz="4"/>
            </w:tcBorders>
            <w:shd w:fill="E8790F" w:color="auto" w:val="clear"/>
            <w:tcMar>
              <w:top w:type="dxa" w:w="60"/>
              <w:left w:type="dxa" w:w="100"/>
              <w:bottom w:type="dxa" w:w="60"/>
              <w:right w:type="dxa" w:w="100"/>
            </w:tcMar>
          </w:tcPr>
          <w:p>
            <w:pPr>
              <w:jc w:val="left"/>
            </w:pPr>
            <w:r>
              <w:rPr>
                <w:b/>
                <w:bCs/>
                <w:color w:val="FFFFFF"/>
                <w:sz w:val="20"/>
                <w:szCs w:val="20"/>
              </w:rPr>
              <w:t xml:space="preserve">Scénario climatique de référence (valeurs candidates)</w:t>
            </w:r>
          </w:p>
        </w:tc>
      </w:tr>
      <w:tr>
        <w:trPr>
          <w:cantSplit/>
        </w:trPr>
        <w:tc>
          <w:tcPr>
            <w:tcW w:type="dxa" w:w="2327"/>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bCs/>
                <w:color w:val="333333"/>
                <w:sz w:val="20"/>
                <w:szCs w:val="20"/>
              </w:rPr>
              <w:t xml:space="preserve">Énergies renouvelables</w:t>
            </w:r>
          </w:p>
        </w:tc>
        <w:tc>
          <w:tcPr>
            <w:tcW w:type="dxa" w:w="6979"/>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val="false"/>
                <w:bCs w:val="false"/>
                <w:color w:val="333333"/>
                <w:sz w:val="20"/>
                <w:szCs w:val="20"/>
              </w:rPr>
              <w:t xml:space="preserve">Canicule prolongée et vents de sable : production − 5 %, charges de nettoyage + 5 %</w:t>
            </w:r>
          </w:p>
        </w:tc>
      </w:tr>
      <w:tr>
        <w:trPr>
          <w:cantSplit/>
        </w:trPr>
        <w:tc>
          <w:tcPr>
            <w:tcW w:type="dxa" w:w="2327"/>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bCs/>
                <w:color w:val="333333"/>
                <w:sz w:val="20"/>
                <w:szCs w:val="20"/>
              </w:rPr>
              <w:t xml:space="preserve">Dessalement, eau</w:t>
            </w:r>
          </w:p>
        </w:tc>
        <w:tc>
          <w:tcPr>
            <w:tcW w:type="dxa" w:w="6979"/>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val="false"/>
                <w:bCs w:val="false"/>
                <w:color w:val="333333"/>
                <w:sz w:val="20"/>
                <w:szCs w:val="20"/>
              </w:rPr>
              <w:t xml:space="preserve">Tempête : prise d’eau indisponible un mois (redevance − 8 %), réparations + 5 %</w:t>
            </w:r>
          </w:p>
        </w:tc>
      </w:tr>
      <w:tr>
        <w:trPr>
          <w:cantSplit/>
        </w:trPr>
        <w:tc>
          <w:tcPr>
            <w:tcW w:type="dxa" w:w="2327"/>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bCs/>
                <w:color w:val="333333"/>
                <w:sz w:val="20"/>
                <w:szCs w:val="20"/>
              </w:rPr>
              <w:t xml:space="preserve">Télécom, data centers</w:t>
            </w:r>
          </w:p>
        </w:tc>
        <w:tc>
          <w:tcPr>
            <w:tcW w:type="dxa" w:w="6979"/>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val="false"/>
                <w:bCs w:val="false"/>
                <w:color w:val="333333"/>
                <w:sz w:val="20"/>
                <w:szCs w:val="20"/>
              </w:rPr>
              <w:t xml:space="preserve">Canicule : surcoût de refroidissement (charges + 15 %)</w:t>
            </w:r>
          </w:p>
        </w:tc>
      </w:tr>
      <w:tr>
        <w:trPr>
          <w:cantSplit/>
        </w:trPr>
        <w:tc>
          <w:tcPr>
            <w:tcW w:type="dxa" w:w="2327"/>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bCs/>
                <w:color w:val="333333"/>
                <w:sz w:val="20"/>
                <w:szCs w:val="20"/>
              </w:rPr>
              <w:t xml:space="preserve">Transport</w:t>
            </w:r>
          </w:p>
        </w:tc>
        <w:tc>
          <w:tcPr>
            <w:tcW w:type="dxa" w:w="6979"/>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val="false"/>
                <w:bCs w:val="false"/>
                <w:color w:val="333333"/>
                <w:sz w:val="20"/>
                <w:szCs w:val="20"/>
              </w:rPr>
              <w:t xml:space="preserve">Crue : section coupée deux mois (trafic − 10 %), réparations + 10 %</w:t>
            </w:r>
          </w:p>
        </w:tc>
      </w:tr>
      <w:tr>
        <w:trPr>
          <w:cantSplit/>
        </w:trPr>
        <w:tc>
          <w:tcPr>
            <w:tcW w:type="dxa" w:w="2327"/>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bCs/>
                <w:color w:val="333333"/>
                <w:sz w:val="20"/>
                <w:szCs w:val="20"/>
              </w:rPr>
              <w:t xml:space="preserve">Ports et logistique</w:t>
            </w:r>
          </w:p>
        </w:tc>
        <w:tc>
          <w:tcPr>
            <w:tcW w:type="dxa" w:w="6979"/>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val="false"/>
                <w:bCs w:val="false"/>
                <w:color w:val="333333"/>
                <w:sz w:val="20"/>
                <w:szCs w:val="20"/>
              </w:rPr>
              <w:t xml:space="preserve">Tempête : quais arrêtés trois semaines (− 6 %), réparations + 10 %</w:t>
            </w:r>
          </w:p>
        </w:tc>
      </w:tr>
      <w:tr>
        <w:trPr>
          <w:cantSplit/>
        </w:trPr>
        <w:tc>
          <w:tcPr>
            <w:tcW w:type="dxa" w:w="2327"/>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bCs/>
                <w:color w:val="333333"/>
                <w:sz w:val="20"/>
                <w:szCs w:val="20"/>
              </w:rPr>
              <w:t xml:space="preserve">Santé en PPP</w:t>
            </w:r>
          </w:p>
        </w:tc>
        <w:tc>
          <w:tcPr>
            <w:tcW w:type="dxa" w:w="6979"/>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val="false"/>
                <w:bCs w:val="false"/>
                <w:color w:val="333333"/>
                <w:sz w:val="20"/>
                <w:szCs w:val="20"/>
              </w:rPr>
              <w:t xml:space="preserve">Inondation : pénalités de disponibilité (− 3 %), remise en état + 10 %</w:t>
            </w:r>
          </w:p>
        </w:tc>
      </w:tr>
      <w:tr>
        <w:trPr>
          <w:cantSplit/>
        </w:trPr>
        <w:tc>
          <w:tcPr>
            <w:tcW w:type="dxa" w:w="2327"/>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bCs/>
                <w:color w:val="333333"/>
                <w:sz w:val="20"/>
                <w:szCs w:val="20"/>
              </w:rPr>
              <w:t xml:space="preserve">Thermique et gaz</w:t>
            </w:r>
          </w:p>
        </w:tc>
        <w:tc>
          <w:tcPr>
            <w:tcW w:type="dxa" w:w="6979"/>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val="false"/>
                <w:bCs w:val="false"/>
                <w:color w:val="333333"/>
                <w:sz w:val="20"/>
                <w:szCs w:val="20"/>
              </w:rPr>
              <w:t xml:space="preserve">Canicule et restriction d’eau de refroidissement (− 8 %), prix du carbone (charges + 15 %)</w:t>
            </w:r>
          </w:p>
        </w:tc>
      </w:tr>
      <w:tr>
        <w:trPr>
          <w:cantSplit/>
        </w:trPr>
        <w:tc>
          <w:tcPr>
            <w:tcW w:type="dxa" w:w="2327"/>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bCs/>
                <w:color w:val="333333"/>
                <w:sz w:val="20"/>
                <w:szCs w:val="20"/>
              </w:rPr>
              <w:t xml:space="preserve">Immobilier de rendement</w:t>
            </w:r>
          </w:p>
        </w:tc>
        <w:tc>
          <w:tcPr>
            <w:tcW w:type="dxa" w:w="6979"/>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val="false"/>
                <w:bCs w:val="false"/>
                <w:color w:val="333333"/>
                <w:sz w:val="20"/>
                <w:szCs w:val="20"/>
              </w:rPr>
              <w:t xml:space="preserve">Inondation : locaux indisponibles deux mois (loyers − 15 %), réparations + 10 %</w:t>
            </w:r>
          </w:p>
        </w:tc>
      </w:tr>
      <w:tr>
        <w:trPr>
          <w:cantSplit/>
        </w:trPr>
        <w:tc>
          <w:tcPr>
            <w:tcW w:type="dxa" w:w="2327"/>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bCs/>
                <w:color w:val="333333"/>
                <w:sz w:val="20"/>
                <w:szCs w:val="20"/>
              </w:rPr>
              <w:t xml:space="preserve">Industrie</w:t>
            </w:r>
          </w:p>
        </w:tc>
        <w:tc>
          <w:tcPr>
            <w:tcW w:type="dxa" w:w="6979"/>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val="false"/>
                <w:bCs w:val="false"/>
                <w:color w:val="333333"/>
                <w:sz w:val="20"/>
                <w:szCs w:val="20"/>
              </w:rPr>
              <w:t xml:space="preserve">Sécheresse : restrictions d’eau de process (volumes − 10 %), eau et carbone + 10 %</w:t>
            </w:r>
          </w:p>
        </w:tc>
      </w:tr>
      <w:tr>
        <w:trPr>
          <w:cantSplit/>
        </w:trPr>
        <w:tc>
          <w:tcPr>
            <w:tcW w:type="dxa" w:w="2327"/>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bCs/>
                <w:color w:val="333333"/>
                <w:sz w:val="20"/>
                <w:szCs w:val="20"/>
              </w:rPr>
              <w:t xml:space="preserve">Agro-industrie</w:t>
            </w:r>
          </w:p>
        </w:tc>
        <w:tc>
          <w:tcPr>
            <w:tcW w:type="dxa" w:w="6979"/>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val="false"/>
                <w:bCs w:val="false"/>
                <w:color w:val="333333"/>
                <w:sz w:val="20"/>
                <w:szCs w:val="20"/>
              </w:rPr>
              <w:t xml:space="preserve">Sécheresse sur deux campagnes consécutives : récolte − 35 %, charges + 5 %</w:t>
            </w:r>
          </w:p>
        </w:tc>
      </w:tr>
      <w:tr>
        <w:trPr>
          <w:cantSplit/>
        </w:trPr>
        <w:tc>
          <w:tcPr>
            <w:tcW w:type="dxa" w:w="2327"/>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bCs/>
                <w:color w:val="333333"/>
                <w:sz w:val="20"/>
                <w:szCs w:val="20"/>
              </w:rPr>
              <w:t xml:space="preserve">Tourisme</w:t>
            </w:r>
          </w:p>
        </w:tc>
        <w:tc>
          <w:tcPr>
            <w:tcW w:type="dxa" w:w="6979"/>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val="false"/>
                <w:bCs w:val="false"/>
                <w:color w:val="333333"/>
                <w:sz w:val="20"/>
                <w:szCs w:val="20"/>
              </w:rPr>
              <w:t xml:space="preserve">Canicule et pénurie d’eau : fréquentation − 20 %, charges + 10 %</w:t>
            </w:r>
          </w:p>
        </w:tc>
      </w:tr>
      <w:tr>
        <w:trPr>
          <w:cantSplit/>
        </w:trPr>
        <w:tc>
          <w:tcPr>
            <w:tcW w:type="dxa" w:w="2327"/>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bCs/>
                <w:color w:val="333333"/>
                <w:sz w:val="20"/>
                <w:szCs w:val="20"/>
              </w:rPr>
              <w:t xml:space="preserve">Mines</w:t>
            </w:r>
          </w:p>
        </w:tc>
        <w:tc>
          <w:tcPr>
            <w:tcW w:type="dxa" w:w="6979"/>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pPr>
              <w:jc w:val="left"/>
            </w:pPr>
            <w:r>
              <w:rPr>
                <w:b w:val="false"/>
                <w:bCs w:val="false"/>
                <w:color w:val="333333"/>
                <w:sz w:val="20"/>
                <w:szCs w:val="20"/>
              </w:rPr>
              <w:t xml:space="preserve">Sécheresse : restrictions d’eau (production − 15 %), charges + 10 %</w:t>
            </w:r>
          </w:p>
        </w:tc>
      </w:tr>
    </w:tbl>
    <w:p>
      <w:pPr>
        <w:spacing w:after="120"/>
      </w:pPr>
    </w:p>
    <w:p>
      <w:pPr>
        <w:pStyle w:val="Heading2"/>
      </w:pPr>
      <w:r>
        <w:t xml:space="preserve">Lot 1 : un résultat indicatif</w:t>
      </w:r>
    </w:p>
    <w:p>
      <w:pPr>
        <w:spacing w:after="140" w:line="300"/>
      </w:pPr>
      <w:r>
        <w:t xml:space="preserve">Aujourd’hui (lot 1 du volet climatique, en service), le DSCR minimum climatique est calculé et affiché à côté du DSCR stressé du bloc 6, mais il n’entre pas dans la note : N2 reste fondé sur le seul scénario financier. Il sert à documenter le dossier et à préparer le calibrage du lot 2.</w:t>
      </w:r>
    </w:p>
    <w:p>
      <w:pPr>
        <w:pStyle w:val="Heading2"/>
      </w:pPr>
      <w:r>
        <w:t xml:space="preserve">Lot 2 : le plus bas des deux scénarios</w:t>
      </w:r>
    </w:p>
    <w:p>
      <w:pPr>
        <w:keepNext/>
        <w:spacing w:after="140" w:line="300"/>
      </w:pPr>
      <w:r>
        <w:t xml:space="preserve">Le lot 2 est intégré à l’outil mais inactif ; il s’active dans le paramétrage après validation par le comité. Sur un site exposé (au moins un aléa évalué « élevé » dans la fiche climat), N2 retient le plus bas des deux DSCR stressés, financier et climatique. Le plafond C3 s’applique au DSCR retenu. Sur un site non exposé, rien ne change.</w:t>
      </w:r>
    </w:p>
    <w:p>
      <w:pPr>
        <w:pBdr>
          <w:left w:val="single" w:color="E8790F" w:sz="18" w:space="8"/>
        </w:pBdr>
        <w:shd w:fill="FDEBD3" w:color="auto" w:val="clear"/>
        <w:spacing w:after="200" w:before="120" w:line="300"/>
        <w:ind w:left="160" w:right="160"/>
      </w:pPr>
      <w:r>
        <w:rPr>
          <w:b/>
          <w:bCs/>
          <w:color w:val="5A3A1E"/>
        </w:rPr>
        <w:t xml:space="preserve">Exemple : l’huilerie d’olives (cas fictif)</w:t>
      </w:r>
      <w:r>
        <w:br/>
        <w:t xml:space="preserve"/>
      </w:r>
      <w:r>
        <w:t xml:space="preserve">Scénario financier : DSCR stressé minimum 1,26. Scénario climatique, sécheresse sur deux campagnes (baisse du CFADS de 20 %) : 1,10.</w:t>
      </w:r>
      <w:r>
        <w:br/>
        <w:t xml:space="preserve"/>
      </w:r>
      <w:r>
        <w:t xml:space="preserve">Site exposé (sécheresse élevée, sans adaptation financée) : avec le lot 2, N2 retient 1,10 et passe de vigilance (50) à critique (20). Avec le plafond C11, la note passe de 8 à 6.</w:t>
      </w:r>
    </w:p>
    <w:p>
      <w:pPr>
        <w:spacing w:after="140" w:line="300"/>
      </w:pPr>
      <w:r>
        <w:t xml:space="preserve">Un site exposé dont le scénario climatique n’est pas renseigné est signalé comme saisie manquante : avec le lot 2, le stress test d’un site exposé n’est complet qu’avec ses deux scénarios.</w:t>
      </w:r>
    </w:p>
    <w:p>
      <w:pPr>
        <w:pStyle w:val="Heading1"/>
      </w:pPr>
      <w:r>
        <w:t xml:space="preserve">10. Questions fréquentes</w:t>
      </w:r>
    </w:p>
    <w:p>
      <w:pPr>
        <w:spacing w:after="140" w:line="300"/>
      </w:pPr>
      <w:r>
        <w:rPr>
          <w:b/>
          <w:bCs/>
        </w:rPr>
        <w:t xml:space="preserve">Le stress test change-t-il le DSCR de base ? </w:t>
      </w:r>
      <w:r>
        <w:t xml:space="preserve">Non. Le scénario central reste noté par N1 ; le scénario défavorable est noté séparément par N2. Les deux comptent.</w:t>
      </w:r>
    </w:p>
    <w:p>
      <w:pPr>
        <w:spacing w:after="140" w:line="300"/>
      </w:pPr>
      <w:r>
        <w:rPr>
          <w:b/>
          <w:bCs/>
        </w:rPr>
        <w:t xml:space="preserve">Que se passe-t-il si le choc n’est pas renseigné ? </w:t>
      </w:r>
      <w:r>
        <w:t xml:space="preserve">Le modèle le signale comme élément manquant du bloc 6. À défaut, aucune baisse ne serait appliquée et le DSCR stressé serait égal au DSCR central, ce qui serait trop favorable : le choc doit donc toujours être renseigné et justifié.</w:t>
      </w:r>
    </w:p>
    <w:p>
      <w:pPr>
        <w:spacing w:after="140" w:line="300"/>
      </w:pPr>
      <w:r>
        <w:rPr>
          <w:b/>
          <w:bCs/>
        </w:rPr>
        <w:t xml:space="preserve">Faut-il préférer le choc unique ou le CFADS stressé par échéance ? </w:t>
      </w:r>
      <w:r>
        <w:t xml:space="preserve">Le CFADS stressé par échéance est plus précis quand le modèle financier du sponsor ou de la banque fournit un cas défavorable. Le choc unique est plus simple et suffit pour la plupart des dossiers.</w:t>
      </w:r>
    </w:p>
    <w:p>
      <w:pPr>
        <w:spacing w:after="140" w:line="300"/>
      </w:pPr>
      <w:r>
        <w:rPr>
          <w:b/>
          <w:bCs/>
        </w:rPr>
        <w:t xml:space="preserve">Un DSCR stressé sous 1,00 veut-il dire refus ? </w:t>
      </w:r>
      <w:r>
        <w:t xml:space="preserve">Pas automatiquement. La note est plafonnée à 4 : le dossier peut encore être présenté, mais avec des mitigants solides (réserve de service de la dette plus longue, garantie du sponsor, restructuration de la dette). Le cas agro-industriel en est l’illustration : après restructuration (variante B), le DSCR stressé remonte de 0,40 à 1,13 et la note passe de 3 à 6.</w:t>
      </w:r>
    </w:p>
    <w:p>
      <w:pPr>
        <w:pStyle w:val="Heading1"/>
        <w:pageBreakBefore/>
      </w:pPr>
      <w:r>
        <w:t xml:space="preserve">À retenir</w:t>
      </w:r>
    </w:p>
    <w:p>
      <w:pPr>
        <w:pStyle w:val="ListParagraph"/>
        <w:numPr>
          <w:ilvl w:val="0"/>
          <w:numId w:val="2"/>
        </w:numPr>
        <w:spacing w:after="70" w:line="290"/>
      </w:pPr>
      <w:r>
        <w:t xml:space="preserve">Le stress test mesure la capacité du projet à payer sa dette si son principal risque se matérialise.</w:t>
      </w:r>
    </w:p>
    <w:p>
      <w:pPr>
        <w:pStyle w:val="ListParagraph"/>
        <w:numPr>
          <w:ilvl w:val="0"/>
          <w:numId w:val="2"/>
        </w:numPr>
        <w:spacing w:after="70" w:line="290"/>
      </w:pPr>
      <w:r>
        <w:t xml:space="preserve">Les hypothèses viennent d’études, de l’historique et des contrats ; l’outil propose une référence par secteur.</w:t>
      </w:r>
    </w:p>
    <w:p>
      <w:pPr>
        <w:pStyle w:val="ListParagraph"/>
        <w:numPr>
          <w:ilvl w:val="0"/>
          <w:numId w:val="2"/>
        </w:numPr>
        <w:spacing w:after="70" w:line="290"/>
      </w:pPr>
      <w:r>
        <w:t xml:space="preserve">Le choc se calcule : (recettes perdues + charges supplémentaires) ÷ CFADS central. Il est en général plus fort que la baisse des recettes, à cause des charges fixes.</w:t>
      </w:r>
    </w:p>
    <w:p>
      <w:pPr>
        <w:pStyle w:val="ListParagraph"/>
        <w:numPr>
          <w:ilvl w:val="0"/>
          <w:numId w:val="2"/>
        </w:numPr>
        <w:spacing w:after="70" w:line="290"/>
      </w:pPr>
      <w:r>
        <w:t xml:space="preserve">Le DSCR stressé baisse du même pourcentage que le CFADS ; on retient son minimum (indicateur N2).</w:t>
      </w:r>
    </w:p>
    <w:p>
      <w:pPr>
        <w:pStyle w:val="ListParagraph"/>
        <w:numPr>
          <w:ilvl w:val="0"/>
          <w:numId w:val="2"/>
        </w:numPr>
        <w:spacing w:after="70" w:line="290"/>
      </w:pPr>
      <w:r>
        <w:t xml:space="preserve">N2 influence modérément le score ; sous 1,00x, le plafond C3 limite la note à 4.</w:t>
      </w:r>
    </w:p>
    <w:p>
      <w:pPr>
        <w:pStyle w:val="ListParagraph"/>
        <w:numPr>
          <w:ilvl w:val="0"/>
          <w:numId w:val="2"/>
        </w:numPr>
        <w:spacing w:after="70" w:line="290"/>
      </w:pPr>
      <w:r>
        <w:t xml:space="preserve">Au bloc 6, l’aide « Du scénario au choc » fait le calcul et l’origine de la valeur reste affichée sous le champ.</w:t>
      </w:r>
    </w:p>
    <w:p>
      <w:pPr>
        <w:pStyle w:val="ListParagraph"/>
        <w:numPr>
          <w:ilvl w:val="0"/>
          <w:numId w:val="2"/>
        </w:numPr>
        <w:spacing w:after="70" w:line="290"/>
      </w:pPr>
      <w:r>
        <w:t xml:space="preserve">Le scénario climatique (onglet Climat) se calcule de la même façon. Au lot 1, il est indicatif ; au lot 2, sur un site exposé, N2 retient le plus bas des deux scénarios.</w:t>
      </w:r>
    </w:p>
    <w:p>
      <w:pPr>
        <w:spacing w:before="240"/>
      </w:pPr>
      <w:r>
        <w:rPr>
          <w:i/>
          <w:iCs/>
          <w:color w:val="7A7A7A"/>
          <w:sz w:val="19"/>
          <w:szCs w:val="19"/>
        </w:rPr>
        <w:t xml:space="preserve">Les paramètres cités (seuils, poids, plafonds, scénarios de référence, scénarios climatiques) sont des valeurs candidates du modèle, à valider par le comité de validation. Les cas cités sont fictifs.</w:t>
      </w:r>
    </w:p>
    <w:sectPr>
      <w:footerReference w:type="default" r:id="rId6"/>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7A7A"/>
        <w:sz w:val="18"/>
        <w:szCs w:val="18"/>
      </w:rPr>
      <w:t xml:space="preserve">Risques Groupe · Le volet stress test · page </w:t>
    </w:r>
    <w:r>
      <w:rPr>
        <w:color w:val="7A7A7A"/>
        <w:sz w:val="18"/>
        <w:szCs w:val="18"/>
      </w:rPr>
      <w:fldChar w:fldCharType="begin"/>
    </w:r>
    <w:r>
      <w:rPr>
        <w:color w:val="7A7A7A"/>
        <w:sz w:val="18"/>
        <w:szCs w:val="18"/>
      </w:rPr>
      <w:instrText xml:space="preserve">PAGE</w:instrText>
    </w:r>
    <w:r>
      <w:rPr>
        <w:color w:val="7A7A7A"/>
        <w:sz w:val="18"/>
        <w:szCs w:val="18"/>
      </w:rPr>
      <w:fldChar w:fldCharType="separate"/>
    </w:r>
    <w:r>
      <w:rPr>
        <w:color w:val="7A7A7A"/>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rPr>
        <w:color w:val="E8790F"/>
      </w:rPr>
    </w:lvl>
  </w:abstractNum>
  <w:abstractNum w:abstractNumId="3" w15:restartNumberingAfterBreak="0">
    <w:multiLevelType w:val="hybridMultilevel"/>
    <w:lvl w:ilvl="0" w:tentative="1">
      <w:start w:val="1"/>
      <w:numFmt w:val="decimal"/>
      <w:lvlText w:val="%1."/>
      <w:lvlJc w:val="left"/>
      <w:pPr>
        <w:ind w:left="500" w:hanging="320"/>
      </w:pPr>
      <w:rPr>
        <w:b/>
        <w:bCs/>
        <w:color w:val="E8790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next w:val="Normal"/>
    <w:qFormat/>
    <w:pPr>
      <w:spacing w:after="80"/>
    </w:pPr>
    <w:rPr>
      <w:rFonts w:ascii="Calibri" w:cs="Calibri" w:eastAsia="Calibri" w:hAnsi="Calibri"/>
      <w:b/>
      <w:bCs/>
      <w:color w:val="E8790F"/>
      <w:sz w:val="44"/>
      <w:szCs w:val="44"/>
    </w:rPr>
  </w:style>
  <w:style w:type="paragraph" w:styleId="Heading1">
    <w:name w:val="Heading 1"/>
    <w:basedOn w:val="Normal"/>
    <w:next w:val="Normal"/>
    <w:qFormat/>
    <w:pPr>
      <w:keepNext/>
      <w:spacing w:after="120" w:before="320"/>
      <w:outlineLvl w:val="0"/>
    </w:pPr>
    <w:rPr>
      <w:rFonts w:ascii="Calibri" w:cs="Calibri" w:eastAsia="Calibri" w:hAnsi="Calibri"/>
      <w:b/>
      <w:bCs/>
      <w:color w:val="E8790F"/>
      <w:sz w:val="30"/>
      <w:szCs w:val="30"/>
    </w:rPr>
  </w:style>
  <w:style w:type="paragraph" w:styleId="Heading2">
    <w:name w:val="Heading 2"/>
    <w:basedOn w:val="Normal"/>
    <w:next w:val="Normal"/>
    <w:qFormat/>
    <w:pPr>
      <w:keepNext/>
      <w:spacing w:after="80" w:before="200"/>
      <w:outlineLvl w:val="1"/>
    </w:pPr>
    <w:rPr>
      <w:rFonts w:ascii="Calibri" w:cs="Calibri" w:eastAsia="Calibri" w:hAnsi="Calibri"/>
      <w:b/>
      <w:bCs/>
      <w:color w:val="5A3A1E"/>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volet stress test du modèle de scoring Project Finance</dc:title>
  <dc:creator>Risques Groupe</dc:creator>
  <cp:lastModifiedBy>Un-named</cp:lastModifiedBy>
  <cp:revision>1</cp:revision>
  <dcterms:created xsi:type="dcterms:W3CDTF">2026-10-27T11:56:52.664Z</dcterms:created>
  <dcterms:modified xsi:type="dcterms:W3CDTF">2026-10-27T11:56:52.664Z</dcterms:modified>
</cp:coreProperties>
</file>

<file path=docProps/custom.xml><?xml version="1.0" encoding="utf-8"?>
<Properties xmlns="http://schemas.openxmlformats.org/officeDocument/2006/custom-properties" xmlns:vt="http://schemas.openxmlformats.org/officeDocument/2006/docPropsVTypes"/>
</file>