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8790F"/>
          <w:sz w:val="20"/>
          <w:szCs w:val="20"/>
        </w:rPr>
        <w:t xml:space="preserve">Modèle de scoring Project Finance · Risques Groupe</w:t>
      </w:r>
    </w:p>
    <w:p>
      <w:pPr>
        <w:pStyle w:val="Title"/>
      </w:pPr>
      <w:r>
        <w:t xml:space="preserve">Volet climatique : diagnostic et proposition d’amélioration</w:t>
      </w:r>
    </w:p>
    <w:p>
      <w:pPr>
        <w:spacing w:after="140" w:line="300"/>
      </w:pPr>
      <w:r>
        <w:rPr>
          <w:i/>
          <w:iCs/>
          <w:color w:val="7A7A7A"/>
        </w:rPr>
        <w:t xml:space="preserve">Document de travail, à valider avant toute modification de l’outil. Les paramètres proposés sont des valeurs candidates.</w:t>
      </w:r>
    </w:p>
    <w:p>
      <w:pPr>
        <w:pBdr>
          <w:left w:val="single" w:color="E8790F" w:sz="18" w:space="8"/>
        </w:pBdr>
        <w:shd w:fill="FDEBD3" w:color="auto" w:val="clear"/>
        <w:spacing w:after="200" w:before="120" w:line="300"/>
        <w:ind w:left="160" w:right="160"/>
      </w:pPr>
      <w:r>
        <w:rPr>
          <w:b/>
          <w:bCs/>
          <w:color w:val="5A3A1E"/>
        </w:rPr>
        <w:t xml:space="preserve">En résumé</w:t>
      </w:r>
      <w:r>
        <w:br/>
        <w:t xml:space="preserve"/>
      </w:r>
      <w:r>
        <w:t xml:space="preserve">Aujourd’hui, le climat tient en une case Oui/Non (« site à risque climatique élevé »), un sous-critère générique (D9.4) qui pèse environ 1 % du score, et un plafond (C11, note max. 6). Le risque de transition n’est pas mesuré, aucun scénario climatique n’entre dans le stress test, et les données exigées des grands emprunteurs par la directive 2/W/2025 ne sont pas collectées.</w:t>
      </w:r>
      <w:r>
        <w:br/>
        <w:t xml:space="preserve"/>
      </w:r>
      <w:r>
        <w:t xml:space="preserve">Nous proposons sept améliorations en deux lots : un premier lot sans effet sur la note (fiche climat structurée, données 2/W/2025, IA, scénario climatique informatif), puis un second lot qui modifie la note, à soumettre au comité de validation du modèle.</w:t>
      </w:r>
    </w:p>
    <w:p>
      <w:pPr>
        <w:pStyle w:val="Heading1"/>
      </w:pPr>
      <w:r>
        <w:t xml:space="preserve">1. Ce que fait le modèle aujourd’hui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09"/>
        <w:gridCol w:w="2275"/>
        <w:gridCol w:w="3722"/>
      </w:tblGrid>
      <w:tr>
        <w:trPr>
          <w:tblHeader/>
        </w:trPr>
        <w:tc>
          <w:tcPr>
            <w:tcW w:type="dxa" w:w="3309"/>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r>
              <w:rPr>
                <w:b/>
                <w:bCs/>
                <w:color w:val="FFFFFF"/>
                <w:sz w:val="19"/>
                <w:szCs w:val="19"/>
              </w:rPr>
              <w:t xml:space="preserve">Élément</w:t>
            </w:r>
          </w:p>
        </w:tc>
        <w:tc>
          <w:tcPr>
            <w:tcW w:type="dxa" w:w="2275"/>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r>
              <w:rPr>
                <w:b/>
                <w:bCs/>
                <w:color w:val="FFFFFF"/>
                <w:sz w:val="19"/>
                <w:szCs w:val="19"/>
              </w:rPr>
              <w:t xml:space="preserve">Où</w:t>
            </w:r>
          </w:p>
        </w:tc>
        <w:tc>
          <w:tcPr>
            <w:tcW w:type="dxa" w:w="3722"/>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r>
              <w:rPr>
                <w:b/>
                <w:bCs/>
                <w:color w:val="FFFFFF"/>
                <w:sz w:val="19"/>
                <w:szCs w:val="19"/>
              </w:rPr>
              <w:t xml:space="preserve">Effet</w:t>
            </w:r>
          </w:p>
        </w:tc>
      </w:tr>
      <w:tr>
        <w:trPr>
          <w:cantSplit/>
        </w:trPr>
        <w:tc>
          <w:tcPr>
            <w:tcW w:type="dxa" w:w="330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 Site à risque climatique physique élevé ? » (Oui/Non)</w:t>
            </w:r>
          </w:p>
        </w:tc>
        <w:tc>
          <w:tcPr>
            <w:tcW w:type="dxa" w:w="227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Bloc 2, proportionnalité</w:t>
            </w:r>
          </w:p>
        </w:tc>
        <w:tc>
          <w:tcPr>
            <w:tcW w:type="dxa" w:w="372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Oui = passage en analyse approfondie (régime L) et déclenchement possible de C11</w:t>
            </w:r>
          </w:p>
        </w:tc>
      </w:tr>
      <w:tr>
        <w:trPr>
          <w:cantSplit/>
        </w:trPr>
        <w:tc>
          <w:tcPr>
            <w:tcW w:type="dxa" w:w="330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 Plan d’adaptation climatique financé ? » (Oui/Non)</w:t>
            </w:r>
          </w:p>
        </w:tc>
        <w:tc>
          <w:tcPr>
            <w:tcW w:type="dxa" w:w="227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Bloc 7, données des plafonds</w:t>
            </w:r>
          </w:p>
        </w:tc>
        <w:tc>
          <w:tcPr>
            <w:tcW w:type="dxa" w:w="372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Si site élevé et pas de plan : plafond C11</w:t>
            </w:r>
          </w:p>
        </w:tc>
      </w:tr>
      <w:tr>
        <w:trPr>
          <w:cantSplit/>
        </w:trPr>
        <w:tc>
          <w:tcPr>
            <w:tcW w:type="dxa" w:w="330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Plafond C11</w:t>
            </w:r>
          </w:p>
        </w:tc>
        <w:tc>
          <w:tcPr>
            <w:tcW w:type="dxa" w:w="227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Bloc 11</w:t>
            </w:r>
          </w:p>
        </w:tc>
        <w:tc>
          <w:tcPr>
            <w:tcW w:type="dxa" w:w="372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Note approuvée limitée à 6</w:t>
            </w:r>
          </w:p>
        </w:tc>
      </w:tr>
      <w:tr>
        <w:trPr>
          <w:cantSplit/>
        </w:trPr>
        <w:tc>
          <w:tcPr>
            <w:tcW w:type="dxa" w:w="330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D9.4 « Climat résiduel » (4 situations)</w:t>
            </w:r>
          </w:p>
        </w:tc>
        <w:tc>
          <w:tcPr>
            <w:tcW w:type="dxa" w:w="227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Bloc 8, grille</w:t>
            </w:r>
          </w:p>
        </w:tc>
        <w:tc>
          <w:tcPr>
            <w:tcW w:type="dxa" w:w="372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25 % de D9, qui pèse 5 % du score : environ 1,25 % du score</w:t>
            </w:r>
          </w:p>
        </w:tc>
      </w:tr>
      <w:tr>
        <w:trPr>
          <w:cantSplit/>
        </w:trPr>
        <w:tc>
          <w:tcPr>
            <w:tcW w:type="dxa" w:w="3309"/>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Scénario défavorable du stress test</w:t>
            </w:r>
          </w:p>
        </w:tc>
        <w:tc>
          <w:tcPr>
            <w:tcW w:type="dxa" w:w="227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Bloc 6</w:t>
            </w:r>
          </w:p>
        </w:tc>
        <w:tc>
          <w:tcPr>
            <w:tcW w:type="dxa" w:w="372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Uniquement financier ; aucun scénario climatique demandé</w:t>
            </w:r>
          </w:p>
        </w:tc>
      </w:tr>
    </w:tbl>
    <w:p>
      <w:pPr>
        <w:spacing w:after="120"/>
      </w:pPr>
    </w:p>
    <w:p>
      <w:pPr>
        <w:pStyle w:val="Heading1"/>
      </w:pPr>
      <w:r>
        <w:t xml:space="preserve">2. Constats</w:t>
      </w:r>
    </w:p>
    <w:p>
      <w:pPr>
        <w:pStyle w:val="Heading2"/>
      </w:pPr>
      <w:r>
        <w:t xml:space="preserve">2.1 Un jugement binaire, sans méthode</w:t>
      </w:r>
    </w:p>
    <w:p>
      <w:pPr>
        <w:spacing w:after="140" w:line="300"/>
      </w:pPr>
      <w:r>
        <w:t xml:space="preserve">La case Oui/Non ne dit ni quel aléa est en cause (chaleur, sécheresse, inondation, submersion marine…), ni sur quelle source l’analyste s’appuie, ni ce qui distingue « élevé » de « moyen ». Deux analystes peuvent répondre différemment sur le même site, ce qui contredit l’objectif de reproductibilité du modèle.</w:t>
      </w:r>
    </w:p>
    <w:p>
      <w:pPr>
        <w:pBdr>
          <w:left w:val="single" w:color="E8790F" w:sz="18" w:space="8"/>
        </w:pBdr>
        <w:shd w:fill="FDEBD3" w:color="auto" w:val="clear"/>
        <w:spacing w:after="200" w:before="120" w:line="300"/>
        <w:ind w:left="160" w:right="160"/>
      </w:pPr>
      <w:r>
        <w:rPr>
          <w:b/>
          <w:bCs/>
          <w:color w:val="5A3A1E"/>
        </w:rPr>
        <w:t xml:space="preserve">Illustration dans les cas de test</w:t>
      </w:r>
      <w:r>
        <w:br/>
        <w:t xml:space="preserve"/>
      </w:r>
      <w:r>
        <w:t xml:space="preserve">Les deux dossiers agro-industriels (trituration d’olives) sont stressés sur une récolte en recul de 20 à 25 % pour cause de sécheresse… mais leur site est déclaré « non exposé » au risque climatique. La sécheresse est donc traitée comme un risque financier, pas comme un risque climatique : C11 ne peut pas se déclencher et le dossier n’est pas orienté vers l’analyse approfondie.</w:t>
      </w:r>
    </w:p>
    <w:p>
      <w:pPr>
        <w:pStyle w:val="Heading2"/>
      </w:pPr>
      <w:r>
        <w:t xml:space="preserve">2.2 Le risque de transition est absent</w:t>
      </w:r>
    </w:p>
    <w:p>
      <w:pPr>
        <w:spacing w:after="140" w:line="300"/>
      </w:pPr>
      <w:r>
        <w:t xml:space="preserve">Rien ne mesure l’exposition du projet aux politiques climatiques : émissions de gaz à effet de serre, prix du carbone, mécanisme d’ajustement carbone aux frontières de l’Union européenne (MACF, ou CBAM) pour les exportations de ciment, acier, aluminium, engrais, hydrogène ou électricité, risque d’actif échoué pour une centrale thermique au gaz financée sur 15 à 20 ans. La centrale à cycle combiné de 450 MW des cas de test n’a ainsi aucun signal de transition.</w:t>
      </w:r>
    </w:p>
    <w:p>
      <w:pPr>
        <w:pStyle w:val="Heading2"/>
      </w:pPr>
      <w:r>
        <w:t xml:space="preserve">2.3 Un poids marginal, un plafond grossier</w:t>
      </w:r>
    </w:p>
    <w:p>
      <w:pPr>
        <w:spacing w:after="140" w:line="300"/>
      </w:pPr>
      <w:r>
        <w:t xml:space="preserve">D9.4 pèse environ 1,25 % du score : passer de « très favorable » à « critique » coûte au plus 1 point. Le seul levier réel est le plafond C11, qui fonctionne en tout ou rien et ne distingue pas un site très exposé et non protégé d’un site moyennement exposé.</w:t>
      </w:r>
    </w:p>
    <w:p>
      <w:pPr>
        <w:pStyle w:val="Heading2"/>
      </w:pPr>
      <w:r>
        <w:t xml:space="preserve">2.4 Le stress test ignore le climat</w:t>
      </w:r>
    </w:p>
    <w:p>
      <w:pPr>
        <w:spacing w:after="140" w:line="300"/>
      </w:pPr>
      <w:r>
        <w:t xml:space="preserve">Le scénario défavorable vise le risque principal du projet, en général financier ou commercial. Il n’est pas demandé de tester un aléa climatique plausible (canicule, sécheresse pluriannuelle, crue), alors que l’étude exploratoire de Bank Al-Maghrib et de la Banque mondiale (2024) a précisément testé les portefeuilles bancaires sous des scénarios de sécheresse, d’inondation et de taxe carbone.</w:t>
      </w:r>
    </w:p>
    <w:p>
      <w:pPr>
        <w:pStyle w:val="Heading2"/>
      </w:pPr>
      <w:r>
        <w:t xml:space="preserve">2.5 Les données exigées des grands emprunteurs ne sont pas collectées</w:t>
      </w:r>
    </w:p>
    <w:p>
      <w:pPr>
        <w:spacing w:after="140" w:line="300"/>
      </w:pPr>
      <w:r>
        <w:t xml:space="preserve">La directive 2/W/2025 demande aux banques de collecter auprès des grands emprunteurs des données qualitatives et quantitatives sur leurs risques physiques et de transition. Une société de projet financée en project finance entre typiquement dans ce périmètre ; l’outil devrait être le point de collecte de ces données, au moment de l’octroi.</w:t>
      </w:r>
    </w:p>
    <w:p>
      <w:pPr>
        <w:pStyle w:val="Heading2"/>
      </w:pPr>
      <w:r>
        <w:t xml:space="preserve">2.6 L’IA n’a pas de consigne climatique</w:t>
      </w:r>
    </w:p>
    <w:p>
      <w:pPr>
        <w:spacing w:after="140" w:line="300"/>
      </w:pPr>
      <w:r>
        <w:t xml:space="preserve">Les études d’impact environnemental et social, les rapports des conseillers techniques et les études de productible contiennent souvent l’analyse des aléas et les émissions du projet, mais l’IA n’a pas de champ dédié pour les en extraire.</w:t>
      </w:r>
    </w:p>
    <w:p>
      <w:pPr>
        <w:pStyle w:val="Heading1"/>
      </w:pPr>
      <w:r>
        <w:t xml:space="preserve">3. Cadre de référence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343"/>
        <w:gridCol w:w="4963"/>
      </w:tblGrid>
      <w:tr>
        <w:trPr>
          <w:tblHeader/>
        </w:trPr>
        <w:tc>
          <w:tcPr>
            <w:tcW w:type="dxa" w:w="4343"/>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r>
              <w:rPr>
                <w:b/>
                <w:bCs/>
                <w:color w:val="FFFFFF"/>
                <w:sz w:val="19"/>
                <w:szCs w:val="19"/>
              </w:rPr>
              <w:t xml:space="preserve">Texte</w:t>
            </w:r>
          </w:p>
        </w:tc>
        <w:tc>
          <w:tcPr>
            <w:tcW w:type="dxa" w:w="4963"/>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r>
              <w:rPr>
                <w:b/>
                <w:bCs/>
                <w:color w:val="FFFFFF"/>
                <w:sz w:val="19"/>
                <w:szCs w:val="19"/>
              </w:rPr>
              <w:t xml:space="preserve">Ce qu’il implique pour le scoring</w:t>
            </w:r>
          </w:p>
        </w:tc>
      </w:tr>
      <w:tr>
        <w:trPr>
          <w:cantSplit/>
        </w:trPr>
        <w:tc>
          <w:tcPr>
            <w:tcW w:type="dxa" w:w="434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BAM — directive 5/W/2021 (gestion des risques financiers liés au climat et à l’environnement)</w:t>
            </w:r>
          </w:p>
        </w:tc>
        <w:tc>
          <w:tcPr>
            <w:tcW w:type="dxa" w:w="496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Identifier, mesurer et suivre les risques climatiques dans l’octroi ; gouvernance dédiée</w:t>
            </w:r>
          </w:p>
        </w:tc>
      </w:tr>
      <w:tr>
        <w:trPr>
          <w:cantSplit/>
        </w:trPr>
        <w:tc>
          <w:tcPr>
            <w:tcW w:type="dxa" w:w="434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BAM — directive 1/W/2025 (transparence)</w:t>
            </w:r>
          </w:p>
        </w:tc>
        <w:tc>
          <w:tcPr>
            <w:tcW w:type="dxa" w:w="496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Publication de l’approche climat et de données chiffrées, dont la part des actifs exposés</w:t>
            </w:r>
          </w:p>
        </w:tc>
      </w:tr>
      <w:tr>
        <w:trPr>
          <w:cantSplit/>
        </w:trPr>
        <w:tc>
          <w:tcPr>
            <w:tcW w:type="dxa" w:w="434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BAM — directive 2/W/2025 (grands emprunteurs)</w:t>
            </w:r>
          </w:p>
        </w:tc>
        <w:tc>
          <w:tcPr>
            <w:tcW w:type="dxa" w:w="496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Collecte de données qualitatives et quantitatives sur les risques physiques et de transition ; mise en conformité sur 24 mois</w:t>
            </w:r>
          </w:p>
        </w:tc>
      </w:tr>
      <w:tr>
        <w:trPr>
          <w:cantSplit/>
        </w:trPr>
        <w:tc>
          <w:tcPr>
            <w:tcW w:type="dxa" w:w="434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BAM et Banque mondiale — étude exploratoire (2024)</w:t>
            </w:r>
          </w:p>
        </w:tc>
        <w:tc>
          <w:tcPr>
            <w:tcW w:type="dxa" w:w="496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Scénarios de sécheresse, d’inondation et de taxe carbone appliqués aux portefeuilles</w:t>
            </w:r>
          </w:p>
        </w:tc>
      </w:tr>
      <w:tr>
        <w:trPr>
          <w:cantSplit/>
        </w:trPr>
        <w:tc>
          <w:tcPr>
            <w:tcW w:type="dxa" w:w="434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Comité de Bâle — principes de gestion des risques financiers liés au climat (2022)</w:t>
            </w:r>
          </w:p>
        </w:tc>
        <w:tc>
          <w:tcPr>
            <w:tcW w:type="dxa" w:w="496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Intégrer le climat dans l’octroi, les limites et les tests de résistance</w:t>
            </w:r>
          </w:p>
        </w:tc>
      </w:tr>
      <w:tr>
        <w:trPr>
          <w:cantSplit/>
        </w:trPr>
        <w:tc>
          <w:tcPr>
            <w:tcW w:type="dxa" w:w="434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SFI — normes de performance 1 et 3 ; BERD — exigences 1 et 3</w:t>
            </w:r>
          </w:p>
        </w:tc>
        <w:tc>
          <w:tcPr>
            <w:tcW w:type="dxa" w:w="496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Évaluation des risques climatiques ; quantification des émissions au-delà de 25 000 tCO₂e par an (SFI)</w:t>
            </w:r>
          </w:p>
        </w:tc>
      </w:tr>
      <w:tr>
        <w:trPr>
          <w:cantSplit/>
        </w:trPr>
        <w:tc>
          <w:tcPr>
            <w:tcW w:type="dxa" w:w="434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Principes de l’Équateur (EP4)</w:t>
            </w:r>
          </w:p>
        </w:tc>
        <w:tc>
          <w:tcPr>
            <w:tcW w:type="dxa" w:w="496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Évaluation des risques climatiques physiques et de transition ; analyse des alternatives au-delà de 100 000 tCO₂e par an</w:t>
            </w:r>
          </w:p>
        </w:tc>
      </w:tr>
      <w:tr>
        <w:trPr>
          <w:cantSplit/>
        </w:trPr>
        <w:tc>
          <w:tcPr>
            <w:tcW w:type="dxa" w:w="434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Union européenne — MACF (CBAM)</w:t>
            </w:r>
          </w:p>
        </w:tc>
        <w:tc>
          <w:tcPr>
            <w:tcW w:type="dxa" w:w="496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Phase définitive depuis le 1er janvier 2026 : coût carbone sur certaines importations européennes</w:t>
            </w:r>
          </w:p>
        </w:tc>
      </w:tr>
    </w:tbl>
    <w:p>
      <w:pPr>
        <w:spacing w:after="120"/>
      </w:pPr>
    </w:p>
    <w:p>
      <w:pPr>
        <w:spacing w:after="140" w:line="300"/>
      </w:pPr>
      <w:r>
        <w:rPr>
          <w:i/>
          <w:iCs/>
          <w:color w:val="7A7A7A"/>
          <w:sz w:val="19"/>
          <w:szCs w:val="19"/>
        </w:rPr>
        <w:t xml:space="preserve">Références issues de la presse spécialisée et des textes publics ; à confirmer sur les versions officielles (bkam.ma) avant validation.</w:t>
      </w:r>
    </w:p>
    <w:p>
      <w:pPr>
        <w:pStyle w:val="Heading1"/>
      </w:pPr>
      <w:r>
        <w:t xml:space="preserve">4. Propositions</w:t>
      </w:r>
    </w:p>
    <w:p>
      <w:pPr>
        <w:pStyle w:val="Heading2"/>
      </w:pPr>
      <w:r>
        <w:t xml:space="preserve">P1 · Une fiche « risques physiques » structurée par aléa</w:t>
      </w:r>
    </w:p>
    <w:p>
      <w:pPr>
        <w:spacing w:after="140" w:line="300"/>
      </w:pPr>
      <w:r>
        <w:t xml:space="preserve">Remplacer la case Oui/Non par une fiche courte : pour chacun des six aléas, le niveau d’exposition du site (faible, moyen, élevé), la source, et l’existence de mesures d’adaptation financées.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88"/>
        <w:gridCol w:w="3722"/>
        <w:gridCol w:w="2896"/>
      </w:tblGrid>
      <w:tr>
        <w:trPr>
          <w:tblHeader/>
        </w:trPr>
        <w:tc>
          <w:tcPr>
            <w:tcW w:type="dxa" w:w="2688"/>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r>
              <w:rPr>
                <w:b/>
                <w:bCs/>
                <w:color w:val="FFFFFF"/>
                <w:sz w:val="19"/>
                <w:szCs w:val="19"/>
              </w:rPr>
              <w:t xml:space="preserve">Aléa</w:t>
            </w:r>
          </w:p>
        </w:tc>
        <w:tc>
          <w:tcPr>
            <w:tcW w:type="dxa" w:w="3722"/>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r>
              <w:rPr>
                <w:b/>
                <w:bCs/>
                <w:color w:val="FFFFFF"/>
                <w:sz w:val="19"/>
                <w:szCs w:val="19"/>
              </w:rPr>
              <w:t xml:space="preserve">Exemples d’effets</w:t>
            </w:r>
          </w:p>
        </w:tc>
        <w:tc>
          <w:tcPr>
            <w:tcW w:type="dxa" w:w="2896"/>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r>
              <w:rPr>
                <w:b/>
                <w:bCs/>
                <w:color w:val="FFFFFF"/>
                <w:sz w:val="19"/>
                <w:szCs w:val="19"/>
              </w:rPr>
              <w:t xml:space="preserve">Secteurs les plus concernés</w:t>
            </w:r>
          </w:p>
        </w:tc>
      </w:tr>
      <w:tr>
        <w:trPr>
          <w:cantSplit/>
        </w:trPr>
        <w:tc>
          <w:tcPr>
            <w:tcW w:type="dxa" w:w="2688"/>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Chaleur extrême</w:t>
            </w:r>
          </w:p>
        </w:tc>
        <w:tc>
          <w:tcPr>
            <w:tcW w:type="dxa" w:w="372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Baisse de rendement des panneaux et des turbines, refroidissement, fréquentation</w:t>
            </w:r>
          </w:p>
        </w:tc>
        <w:tc>
          <w:tcPr>
            <w:tcW w:type="dxa" w:w="2896"/>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ENR, ETH, TEL (centres de données), TOU</w:t>
            </w:r>
          </w:p>
        </w:tc>
      </w:tr>
      <w:tr>
        <w:trPr>
          <w:cantSplit/>
        </w:trPr>
        <w:tc>
          <w:tcPr>
            <w:tcW w:type="dxa" w:w="2688"/>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Stress hydrique et sécheresse</w:t>
            </w:r>
          </w:p>
        </w:tc>
        <w:tc>
          <w:tcPr>
            <w:tcW w:type="dxa" w:w="372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Récoltes, eau de process, refroidissement</w:t>
            </w:r>
          </w:p>
        </w:tc>
        <w:tc>
          <w:tcPr>
            <w:tcW w:type="dxa" w:w="2896"/>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AGR, IND, ETH, MIN, TOU</w:t>
            </w:r>
          </w:p>
        </w:tc>
      </w:tr>
      <w:tr>
        <w:trPr>
          <w:cantSplit/>
        </w:trPr>
        <w:tc>
          <w:tcPr>
            <w:tcW w:type="dxa" w:w="2688"/>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Inondation et crue</w:t>
            </w:r>
          </w:p>
        </w:tc>
        <w:tc>
          <w:tcPr>
            <w:tcW w:type="dxa" w:w="372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Dommages, arrêt d’exploitation, accès coupé</w:t>
            </w:r>
          </w:p>
        </w:tc>
        <w:tc>
          <w:tcPr>
            <w:tcW w:type="dxa" w:w="2896"/>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TRA, IMMO-REND, IND, SAN</w:t>
            </w:r>
          </w:p>
        </w:tc>
      </w:tr>
      <w:tr>
        <w:trPr>
          <w:cantSplit/>
        </w:trPr>
        <w:tc>
          <w:tcPr>
            <w:tcW w:type="dxa" w:w="2688"/>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Submersion marine et élévation du niveau de la mer</w:t>
            </w:r>
          </w:p>
        </w:tc>
        <w:tc>
          <w:tcPr>
            <w:tcW w:type="dxa" w:w="372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Prises d’eau, quais, installations côtières</w:t>
            </w:r>
          </w:p>
        </w:tc>
        <w:tc>
          <w:tcPr>
            <w:tcW w:type="dxa" w:w="2896"/>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EAU (dessalement), POR, TOU</w:t>
            </w:r>
          </w:p>
        </w:tc>
      </w:tr>
      <w:tr>
        <w:trPr>
          <w:cantSplit/>
        </w:trPr>
        <w:tc>
          <w:tcPr>
            <w:tcW w:type="dxa" w:w="2688"/>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Feux de forêt</w:t>
            </w:r>
          </w:p>
        </w:tc>
        <w:tc>
          <w:tcPr>
            <w:tcW w:type="dxa" w:w="372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Dommages, coupures de réseau</w:t>
            </w:r>
          </w:p>
        </w:tc>
        <w:tc>
          <w:tcPr>
            <w:tcW w:type="dxa" w:w="2896"/>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ENR, TOU, TRA</w:t>
            </w:r>
          </w:p>
        </w:tc>
      </w:tr>
      <w:tr>
        <w:trPr>
          <w:cantSplit/>
        </w:trPr>
        <w:tc>
          <w:tcPr>
            <w:tcW w:type="dxa" w:w="2688"/>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Tempêtes, vents violents, vents de sable</w:t>
            </w:r>
          </w:p>
        </w:tc>
        <w:tc>
          <w:tcPr>
            <w:tcW w:type="dxa" w:w="3722"/>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Dommages, encrassement des panneaux</w:t>
            </w:r>
          </w:p>
        </w:tc>
        <w:tc>
          <w:tcPr>
            <w:tcW w:type="dxa" w:w="2896"/>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ENR, POR</w:t>
            </w:r>
          </w:p>
        </w:tc>
      </w:tr>
    </w:tbl>
    <w:p>
      <w:pPr>
        <w:spacing w:after="120"/>
      </w:pPr>
    </w:p>
    <w:p>
      <w:pPr>
        <w:spacing w:after="140" w:line="300"/>
      </w:pPr>
      <w:r>
        <w:t xml:space="preserve">Les aléas pertinents sont pré-sélectionnés selon le secteur. Sources admises : étude climat ou étude d’impact du projet, rapport du conseiller technique des prêteurs, cartes d’aléas publiques (Direction générale de la météorologie, ThinkHazard de la Banque mondiale, Copernicus). Le niveau « site à risque élevé » n’est plus déclaré : il se déduit (au moins un aléa pertinent élevé).</w:t>
      </w:r>
    </w:p>
    <w:p>
      <w:pPr>
        <w:pStyle w:val="Heading2"/>
      </w:pPr>
      <w:r>
        <w:t xml:space="preserve">P2 · Une mesure du risque de transition</w:t>
      </w:r>
    </w:p>
    <w:p>
      <w:pPr>
        <w:pStyle w:val="ListParagraph"/>
        <w:numPr>
          <w:ilvl w:val="0"/>
          <w:numId w:val="2"/>
        </w:numPr>
        <w:spacing w:after="70" w:line="290"/>
      </w:pPr>
      <w:r>
        <w:rPr>
          <w:b/>
          <w:bCs/>
        </w:rPr>
        <w:t xml:space="preserve">Émissions annuelles du projet </w:t>
      </w:r>
      <w:r>
        <w:t xml:space="preserve">(scopes 1 et 2, en tCO₂e), avec les repères des bailleurs : 25 000 t (quantification SFI) et 100 000 t (analyse des alternatives, EP4).</w:t>
      </w:r>
    </w:p>
    <w:p>
      <w:pPr>
        <w:pStyle w:val="ListParagraph"/>
        <w:numPr>
          <w:ilvl w:val="0"/>
          <w:numId w:val="2"/>
        </w:numPr>
        <w:spacing w:after="70" w:line="290"/>
      </w:pPr>
      <w:r>
        <w:rPr>
          <w:b/>
          <w:bCs/>
        </w:rPr>
        <w:t xml:space="preserve">Exposition au MACF </w:t>
      </w:r>
      <w:r>
        <w:t xml:space="preserve">: part du chiffre d’affaires exportée vers l’Union européenne en produits couverts.</w:t>
      </w:r>
    </w:p>
    <w:p>
      <w:pPr>
        <w:pStyle w:val="ListParagraph"/>
        <w:numPr>
          <w:ilvl w:val="0"/>
          <w:numId w:val="2"/>
        </w:numPr>
        <w:spacing w:after="70" w:line="290"/>
      </w:pPr>
      <w:r>
        <w:rPr>
          <w:b/>
          <w:bCs/>
        </w:rPr>
        <w:t xml:space="preserve">Risque d’actif échoué </w:t>
      </w:r>
      <w:r>
        <w:t xml:space="preserve">: actif fossile dont la dette va au-delà d’un horizon de sortie plausible, sans plan de transition.</w:t>
      </w:r>
    </w:p>
    <w:p>
      <w:pPr>
        <w:pStyle w:val="ListParagraph"/>
        <w:numPr>
          <w:ilvl w:val="0"/>
          <w:numId w:val="2"/>
        </w:numPr>
        <w:spacing w:after="70" w:line="290"/>
      </w:pPr>
      <w:r>
        <w:rPr>
          <w:b/>
          <w:bCs/>
        </w:rPr>
        <w:t xml:space="preserve">Plan de transition </w:t>
      </w:r>
      <w:r>
        <w:t xml:space="preserve">crédible et financé (oui/non).</w:t>
      </w:r>
    </w:p>
    <w:p>
      <w:pPr>
        <w:pStyle w:val="Heading2"/>
      </w:pPr>
      <w:r>
        <w:t xml:space="preserve">P3 · Une grille climat plus lisible</w:t>
      </w:r>
    </w:p>
    <w:p>
      <w:pPr>
        <w:spacing w:after="140" w:line="300"/>
      </w:pPr>
      <w:r>
        <w:t xml:space="preserve">Scinder D9.4 en deux sous-critères décrits par situation : D9.4 « Risques physiques résiduels » et D9.5 « Risque de transition ». Pondération proposée au sein de D9 : environnement 25 %, social 25 %, gouvernance ESG 10 %, physique 25 %, transition 15 %. Le poids de D9 dans le score (5 %) ne change pas : la note reste avant tout une note de crédit.</w:t>
      </w:r>
    </w:p>
    <w:p>
      <w:pPr>
        <w:pStyle w:val="Heading2"/>
      </w:pPr>
      <w:r>
        <w:t xml:space="preserve">P4 · Des plafonds gradués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58"/>
        <w:gridCol w:w="5997"/>
        <w:gridCol w:w="1551"/>
      </w:tblGrid>
      <w:tr>
        <w:trPr>
          <w:tblHeader/>
        </w:trPr>
        <w:tc>
          <w:tcPr>
            <w:tcW w:type="dxa" w:w="1758"/>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r>
              <w:rPr>
                <w:b/>
                <w:bCs/>
                <w:color w:val="FFFFFF"/>
                <w:sz w:val="19"/>
                <w:szCs w:val="19"/>
              </w:rPr>
              <w:t xml:space="preserve">Plafond</w:t>
            </w:r>
          </w:p>
        </w:tc>
        <w:tc>
          <w:tcPr>
            <w:tcW w:type="dxa" w:w="5997"/>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r>
              <w:rPr>
                <w:b/>
                <w:bCs/>
                <w:color w:val="FFFFFF"/>
                <w:sz w:val="19"/>
                <w:szCs w:val="19"/>
              </w:rPr>
              <w:t xml:space="preserve">Fait générateur</w:t>
            </w:r>
          </w:p>
        </w:tc>
        <w:tc>
          <w:tcPr>
            <w:tcW w:type="dxa" w:w="1551"/>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r>
              <w:rPr>
                <w:b/>
                <w:bCs/>
                <w:color w:val="FFFFFF"/>
                <w:sz w:val="19"/>
                <w:szCs w:val="19"/>
              </w:rPr>
              <w:t xml:space="preserve">Note max.</w:t>
            </w:r>
          </w:p>
        </w:tc>
      </w:tr>
      <w:tr>
        <w:trPr>
          <w:cantSplit/>
        </w:trPr>
        <w:tc>
          <w:tcPr>
            <w:tcW w:type="dxa" w:w="1758"/>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C11 (révisé)</w:t>
            </w:r>
          </w:p>
        </w:tc>
        <w:tc>
          <w:tcPr>
            <w:tcW w:type="dxa" w:w="5997"/>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Au moins un aléa pertinent élevé sans adaptation financée</w:t>
            </w:r>
          </w:p>
        </w:tc>
        <w:tc>
          <w:tcPr>
            <w:tcW w:type="dxa" w:w="1551"/>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6 (inchangé)</w:t>
            </w:r>
          </w:p>
        </w:tc>
      </w:tr>
      <w:tr>
        <w:trPr>
          <w:cantSplit/>
        </w:trPr>
        <w:tc>
          <w:tcPr>
            <w:tcW w:type="dxa" w:w="1758"/>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C11 bis (nouveau)</w:t>
            </w:r>
          </w:p>
        </w:tc>
        <w:tc>
          <w:tcPr>
            <w:tcW w:type="dxa" w:w="5997"/>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Au moins deux aléas pertinents élevés sans adaptation, ou un aléa élevé touchant directement la capacité de production (ex. ressource en eau)</w:t>
            </w:r>
          </w:p>
        </w:tc>
        <w:tc>
          <w:tcPr>
            <w:tcW w:type="dxa" w:w="1551"/>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5</w:t>
            </w:r>
          </w:p>
        </w:tc>
      </w:tr>
      <w:tr>
        <w:trPr>
          <w:cantSplit/>
        </w:trPr>
        <w:tc>
          <w:tcPr>
            <w:tcW w:type="dxa" w:w="1758"/>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C16 (nouveau)</w:t>
            </w:r>
          </w:p>
        </w:tc>
        <w:tc>
          <w:tcPr>
            <w:tcW w:type="dxa" w:w="5997"/>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Risque de transition élevé (émissions &gt; 100 000 tCO₂e/an ou MACF significatif ou actif échoué) sans plan de transition crédible</w:t>
            </w:r>
          </w:p>
        </w:tc>
        <w:tc>
          <w:tcPr>
            <w:tcW w:type="dxa" w:w="1551"/>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6</w:t>
            </w:r>
          </w:p>
        </w:tc>
      </w:tr>
    </w:tbl>
    <w:p>
      <w:pPr>
        <w:spacing w:after="120"/>
      </w:pPr>
    </w:p>
    <w:p>
      <w:pPr>
        <w:pStyle w:val="Heading2"/>
      </w:pPr>
      <w:r>
        <w:t xml:space="preserve">P5 · Un scénario climatique dans le stress test</w:t>
      </w:r>
    </w:p>
    <w:p>
      <w:pPr>
        <w:spacing w:after="140" w:line="300"/>
      </w:pPr>
      <w:r>
        <w:t xml:space="preserve">Ajouter à la bibliothèque de scénarios une variante climatique par secteur. Exemples : sécheresse sur deux campagnes consécutives (agro-industrie) ; canicule prolongée réduisant le rendement et la fréquentation (solaire, tourisme) ; indisponibilité d’une prise d’eau de mer après tempête (dessalement) ; prix du carbone appliqué aux émissions (thermique, industrie exportatrice).</w:t>
      </w:r>
    </w:p>
    <w:p>
      <w:pPr>
        <w:spacing w:after="140" w:line="300"/>
      </w:pPr>
      <w:r>
        <w:t xml:space="preserve">Deux options : (a) le scénario climatique est calculé et affiché, sans effet sur la note ; (b) quand un aléa pertinent est élevé, le DSCR stressé retenu pour N2 est le plus bas des deux scénarios, financier et climatique. Nous recommandons (a) au premier lot, puis (b) après calibrage.</w:t>
      </w:r>
    </w:p>
    <w:p>
      <w:pPr>
        <w:pStyle w:val="Heading2"/>
      </w:pPr>
      <w:r>
        <w:t xml:space="preserve">P6 · Les données 2/W/2025 collectées à l’octroi</w:t>
      </w:r>
    </w:p>
    <w:p>
      <w:pPr>
        <w:spacing w:after="140" w:line="300"/>
      </w:pPr>
      <w:r>
        <w:t xml:space="preserve">La fiche climat (aléas, sources, émissions, MACF, plans d’adaptation et de transition, localisation du site) est conservée avec l’évaluation, exportable, et sert de base au reporting grands emprunteurs. Les données sont datées et rattachées à leur pièce.</w:t>
      </w:r>
    </w:p>
    <w:p>
      <w:pPr>
        <w:pStyle w:val="Heading2"/>
      </w:pPr>
      <w:r>
        <w:t xml:space="preserve">P7 · L’IA au service de la fiche climat</w:t>
      </w:r>
    </w:p>
    <w:p>
      <w:pPr>
        <w:spacing w:after="140" w:line="300"/>
      </w:pPr>
      <w:r>
        <w:t xml:space="preserve">Ajouter des consignes à l’IA pour extraire de l’étude d’impact, du rapport technique et de l’étude climat : les aléas analysés et leur niveau, les mesures d’adaptation, les émissions estimées, les destinations d’export. Chaque valeur reprise affiche son origine sous le champ, comme pour les autres blocs.</w:t>
      </w:r>
    </w:p>
    <w:p>
      <w:pPr>
        <w:pStyle w:val="Heading1"/>
      </w:pPr>
      <w:r>
        <w:t xml:space="preserve">5. Mise en œuvre proposée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034"/>
        <w:gridCol w:w="4343"/>
        <w:gridCol w:w="1654"/>
        <w:gridCol w:w="2275"/>
      </w:tblGrid>
      <w:tr>
        <w:trPr>
          <w:tblHeader/>
        </w:trPr>
        <w:tc>
          <w:tcPr>
            <w:tcW w:type="dxa" w:w="1034"/>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r>
              <w:rPr>
                <w:b/>
                <w:bCs/>
                <w:color w:val="FFFFFF"/>
                <w:sz w:val="19"/>
                <w:szCs w:val="19"/>
              </w:rPr>
              <w:t xml:space="preserve">Lot</w:t>
            </w:r>
          </w:p>
        </w:tc>
        <w:tc>
          <w:tcPr>
            <w:tcW w:type="dxa" w:w="4343"/>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r>
              <w:rPr>
                <w:b/>
                <w:bCs/>
                <w:color w:val="FFFFFF"/>
                <w:sz w:val="19"/>
                <w:szCs w:val="19"/>
              </w:rPr>
              <w:t xml:space="preserve">Contenu</w:t>
            </w:r>
          </w:p>
        </w:tc>
        <w:tc>
          <w:tcPr>
            <w:tcW w:type="dxa" w:w="1654"/>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r>
              <w:rPr>
                <w:b/>
                <w:bCs/>
                <w:color w:val="FFFFFF"/>
                <w:sz w:val="19"/>
                <w:szCs w:val="19"/>
              </w:rPr>
              <w:t xml:space="preserve">Effet sur la note</w:t>
            </w:r>
          </w:p>
        </w:tc>
        <w:tc>
          <w:tcPr>
            <w:tcW w:type="dxa" w:w="2275"/>
            <w:tcBorders>
              <w:top w:val="single" w:color="D9D9D9" w:sz="4"/>
              <w:left w:val="single" w:color="D9D9D9" w:sz="4"/>
              <w:bottom w:val="single" w:color="D9D9D9" w:sz="4"/>
              <w:right w:val="single" w:color="D9D9D9" w:sz="4"/>
            </w:tcBorders>
            <w:shd w:fill="E8790F" w:color="auto" w:val="clear"/>
            <w:tcMar>
              <w:top w:type="dxa" w:w="60"/>
              <w:left w:type="dxa" w:w="100"/>
              <w:bottom w:type="dxa" w:w="60"/>
              <w:right w:type="dxa" w:w="100"/>
            </w:tcMar>
          </w:tcPr>
          <w:p>
            <w:r>
              <w:rPr>
                <w:b/>
                <w:bCs/>
                <w:color w:val="FFFFFF"/>
                <w:sz w:val="19"/>
                <w:szCs w:val="19"/>
              </w:rPr>
              <w:t xml:space="preserve">Préalable</w:t>
            </w:r>
          </w:p>
        </w:tc>
      </w:tr>
      <w:tr>
        <w:trPr>
          <w:cantSplit/>
        </w:trPr>
        <w:tc>
          <w:tcPr>
            <w:tcW w:type="dxa" w:w="1034"/>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Lot 1</w:t>
            </w:r>
          </w:p>
        </w:tc>
        <w:tc>
          <w:tcPr>
            <w:tcW w:type="dxa" w:w="434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P1 (fiche aléas, en complément de la case actuelle), P2 (données transition), P5 option (a), P6, P7</w:t>
            </w:r>
          </w:p>
        </w:tc>
        <w:tc>
          <w:tcPr>
            <w:tcW w:type="dxa" w:w="1654"/>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Aucun</w:t>
            </w:r>
          </w:p>
        </w:tc>
        <w:tc>
          <w:tcPr>
            <w:tcW w:type="dxa" w:w="227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Validation de cette proposition</w:t>
            </w:r>
          </w:p>
        </w:tc>
      </w:tr>
      <w:tr>
        <w:trPr>
          <w:cantSplit/>
        </w:trPr>
        <w:tc>
          <w:tcPr>
            <w:tcW w:type="dxa" w:w="1034"/>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bCs/>
                <w:color w:val="333333"/>
                <w:sz w:val="19"/>
                <w:szCs w:val="19"/>
              </w:rPr>
              <w:t xml:space="preserve">Lot 2</w:t>
            </w:r>
          </w:p>
        </w:tc>
        <w:tc>
          <w:tcPr>
            <w:tcW w:type="dxa" w:w="4343"/>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 Site élevé » déduit de la fiche, P3 (D9.4 / D9.5), P4 (C11 bis, C16), P5 option (b)</w:t>
            </w:r>
          </w:p>
        </w:tc>
        <w:tc>
          <w:tcPr>
            <w:tcW w:type="dxa" w:w="1654"/>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Oui, sur les dossiers exposés</w:t>
            </w:r>
          </w:p>
        </w:tc>
        <w:tc>
          <w:tcPr>
            <w:tcW w:type="dxa" w:w="2275"/>
            <w:tcBorders>
              <w:top w:val="single" w:color="D9D9D9" w:sz="4"/>
              <w:left w:val="single" w:color="D9D9D9" w:sz="4"/>
              <w:bottom w:val="single" w:color="D9D9D9" w:sz="4"/>
              <w:right w:val="single" w:color="D9D9D9" w:sz="4"/>
            </w:tcBorders>
            <w:shd w:fill="FFFFFF" w:color="auto" w:val="clear"/>
            <w:tcMar>
              <w:top w:type="dxa" w:w="60"/>
              <w:left w:type="dxa" w:w="100"/>
              <w:bottom w:type="dxa" w:w="60"/>
              <w:right w:type="dxa" w:w="100"/>
            </w:tcMar>
          </w:tcPr>
          <w:p>
            <w:r>
              <w:rPr>
                <w:b w:val="false"/>
                <w:bCs w:val="false"/>
                <w:color w:val="333333"/>
                <w:sz w:val="19"/>
                <w:szCs w:val="19"/>
              </w:rPr>
              <w:t xml:space="preserve">Validation par le comité de validation du modèle ; mise à jour de l’outil Excel et recalcul des 18 cas de test</w:t>
            </w:r>
          </w:p>
        </w:tc>
      </w:tr>
    </w:tbl>
    <w:p>
      <w:pPr>
        <w:spacing w:after="120"/>
      </w:pPr>
    </w:p>
    <w:p>
      <w:pPr>
        <w:spacing w:after="140" w:line="300"/>
      </w:pPr>
      <w:r>
        <w:t xml:space="preserve">Le lot 2 modifie le moteur de calcul : l’outil Excel de référence et les 18 cas de test doivent être alignés en même temps, comme pour toute évolution du modèle.</w:t>
      </w:r>
    </w:p>
    <w:p>
      <w:pPr>
        <w:pStyle w:val="Heading1"/>
      </w:pPr>
      <w:r>
        <w:t xml:space="preserve">6. Effet attendu sur les cas de test (lot 2, à confirmer par calcul)</w:t>
      </w:r>
    </w:p>
    <w:p>
      <w:pPr>
        <w:pStyle w:val="ListParagraph"/>
        <w:numPr>
          <w:ilvl w:val="0"/>
          <w:numId w:val="2"/>
        </w:numPr>
        <w:spacing w:after="70" w:line="290"/>
      </w:pPr>
      <w:r>
        <w:rPr>
          <w:b/>
          <w:bCs/>
        </w:rPr>
        <w:t xml:space="preserve">Agro-industrie (olives) : </w:t>
      </w:r>
      <w:r>
        <w:t xml:space="preserve">la sécheresse devient un aléa élevé ; sans plan d’adaptation (irrigation, contrats d’approvisionnement diversifiés), C11 limite la note à 6, et C11 bis à 5 si l’aléa touche directement l’approvisionnement.</w:t>
      </w:r>
    </w:p>
    <w:p>
      <w:pPr>
        <w:pStyle w:val="ListParagraph"/>
        <w:numPr>
          <w:ilvl w:val="0"/>
          <w:numId w:val="2"/>
        </w:numPr>
        <w:spacing w:after="70" w:line="290"/>
      </w:pPr>
      <w:r>
        <w:rPr>
          <w:b/>
          <w:bCs/>
        </w:rPr>
        <w:t xml:space="preserve">Centrale à cycle combiné au gaz : </w:t>
      </w:r>
      <w:r>
        <w:t xml:space="preserve">émissions largement supérieures à 100 000 tCO₂e par an ; sans plan de transition, C16 limite la note à 6. Le dossier est aujourd’hui déjà plafonné à 4 par d’autres motifs : pas de changement de note, mais un signal de transition visible.</w:t>
      </w:r>
    </w:p>
    <w:p>
      <w:pPr>
        <w:pStyle w:val="ListParagraph"/>
        <w:numPr>
          <w:ilvl w:val="0"/>
          <w:numId w:val="2"/>
        </w:numPr>
        <w:spacing w:after="70" w:line="290"/>
      </w:pPr>
      <w:r>
        <w:rPr>
          <w:b/>
          <w:bCs/>
        </w:rPr>
        <w:t xml:space="preserve">Usine de dessalement : </w:t>
      </w:r>
      <w:r>
        <w:t xml:space="preserve">la submersion marine et la qualité de l’eau de mer deviennent des aléas pertinents ; le dossier reste inchangé s’il documente ses mesures d’adaptation.</w:t>
      </w:r>
    </w:p>
    <w:p>
      <w:pPr>
        <w:pStyle w:val="ListParagraph"/>
        <w:numPr>
          <w:ilvl w:val="0"/>
          <w:numId w:val="2"/>
        </w:numPr>
        <w:spacing w:after="70" w:line="290"/>
      </w:pPr>
      <w:r>
        <w:rPr>
          <w:b/>
          <w:bCs/>
        </w:rPr>
        <w:t xml:space="preserve">Centrales solaires et éoliennes : </w:t>
      </w:r>
      <w:r>
        <w:t xml:space="preserve">risque de transition faible ; la chaleur et les vents de sable sont analysés, en général couverts par la conception.</w:t>
      </w:r>
    </w:p>
    <w:p>
      <w:pPr>
        <w:pStyle w:val="Heading1"/>
      </w:pPr>
      <w:r>
        <w:t xml:space="preserve">7. Décisions attendues</w:t>
      </w:r>
    </w:p>
    <w:p>
      <w:pPr>
        <w:pStyle w:val="ListParagraph"/>
        <w:numPr>
          <w:ilvl w:val="0"/>
          <w:numId w:val="2"/>
        </w:numPr>
        <w:spacing w:after="70" w:line="290"/>
      </w:pPr>
      <w:r>
        <w:t xml:space="preserve">Valider le principe des deux lots et le lancement du lot 1.</w:t>
      </w:r>
    </w:p>
    <w:p>
      <w:pPr>
        <w:pStyle w:val="ListParagraph"/>
        <w:numPr>
          <w:ilvl w:val="0"/>
          <w:numId w:val="2"/>
        </w:numPr>
        <w:spacing w:after="70" w:line="290"/>
      </w:pPr>
      <w:r>
        <w:t xml:space="preserve">Valider la liste des six aléas et leur pré-sélection par secteur.</w:t>
      </w:r>
    </w:p>
    <w:p>
      <w:pPr>
        <w:pStyle w:val="ListParagraph"/>
        <w:numPr>
          <w:ilvl w:val="0"/>
          <w:numId w:val="2"/>
        </w:numPr>
        <w:spacing w:after="70" w:line="290"/>
      </w:pPr>
      <w:r>
        <w:t xml:space="preserve">Valider les repères de transition (25 000 et 100 000 tCO₂e, MACF, actif échoué).</w:t>
      </w:r>
    </w:p>
    <w:p>
      <w:pPr>
        <w:pStyle w:val="ListParagraph"/>
        <w:numPr>
          <w:ilvl w:val="0"/>
          <w:numId w:val="2"/>
        </w:numPr>
        <w:spacing w:after="70" w:line="290"/>
      </w:pPr>
      <w:r>
        <w:t xml:space="preserve">Choisir l’option du scénario climatique : (a) informatif, puis (b) après calibrage.</w:t>
      </w:r>
    </w:p>
    <w:p>
      <w:pPr>
        <w:pStyle w:val="ListParagraph"/>
        <w:numPr>
          <w:ilvl w:val="0"/>
          <w:numId w:val="2"/>
        </w:numPr>
        <w:spacing w:after="70" w:line="290"/>
      </w:pPr>
      <w:r>
        <w:t xml:space="preserve">Désigner le référent climat (Risques Groupe ou Conformité) pour la validation des sources et le lien avec le reporting 2/W/2025.</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A7A"/>
        <w:sz w:val="18"/>
        <w:szCs w:val="18"/>
      </w:rPr>
      <w:t xml:space="preserve">Risques Groupe · Volet climatique — proposition · page </w:t>
    </w:r>
    <w:r>
      <w:rPr>
        <w:color w:val="7A7A7A"/>
        <w:sz w:val="18"/>
        <w:szCs w:val="18"/>
      </w:rPr>
      <w:fldChar w:fldCharType="begin"/>
    </w:r>
    <w:r>
      <w:rPr>
        <w:color w:val="7A7A7A"/>
        <w:sz w:val="18"/>
        <w:szCs w:val="18"/>
      </w:rPr>
      <w:instrText xml:space="preserve">PAGE</w:instrText>
    </w:r>
    <w:r>
      <w:rPr>
        <w:color w:val="7A7A7A"/>
        <w:sz w:val="18"/>
        <w:szCs w:val="18"/>
      </w:rPr>
      <w:fldChar w:fldCharType="separate"/>
    </w:r>
    <w:r>
      <w:rPr>
        <w:color w:val="7A7A7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rPr>
        <w:color w:val="E8790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qFormat/>
    <w:pPr>
      <w:spacing w:after="80"/>
    </w:pPr>
    <w:rPr>
      <w:rFonts w:ascii="Calibri" w:cs="Calibri" w:eastAsia="Calibri" w:hAnsi="Calibri"/>
      <w:b/>
      <w:bCs/>
      <w:color w:val="E8790F"/>
      <w:sz w:val="40"/>
      <w:szCs w:val="40"/>
    </w:rPr>
  </w:style>
  <w:style w:type="paragraph" w:styleId="Heading1">
    <w:name w:val="Heading 1"/>
    <w:basedOn w:val="Normal"/>
    <w:next w:val="Normal"/>
    <w:qFormat/>
    <w:pPr>
      <w:keepNext/>
      <w:spacing w:after="120" w:before="320"/>
      <w:outlineLvl w:val="0"/>
    </w:pPr>
    <w:rPr>
      <w:rFonts w:ascii="Calibri" w:cs="Calibri" w:eastAsia="Calibri" w:hAnsi="Calibri"/>
      <w:b/>
      <w:bCs/>
      <w:color w:val="E8790F"/>
      <w:sz w:val="30"/>
      <w:szCs w:val="30"/>
    </w:rPr>
  </w:style>
  <w:style w:type="paragraph" w:styleId="Heading2">
    <w:name w:val="Heading 2"/>
    <w:basedOn w:val="Normal"/>
    <w:next w:val="Normal"/>
    <w:qFormat/>
    <w:pPr>
      <w:keepNext/>
      <w:spacing w:after="80" w:before="200"/>
      <w:outlineLvl w:val="1"/>
    </w:pPr>
    <w:rPr>
      <w:rFonts w:ascii="Calibri" w:cs="Calibri" w:eastAsia="Calibri" w:hAnsi="Calibri"/>
      <w:b/>
      <w:bCs/>
      <w:color w:val="5A3A1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Volet climatique du modèle de scoring PF — proposition</dc:title>
  <dc:creator>Risques Groupe</dc:creator>
  <cp:lastModifiedBy>Un-named</cp:lastModifiedBy>
  <cp:revision>1</cp:revision>
  <dcterms:created xsi:type="dcterms:W3CDTF">2026-10-27T06:36:47.269Z</dcterms:created>
  <dcterms:modified xsi:type="dcterms:W3CDTF">2026-10-27T06:36:47.277Z</dcterms:modified>
</cp:coreProperties>
</file>

<file path=docProps/custom.xml><?xml version="1.0" encoding="utf-8"?>
<Properties xmlns="http://schemas.openxmlformats.org/officeDocument/2006/custom-properties" xmlns:vt="http://schemas.openxmlformats.org/officeDocument/2006/docPropsVTypes"/>
</file>