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8790F"/>
          <w:sz w:val="20"/>
          <w:szCs w:val="20"/>
        </w:rPr>
        <w:t xml:space="preserve">Modèle de scoring Project Finance · Risques Groupe</w:t>
      </w:r>
    </w:p>
    <w:p>
      <w:pPr>
        <w:pStyle w:val="Title"/>
      </w:pPr>
      <w:r>
        <w:t xml:space="preserve">Le volet stress test du modèle</w:t>
      </w:r>
    </w:p>
    <w:p>
      <w:pPr>
        <w:spacing w:after="140" w:line="300"/>
      </w:pPr>
      <w:r>
        <w:rPr>
          <w:i/>
          <w:iCs/>
          <w:color w:val="7A7A7A"/>
        </w:rPr>
        <w:t xml:space="preserve">Note pédagogique : à quoi sert le scénario défavorable, comment le modèle le calcule et comment lire le résultat.</w:t>
      </w:r>
    </w:p>
    <w:p>
      <w:pPr>
        <w:pBdr>
          <w:left w:val="single" w:color="E8790F" w:sz="18" w:space="8"/>
        </w:pBdr>
        <w:shd w:fill="FDEBD3" w:color="auto" w:val="clear"/>
        <w:spacing w:after="200" w:before="120" w:line="300"/>
        <w:ind w:left="160" w:right="160"/>
      </w:pPr>
      <w:r>
        <w:rPr>
          <w:b/>
          <w:bCs/>
          <w:color w:val="5A3A1E"/>
        </w:rPr>
        <w:t xml:space="preserve">En une phrase</w:t>
      </w:r>
      <w:r>
        <w:br/>
        <w:t xml:space="preserve"/>
      </w:r>
      <w:r>
        <w:t xml:space="preserve">Le stress test pose une question simple : si le principal risque du projet se matérialise, les flux de trésorerie suffisent-ils encore à payer la dette ? Le modèle y répond en recalculant le DSCR dans un scénario défavorable, puis en notant ce DSCR « stressé ».</w:t>
      </w:r>
    </w:p>
    <w:p>
      <w:pPr>
        <w:pStyle w:val="Heading1"/>
      </w:pPr>
      <w:r>
        <w:t xml:space="preserve">1. Pourquoi un stress test en project finance</w:t>
      </w:r>
    </w:p>
    <w:p>
      <w:pPr>
        <w:spacing w:after="140" w:line="300"/>
      </w:pPr>
      <w:r>
        <w:t xml:space="preserve">Dans un financement de projet, la banque est remboursée uniquement par les flux de la société de projet : pas de bilan d’entreprise derrière, pas d’autres activités pour compenser. Tout repose sur le plan d’affaires.</w:t>
      </w:r>
    </w:p>
    <w:p>
      <w:pPr>
        <w:spacing w:after="140" w:line="300"/>
      </w:pPr>
      <w:r>
        <w:t xml:space="preserve">Or le plan d’affaires présenté, le « scénario central » ou cas de base, reflète les hypothèses attendues : production normale, prix prévus, coûts maîtrisés. Il dit ce qui devrait se passer, pas ce qui peut mal tourner. Un projet peut afficher une belle couverture en cas de base et devenir incapable de payer sa dette dès que son hypothèse la plus sensible se dégrade.</w:t>
      </w:r>
    </w:p>
    <w:p>
      <w:pPr>
        <w:spacing w:after="140" w:line="300"/>
      </w:pPr>
      <w:r>
        <w:t xml:space="preserve">Le stress test sert donc à mesurer la résistance du projet : on dégrade volontairement l’hypothèse la plus risquée et on regarde ce qu’il reste pour la dette.</w:t>
      </w:r>
    </w:p>
    <w:p>
      <w:pPr>
        <w:pStyle w:val="Heading1"/>
      </w:pPr>
      <w:r>
        <w:t xml:space="preserve">2. Trois notions à avoir en tête</w:t>
      </w:r>
    </w:p>
    <w:p>
      <w:pPr>
        <w:pStyle w:val="ListParagraph"/>
        <w:numPr>
          <w:ilvl w:val="0"/>
          <w:numId w:val="2"/>
        </w:numPr>
        <w:spacing w:after="70" w:line="290"/>
      </w:pPr>
      <w:r>
        <w:rPr>
          <w:b/>
          <w:bCs/>
        </w:rPr>
        <w:t xml:space="preserve">CFADS </w:t>
      </w:r>
      <w:r>
        <w:t xml:space="preserve">(Cash Flow Available for Debt Service) : la trésorerie dégagée par le projet sur une période, après charges d’exploitation, impôts et investissements de maintien, disponible pour payer la dette.</w:t>
      </w:r>
    </w:p>
    <w:p>
      <w:pPr>
        <w:pStyle w:val="ListParagraph"/>
        <w:numPr>
          <w:ilvl w:val="0"/>
          <w:numId w:val="2"/>
        </w:numPr>
        <w:spacing w:after="70" w:line="290"/>
      </w:pPr>
      <w:r>
        <w:rPr>
          <w:b/>
          <w:bCs/>
        </w:rPr>
        <w:t xml:space="preserve">Service de la dette </w:t>
      </w:r>
      <w:r>
        <w:t xml:space="preserve">: ce que le projet doit payer à la banque sur la période, intérêts et remboursement du principal.</w:t>
      </w:r>
    </w:p>
    <w:p>
      <w:pPr>
        <w:pStyle w:val="ListParagraph"/>
        <w:numPr>
          <w:ilvl w:val="0"/>
          <w:numId w:val="2"/>
        </w:numPr>
        <w:spacing w:after="70" w:line="290"/>
      </w:pPr>
      <w:r>
        <w:rPr>
          <w:b/>
          <w:bCs/>
        </w:rPr>
        <w:t xml:space="preserve">DSCR </w:t>
      </w:r>
      <w:r>
        <w:t xml:space="preserve">(Debt Service Coverage Ratio) = CFADS ÷ service de la dette. Un DSCR de 1,30 signifie que le projet dégage 1,30 dirham pour chaque dirham dû. À 1,00, il paie tout juste ; en dessous de 1,00, il ne peut plus payer sans puiser dans ses réserves.</w:t>
      </w:r>
    </w:p>
    <w:p>
      <w:pPr>
        <w:spacing w:after="140" w:line="300"/>
      </w:pPr>
      <w:r>
        <w:t xml:space="preserve">Le modèle calcule le DSCR à chaque échéance et retient le minimum, pas la moyenne : un seul semestre faible suffit à mettre le projet en difficulté.</w:t>
      </w:r>
    </w:p>
    <w:p>
      <w:pPr>
        <w:pStyle w:val="Heading1"/>
      </w:pPr>
      <w:r>
        <w:t xml:space="preserve">3. Ce que fait le modèle, étape par étape</w:t>
      </w:r>
    </w:p>
    <w:p>
      <w:pPr>
        <w:pStyle w:val="ListParagraph"/>
        <w:numPr>
          <w:ilvl w:val="0"/>
          <w:numId w:val="3"/>
        </w:numPr>
        <w:spacing w:after="90" w:line="290"/>
      </w:pPr>
      <w:r>
        <w:rPr>
          <w:b/>
          <w:bCs/>
        </w:rPr>
        <w:t xml:space="preserve">Définir le scénario défavorable. </w:t>
      </w:r>
      <w:r>
        <w:t xml:space="preserve">L’analyste choisit un scénario centré sur le risque principal du projet (moins de production, moins de trafic, coûts plus élevés…) et le décrit en une phrase dans la saisie (bloc 6).</w:t>
      </w:r>
    </w:p>
    <w:p>
      <w:pPr>
        <w:pStyle w:val="ListParagraph"/>
        <w:numPr>
          <w:ilvl w:val="0"/>
          <w:numId w:val="3"/>
        </w:numPr>
        <w:spacing w:after="90" w:line="290"/>
      </w:pPr>
      <w:r>
        <w:rPr>
          <w:b/>
          <w:bCs/>
        </w:rPr>
        <w:t xml:space="preserve">Le traduire en baisse de CFADS. </w:t>
      </w:r>
      <w:r>
        <w:t xml:space="preserve">Deux façons de faire : soit un pourcentage unique de baisse du CFADS (le « choc », par exemple 13,8 %) appliqué à toutes les échéances, soit un CFADS stressé saisi échéance par échéance, issu du modèle financier du projet. Si un CFADS stressé est saisi pour une échéance, il remplace le choc sur cette échéance.</w:t>
      </w:r>
    </w:p>
    <w:p>
      <w:pPr>
        <w:pStyle w:val="ListParagraph"/>
        <w:numPr>
          <w:ilvl w:val="0"/>
          <w:numId w:val="3"/>
        </w:numPr>
        <w:spacing w:after="90" w:line="290"/>
      </w:pPr>
      <w:r>
        <w:rPr>
          <w:b/>
          <w:bCs/>
        </w:rPr>
        <w:t xml:space="preserve">Recalculer le DSCR à chaque échéance. </w:t>
      </w:r>
      <w:r>
        <w:t xml:space="preserve">DSCR stressé = CFADS stressé ÷ service de la dette. Le service de la dette, lui, ne change pas : la banque attend les mêmes échéances.</w:t>
      </w:r>
    </w:p>
    <w:p>
      <w:pPr>
        <w:pStyle w:val="ListParagraph"/>
        <w:numPr>
          <w:ilvl w:val="0"/>
          <w:numId w:val="3"/>
        </w:numPr>
        <w:spacing w:after="90" w:line="290"/>
      </w:pPr>
      <w:r>
        <w:rPr>
          <w:b/>
          <w:bCs/>
        </w:rPr>
        <w:t xml:space="preserve">Retenir le DSCR stressé minimum. </w:t>
      </w:r>
      <w:r>
        <w:t xml:space="preserve">C’est l’indicateur N2 du noyau financier.</w:t>
      </w:r>
    </w:p>
    <w:p>
      <w:pPr>
        <w:pStyle w:val="ListParagraph"/>
        <w:numPr>
          <w:ilvl w:val="0"/>
          <w:numId w:val="3"/>
        </w:numPr>
        <w:spacing w:after="90" w:line="290"/>
      </w:pPr>
      <w:r>
        <w:rPr>
          <w:b/>
          <w:bCs/>
        </w:rPr>
        <w:t xml:space="preserve">Le classer selon les seuils du projet. </w:t>
      </w:r>
      <w:r>
        <w:t xml:space="preserve">Ce sont les mêmes seuils que pour le DSCR central : seuil du régime de revenus, plus l’écart du secteur, plus 0,05 en montée en charge. N2 vaut 100 (très favorable), 80 (favorable), 50 (vigilance) ou 20 (critique).</w:t>
      </w:r>
    </w:p>
    <w:p>
      <w:pPr>
        <w:pStyle w:val="ListParagraph"/>
        <w:numPr>
          <w:ilvl w:val="0"/>
          <w:numId w:val="3"/>
        </w:numPr>
        <w:spacing w:after="90" w:line="290"/>
      </w:pPr>
      <w:r>
        <w:rPr>
          <w:b/>
          <w:bCs/>
        </w:rPr>
        <w:t xml:space="preserve">Appliquer le garde-fou. </w:t>
      </w:r>
      <w:r>
        <w:t xml:space="preserve">Si le DSCR stressé minimum passe sous 1,00x, le plafond C3 se déclenche : la note approuvée ne peut pas dépasser 4, quel que soit le score.</w:t>
      </w:r>
    </w:p>
    <w:p>
      <w:pPr>
        <w:pBdr>
          <w:left w:val="single" w:color="E8790F" w:sz="18" w:space="8"/>
        </w:pBdr>
        <w:shd w:fill="FDEBD3" w:color="auto" w:val="clear"/>
        <w:spacing w:after="200" w:before="120" w:line="300"/>
        <w:ind w:left="160" w:right="160"/>
      </w:pPr>
      <w:r>
        <w:rPr>
          <w:b/>
          <w:bCs/>
          <w:color w:val="5A3A1E"/>
        </w:rPr>
        <w:t xml:space="preserve">Deux effets distincts, à ne pas confondre</w:t>
      </w:r>
      <w:r>
        <w:br/>
        <w:t xml:space="preserve"/>
      </w:r>
      <w:r>
        <w:t xml:space="preserve">L’effet sur le score est modéré : N2 pèse 20 % du noyau financier D7, qui pèse lui-même 25 à 30 % du score. Passer de « très favorable » à « critique » coûte environ 4 à 5 points de score.</w:t>
      </w:r>
      <w:r>
        <w:br/>
        <w:t xml:space="preserve"/>
      </w:r>
      <w:r>
        <w:t xml:space="preserve">L’effet du plafond est décisif : un DSCR stressé sous 1,00 ramène la note à 4 au plus, même si tout le reste est excellent. C’est là que le stress test a ses vraies dents.</w:t>
      </w:r>
    </w:p>
    <w:p>
      <w:pPr>
        <w:pStyle w:val="Heading1"/>
      </w:pPr>
      <w:r>
        <w:t xml:space="preserve">4. Un exemple chiffré pas à pas : la centrale solaire</w:t>
      </w:r>
    </w:p>
    <w:p>
      <w:pPr>
        <w:spacing w:after="140" w:line="300"/>
      </w:pPr>
      <w:r>
        <w:t xml:space="preserve">Cas 1 de la base de test (fictif) : centrale photovoltaïque de 80 MWc en construction, production vendue sous contrat d’achat de 25 ans (régime R1, take-or-pay), secteur ENR.</w:t>
      </w:r>
    </w:p>
    <w:p>
      <w:pPr>
        <w:pStyle w:val="Heading2"/>
      </w:pPr>
      <w:r>
        <w:t xml:space="preserve">Étape 1 · Le scénario</w:t>
      </w:r>
    </w:p>
    <w:p>
      <w:pPr>
        <w:spacing w:after="140" w:line="300"/>
      </w:pPr>
      <w:r>
        <w:t xml:space="preserve">Le risque principal d’une centrale solaire est l’ensoleillement. On retient une production au niveau P90, c’est-à-dire celle qui a 90 % de chances d’être dépassée, soit 8 % de moins que la production attendue (P50), et des charges d’exploitation en hausse de 10 %.</w:t>
      </w:r>
    </w:p>
    <w:p>
      <w:pPr>
        <w:pStyle w:val="Heading2"/>
      </w:pPr>
      <w:r>
        <w:t xml:space="preserve">Étape 2 · Pourquoi la baisse du CFADS est plus forte que celle des recettes</w:t>
      </w:r>
    </w:p>
    <w:p>
      <w:pPr>
        <w:spacing w:after="140" w:line="300"/>
      </w:pPr>
      <w:r>
        <w:t xml:space="preserve">Les charges ne baissent pas quand les recettes baissent : la perte de recettes et la hausse des charges se reportent toutes les deux sur le CFADS, qui est plus petit que le chiffre d’affaires. D’où un effet de levier. Illustration en ordre de grandeur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246"/>
        <w:gridCol w:w="2164"/>
        <w:gridCol w:w="2164"/>
        <w:gridCol w:w="1732"/>
      </w:tblGrid>
      <w:tr>
        <w:trPr>
          <w:tblHeader/>
        </w:trPr>
        <w:tc>
          <w:tcPr>
            <w:tcW w:type="dxa" w:w="3246"/>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
            </w:r>
          </w:p>
        </w:tc>
        <w:tc>
          <w:tcPr>
            <w:tcW w:type="dxa" w:w="2164"/>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Scénario central</w:t>
            </w:r>
          </w:p>
        </w:tc>
        <w:tc>
          <w:tcPr>
            <w:tcW w:type="dxa" w:w="2164"/>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Scénario défavorable</w:t>
            </w:r>
          </w:p>
        </w:tc>
        <w:tc>
          <w:tcPr>
            <w:tcW w:type="dxa" w:w="173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Variation</w:t>
            </w:r>
          </w:p>
        </w:tc>
      </w:tr>
      <w:tr>
        <w:tc>
          <w:tcPr>
            <w:tcW w:type="dxa" w:w="324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Recettes</w:t>
            </w:r>
          </w:p>
        </w:tc>
        <w:tc>
          <w:tcPr>
            <w:tcW w:type="dxa" w:w="216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100,0</w:t>
            </w:r>
          </w:p>
        </w:tc>
        <w:tc>
          <w:tcPr>
            <w:tcW w:type="dxa" w:w="216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92,0</w:t>
            </w:r>
          </w:p>
        </w:tc>
        <w:tc>
          <w:tcPr>
            <w:tcW w:type="dxa" w:w="173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− 8 %</w:t>
            </w:r>
          </w:p>
        </w:tc>
      </w:tr>
      <w:tr>
        <w:tc>
          <w:tcPr>
            <w:tcW w:type="dxa" w:w="324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Charges d’exploitation</w:t>
            </w:r>
          </w:p>
        </w:tc>
        <w:tc>
          <w:tcPr>
            <w:tcW w:type="dxa" w:w="216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24,3</w:t>
            </w:r>
          </w:p>
        </w:tc>
        <w:tc>
          <w:tcPr>
            <w:tcW w:type="dxa" w:w="216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26,7</w:t>
            </w:r>
          </w:p>
        </w:tc>
        <w:tc>
          <w:tcPr>
            <w:tcW w:type="dxa" w:w="173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+ 10 %</w:t>
            </w:r>
          </w:p>
        </w:tc>
      </w:tr>
      <w:tr>
        <w:tc>
          <w:tcPr>
            <w:tcW w:type="dxa" w:w="324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CFADS</w:t>
            </w:r>
          </w:p>
        </w:tc>
        <w:tc>
          <w:tcPr>
            <w:tcW w:type="dxa" w:w="216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75,7</w:t>
            </w:r>
          </w:p>
        </w:tc>
        <w:tc>
          <w:tcPr>
            <w:tcW w:type="dxa" w:w="2164"/>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65,3</w:t>
            </w:r>
          </w:p>
        </w:tc>
        <w:tc>
          <w:tcPr>
            <w:tcW w:type="dxa" w:w="173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− 13,8 %</w:t>
            </w:r>
          </w:p>
        </w:tc>
      </w:tr>
    </w:tbl>
    <w:p>
      <w:pPr>
        <w:spacing w:after="120"/>
      </w:pPr>
    </w:p>
    <w:p>
      <w:pPr>
        <w:spacing w:after="140" w:line="300"/>
      </w:pPr>
      <w:r>
        <w:t xml:space="preserve">Une baisse de 8 % des recettes devient ainsi une baisse de 13,8 % du CFADS : c’est le choc saisi dans le modèle (0,138).</w:t>
      </w:r>
    </w:p>
    <w:p>
      <w:pPr>
        <w:pStyle w:val="Heading2"/>
      </w:pPr>
      <w:r>
        <w:t xml:space="preserve">Étape 3 · Le DSCR stressé à chaque échéance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45"/>
        <w:gridCol w:w="1512"/>
        <w:gridCol w:w="1745"/>
        <w:gridCol w:w="1396"/>
        <w:gridCol w:w="1512"/>
        <w:gridCol w:w="1396"/>
      </w:tblGrid>
      <w:tr>
        <w:trPr>
          <w:tblHeader/>
        </w:trPr>
        <w:tc>
          <w:tcPr>
            <w:tcW w:type="dxa" w:w="174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Échéance</w:t>
            </w:r>
          </w:p>
        </w:tc>
        <w:tc>
          <w:tcPr>
            <w:tcW w:type="dxa" w:w="151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CFADS central</w:t>
            </w:r>
          </w:p>
        </w:tc>
        <w:tc>
          <w:tcPr>
            <w:tcW w:type="dxa" w:w="1745"/>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Service de la dette</w:t>
            </w:r>
          </w:p>
        </w:tc>
        <w:tc>
          <w:tcPr>
            <w:tcW w:type="dxa" w:w="1396"/>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central</w:t>
            </w:r>
          </w:p>
        </w:tc>
        <w:tc>
          <w:tcPr>
            <w:tcW w:type="dxa" w:w="151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CFADS stressé</w:t>
            </w:r>
          </w:p>
        </w:tc>
        <w:tc>
          <w:tcPr>
            <w:tcW w:type="dxa" w:w="1396"/>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stressé</w:t>
            </w:r>
          </w:p>
        </w:tc>
      </w:tr>
      <w:t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 · S1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25,9</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1,33</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22,3</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1,15</w:t>
            </w:r>
          </w:p>
        </w:tc>
      </w:tr>
      <w:t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 · S2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28,1</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1,44</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24,2</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1,25</w:t>
            </w:r>
          </w:p>
        </w:tc>
      </w:tr>
      <w:t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10 · S1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25,5</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22,0</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1,13</w:t>
            </w:r>
          </w:p>
        </w:tc>
      </w:tr>
      <w:t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10 · S2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27,7</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1,42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23,9</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1,23</w:t>
            </w:r>
          </w:p>
        </w:tc>
      </w:tr>
      <w:t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20 · S1</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25,2</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1,30</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21,7</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1,12</w:t>
            </w:r>
          </w:p>
        </w:tc>
      </w:tr>
      <w:tr>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color w:val="333333"/>
                <w:sz w:val="20"/>
                <w:szCs w:val="20"/>
              </w:rPr>
              <w:t xml:space="preserve">An 20 · S2</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27,2</w:t>
            </w:r>
          </w:p>
        </w:tc>
        <w:tc>
          <w:tcPr>
            <w:tcW w:type="dxa" w:w="1745"/>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19,45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1,40</w:t>
            </w:r>
          </w:p>
        </w:tc>
        <w:tc>
          <w:tcPr>
            <w:tcW w:type="dxa" w:w="151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23,5</w:t>
            </w:r>
          </w:p>
        </w:tc>
        <w:tc>
          <w:tcPr>
            <w:tcW w:type="dxa" w:w="1396"/>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1,21</w:t>
            </w:r>
          </w:p>
        </w:tc>
      </w:tr>
    </w:tbl>
    <w:p>
      <w:pPr>
        <w:spacing w:after="120"/>
      </w:pPr>
    </w:p>
    <w:p>
      <w:pPr>
        <w:spacing w:after="140" w:line="300"/>
      </w:pPr>
      <w:r>
        <w:t xml:space="preserve">Montants en millions de dirhams. Exemple de calcul, An 20 · S1 : 25,2 × (1 − 0,138) = 21,7 ; puis 21,7 ÷ 19,45 = 1,12. Le minimum est donc </w:t>
      </w:r>
      <w:r>
        <w:rPr>
          <w:b/>
          <w:bCs/>
        </w:rPr>
        <w:t xml:space="preserve">1,30 en central et 1,12 en défavorable</w:t>
      </w:r>
      <w:r>
        <w:t xml:space="preserve">.</w:t>
      </w:r>
    </w:p>
    <w:p>
      <w:pPr>
        <w:pStyle w:val="Heading2"/>
      </w:pPr>
      <w:r>
        <w:t xml:space="preserve">Étape 4 · Le classement</w:t>
      </w:r>
    </w:p>
    <w:p>
      <w:pPr>
        <w:spacing w:after="140" w:line="300"/>
      </w:pPr>
      <w:r>
        <w:t xml:space="preserve">Seuils de ce projet : régime R1 (1,10 · 1,20 · 1,30), écart du secteur ENR − 0,05, pas de majoration en construction, soit critique 1,05, vigilance 1,15, favorable 1,25.</w:t>
      </w:r>
    </w:p>
    <w:p>
      <w:pPr>
        <w:pStyle w:val="ListParagraph"/>
        <w:numPr>
          <w:ilvl w:val="0"/>
          <w:numId w:val="2"/>
        </w:numPr>
        <w:spacing w:after="70" w:line="290"/>
      </w:pPr>
      <w:r>
        <w:rPr>
          <w:b/>
          <w:bCs/>
        </w:rPr>
        <w:t xml:space="preserve">N1, DSCR central 1,30 ≥ 1,25 : </w:t>
      </w:r>
      <w:r>
        <w:t xml:space="preserve">très favorable, 100.</w:t>
      </w:r>
    </w:p>
    <w:p>
      <w:pPr>
        <w:pStyle w:val="ListParagraph"/>
        <w:numPr>
          <w:ilvl w:val="0"/>
          <w:numId w:val="2"/>
        </w:numPr>
        <w:spacing w:after="70" w:line="290"/>
      </w:pPr>
      <w:r>
        <w:rPr>
          <w:b/>
          <w:bCs/>
        </w:rPr>
        <w:t xml:space="preserve">N2, DSCR stressé 1,12 : </w:t>
      </w:r>
      <w:r>
        <w:t xml:space="preserve">entre 1,05 et 1,15, vigilance, 50.</w:t>
      </w:r>
    </w:p>
    <w:p>
      <w:pPr>
        <w:pStyle w:val="ListParagraph"/>
        <w:numPr>
          <w:ilvl w:val="0"/>
          <w:numId w:val="2"/>
        </w:numPr>
        <w:spacing w:after="70" w:line="290"/>
      </w:pPr>
      <w:r>
        <w:rPr>
          <w:b/>
          <w:bCs/>
        </w:rPr>
        <w:t xml:space="preserve">Plafond C3 : </w:t>
      </w:r>
      <w:r>
        <w:t xml:space="preserve">1,12 ≥ 1,00, non déclenché.</w:t>
      </w:r>
    </w:p>
    <w:p>
      <w:pPr>
        <w:spacing w:after="140" w:line="300"/>
      </w:pPr>
      <w:r>
        <w:t xml:space="preserve">Résultat : le projet reste très bien noté (AA, note 9), mais le stress test signale une marge réduite en cas de mauvaise année d’ensoleillement. C’est une information pour le comité, pas un motif de refus.</w:t>
      </w:r>
    </w:p>
    <w:p>
      <w:pPr>
        <w:pStyle w:val="Heading1"/>
      </w:pPr>
      <w:r>
        <w:t xml:space="preserve">5. Trois situations types</w:t>
      </w:r>
    </w:p>
    <w:p>
      <w:pPr>
        <w:spacing w:after="140" w:line="300"/>
      </w:pPr>
      <w:r>
        <w:t xml:space="preserve">Les cas de test illustrent les trois lectures possibles du stress test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83"/>
        <w:gridCol w:w="2151"/>
        <w:gridCol w:w="1263"/>
        <w:gridCol w:w="1263"/>
        <w:gridCol w:w="2058"/>
        <w:gridCol w:w="888"/>
      </w:tblGrid>
      <w:tr>
        <w:trPr>
          <w:tblHeader/>
        </w:trPr>
        <w:tc>
          <w:tcPr>
            <w:tcW w:type="dxa" w:w="168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Cas (fictif)</w:t>
            </w:r>
          </w:p>
        </w:tc>
        <w:tc>
          <w:tcPr>
            <w:tcW w:type="dxa" w:w="2151"/>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Scénario défavorable</w:t>
            </w:r>
          </w:p>
        </w:tc>
        <w:tc>
          <w:tcPr>
            <w:tcW w:type="dxa" w:w="126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central</w:t>
            </w:r>
          </w:p>
        </w:tc>
        <w:tc>
          <w:tcPr>
            <w:tcW w:type="dxa" w:w="1263"/>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DSCR stressé</w:t>
            </w:r>
          </w:p>
        </w:tc>
        <w:tc>
          <w:tcPr>
            <w:tcW w:type="dxa" w:w="2058"/>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Lecture</w:t>
            </w:r>
          </w:p>
        </w:tc>
        <w:tc>
          <w:tcPr>
            <w:tcW w:type="dxa" w:w="888"/>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right"/>
            </w:pPr>
            <w:r>
              <w:rPr>
                <w:b/>
                <w:bCs/>
                <w:color w:val="FFFFFF"/>
                <w:sz w:val="20"/>
                <w:szCs w:val="20"/>
              </w:rPr>
              <w:t xml:space="preserve">Note</w:t>
            </w:r>
          </w:p>
        </w:tc>
      </w:tr>
      <w:tr>
        <w:tc>
          <w:tcPr>
            <w:tcW w:type="dxa" w:w="168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Centrale solaire 80 MWc</w:t>
            </w:r>
          </w:p>
        </w:tc>
        <w:tc>
          <w:tcPr>
            <w:tcW w:type="dxa" w:w="21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Production P90 (− 8 %), charges + 10 %</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1,30</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1,12</w:t>
            </w:r>
          </w:p>
        </w:tc>
        <w:tc>
          <w:tcPr>
            <w:tcW w:type="dxa" w:w="20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Vigilance : le projet résiste</w:t>
            </w:r>
          </w:p>
        </w:tc>
        <w:tc>
          <w:tcPr>
            <w:tcW w:type="dxa" w:w="8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9 · AA</w:t>
            </w:r>
          </w:p>
        </w:tc>
      </w:tr>
      <w:tr>
        <w:tc>
          <w:tcPr>
            <w:tcW w:type="dxa" w:w="168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Dessalement 100 000 m³/j</w:t>
            </w:r>
          </w:p>
        </w:tc>
        <w:tc>
          <w:tcPr>
            <w:tcW w:type="dxa" w:w="21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Énergie + 15 % répercutée à 60 %, disponibilité 92 %</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1,23</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1,09</w:t>
            </w:r>
          </w:p>
        </w:tc>
        <w:tc>
          <w:tcPr>
            <w:tcW w:type="dxa" w:w="20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Critique, mais au-dessus de 1,00 : pas de plafond</w:t>
            </w:r>
          </w:p>
        </w:tc>
        <w:tc>
          <w:tcPr>
            <w:tcW w:type="dxa" w:w="8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6 · BB</w:t>
            </w:r>
          </w:p>
        </w:tc>
      </w:tr>
      <w:tr>
        <w:tc>
          <w:tcPr>
            <w:tcW w:type="dxa" w:w="168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Hôtel 4 étoiles</w:t>
            </w:r>
          </w:p>
        </w:tc>
        <w:tc>
          <w:tcPr>
            <w:tcW w:type="dxa" w:w="2151"/>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Occupation de 65 % à 55 % (CA − 15 %)</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1,06</w:t>
            </w:r>
          </w:p>
        </w:tc>
        <w:tc>
          <w:tcPr>
            <w:tcW w:type="dxa" w:w="1263"/>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0,75</w:t>
            </w:r>
          </w:p>
        </w:tc>
        <w:tc>
          <w:tcPr>
            <w:tcW w:type="dxa" w:w="205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Défaut en scénario défavorable : plafond C3</w:t>
            </w:r>
          </w:p>
        </w:tc>
        <w:tc>
          <w:tcPr>
            <w:tcW w:type="dxa" w:w="888"/>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right"/>
            </w:pPr>
            <w:r>
              <w:rPr>
                <w:b w:val="false"/>
                <w:bCs w:val="false"/>
                <w:color w:val="333333"/>
                <w:sz w:val="20"/>
                <w:szCs w:val="20"/>
              </w:rPr>
              <w:t xml:space="preserve">4 · CCC</w:t>
            </w:r>
          </w:p>
        </w:tc>
      </w:tr>
    </w:tbl>
    <w:p>
      <w:pPr>
        <w:spacing w:after="120"/>
      </w:pPr>
    </w:p>
    <w:p>
      <w:pPr>
        <w:spacing w:after="140" w:line="300"/>
      </w:pPr>
      <w:r>
        <w:t xml:space="preserve">Pour l’hôtel, la baisse de 15 % du chiffre d’affaires fait chuter le CFADS de 29 % : un hôtel a beaucoup de charges fixes, donc un levier opérationnel fort. Le DSCR tombe à 0,75 : le projet ne paierait que les trois quarts de sa dette. Le plafond C3 limite la note à 4, et le DSCR central, déjà sous le seuil critique du tourisme (1,60), déclenche aussi le plafond C2.</w:t>
      </w:r>
    </w:p>
    <w:p>
      <w:pPr>
        <w:pStyle w:val="Heading1"/>
      </w:pPr>
      <w:r>
        <w:t xml:space="preserve">6. Bien choisir le scénario défavorable</w:t>
      </w:r>
    </w:p>
    <w:p>
      <w:pPr>
        <w:spacing w:after="140" w:line="300"/>
      </w:pPr>
      <w:r>
        <w:t xml:space="preserve">Le stress test ne vaut que par la qualité du scénario. Quelques principes :</w:t>
      </w:r>
    </w:p>
    <w:p>
      <w:pPr>
        <w:pStyle w:val="ListParagraph"/>
        <w:numPr>
          <w:ilvl w:val="0"/>
          <w:numId w:val="2"/>
        </w:numPr>
        <w:spacing w:after="70" w:line="290"/>
      </w:pPr>
      <w:r>
        <w:rPr>
          <w:b/>
          <w:bCs/>
        </w:rPr>
        <w:t xml:space="preserve">Viser le risque principal du projet, </w:t>
      </w:r>
      <w:r>
        <w:t xml:space="preserve">celui qui fait vraiment varier les flux, plutôt qu’une baisse uniforme de tout.</w:t>
      </w:r>
    </w:p>
    <w:p>
      <w:pPr>
        <w:pStyle w:val="ListParagraph"/>
        <w:numPr>
          <w:ilvl w:val="0"/>
          <w:numId w:val="2"/>
        </w:numPr>
        <w:spacing w:after="70" w:line="290"/>
      </w:pPr>
      <w:r>
        <w:rPr>
          <w:b/>
          <w:bCs/>
        </w:rPr>
        <w:t xml:space="preserve">Rester sévère mais plausible : </w:t>
      </w:r>
      <w:r>
        <w:t xml:space="preserve">un scénario qui peut arriver pendant la durée du prêt, pas une catastrophe sans précédent, ni un simple aléa.</w:t>
      </w:r>
    </w:p>
    <w:p>
      <w:pPr>
        <w:pStyle w:val="ListParagraph"/>
        <w:numPr>
          <w:ilvl w:val="0"/>
          <w:numId w:val="2"/>
        </w:numPr>
        <w:spacing w:after="70" w:line="290"/>
      </w:pPr>
      <w:r>
        <w:rPr>
          <w:b/>
          <w:bCs/>
        </w:rPr>
        <w:t xml:space="preserve">S’appuyer sur des sources : </w:t>
      </w:r>
      <w:r>
        <w:t xml:space="preserve">étude de ressource (P90), conseiller technique ou de marché, historique du secteur, « banking case » des prêteurs.</w:t>
      </w:r>
    </w:p>
    <w:p>
      <w:pPr>
        <w:pStyle w:val="ListParagraph"/>
        <w:numPr>
          <w:ilvl w:val="0"/>
          <w:numId w:val="2"/>
        </w:numPr>
        <w:spacing w:after="70" w:line="290"/>
      </w:pPr>
      <w:r>
        <w:rPr>
          <w:b/>
          <w:bCs/>
        </w:rPr>
        <w:t xml:space="preserve">Tenir compte des protections contractuelles : </w:t>
      </w:r>
      <w:r>
        <w:t xml:space="preserve">un contrat take-or-pay protège des volumes, une clause d’indexation protège des coûts. Le scénario doit viser ce qui n’est pas couvert.</w:t>
      </w:r>
    </w:p>
    <w:p>
      <w:pPr>
        <w:pStyle w:val="ListParagraph"/>
        <w:numPr>
          <w:ilvl w:val="0"/>
          <w:numId w:val="2"/>
        </w:numPr>
        <w:spacing w:after="70" w:line="290"/>
      </w:pPr>
      <w:r>
        <w:rPr>
          <w:b/>
          <w:bCs/>
        </w:rPr>
        <w:t xml:space="preserve">Le décrire et le justifier </w:t>
      </w:r>
      <w:r>
        <w:t xml:space="preserve">dans la saisie : le comité doit pouvoir le discuter.</w:t>
      </w:r>
    </w:p>
    <w:p>
      <w:pPr>
        <w:spacing w:after="140" w:line="300"/>
      </w:pPr>
      <w:r>
        <w:t xml:space="preserve">Scénarios retenus dans les cas de test, par secteur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7"/>
        <w:gridCol w:w="2327"/>
        <w:gridCol w:w="4652"/>
      </w:tblGrid>
      <w:tr>
        <w:trPr>
          <w:tblHeader/>
        </w:trPr>
        <w:tc>
          <w:tcPr>
            <w:tcW w:type="dxa" w:w="2327"/>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Secteur</w:t>
            </w:r>
          </w:p>
        </w:tc>
        <w:tc>
          <w:tcPr>
            <w:tcW w:type="dxa" w:w="2327"/>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Risque visé</w:t>
            </w:r>
          </w:p>
        </w:tc>
        <w:tc>
          <w:tcPr>
            <w:tcW w:type="dxa" w:w="4652"/>
            <w:tcBorders>
              <w:top w:val="single" w:color="D9D9D9" w:sz="4"/>
              <w:left w:val="single" w:color="D9D9D9" w:sz="4"/>
              <w:bottom w:val="single" w:color="D9D9D9" w:sz="4"/>
              <w:right w:val="single" w:color="D9D9D9" w:sz="4"/>
            </w:tcBorders>
            <w:shd w:fill="E8790F" w:color="auto" w:val="clear"/>
            <w:tcMar>
              <w:top w:type="dxa" w:w="60"/>
              <w:left w:type="dxa" w:w="100"/>
              <w:bottom w:type="dxa" w:w="60"/>
              <w:right w:type="dxa" w:w="100"/>
            </w:tcMar>
          </w:tcPr>
          <w:p>
            <w:pPr>
              <w:jc w:val="left"/>
            </w:pPr>
            <w:r>
              <w:rPr>
                <w:b/>
                <w:bCs/>
                <w:color w:val="FFFFFF"/>
                <w:sz w:val="20"/>
                <w:szCs w:val="20"/>
              </w:rPr>
              <w:t xml:space="preserve">Exemple de scénario</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Énergies renouvelables</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Ressource (soleil, vent)</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Production P90 et charges + 5 à 10 %</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Dessalement, eau</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Énergie, disponibilité</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Coût de l’énergie non répercuté, disponibilité 92–93 %</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Thermique</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Disponibilité technique</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Indisponibilité d’une turbine pendant 6 mois</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Autoroutes, ports</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Trafic</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Trafic − 15 %, ou ramené au minimum garanti</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Tourisme</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Fréquentation et prix</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Occupation − 10 à − 15 points, prix − 10 %</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Agro-industrie</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Récolte, climat</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Récolte − 20 à − 25 % (stress hydrique)</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Immobilier de rendement</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Vacance et loyers</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Vacance 20 %, loyers de relocation − 5 %</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Mines</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Prix des matières</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Prix du cuivre − 25 %, coûts + 8 %</w:t>
            </w:r>
          </w:p>
        </w:tc>
      </w:tr>
      <w:tr>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bCs/>
                <w:color w:val="333333"/>
                <w:sz w:val="20"/>
                <w:szCs w:val="20"/>
              </w:rPr>
              <w:t xml:space="preserve">Santé en PPP</w:t>
            </w:r>
          </w:p>
        </w:tc>
        <w:tc>
          <w:tcPr>
            <w:tcW w:type="dxa" w:w="2327"/>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Performance</w:t>
            </w:r>
          </w:p>
        </w:tc>
        <w:tc>
          <w:tcPr>
            <w:tcW w:type="dxa" w:w="4652"/>
            <w:tcBorders>
              <w:top w:val="single" w:color="D9D9D9" w:sz="4"/>
              <w:left w:val="single" w:color="D9D9D9" w:sz="4"/>
              <w:bottom w:val="single" w:color="D9D9D9" w:sz="4"/>
              <w:right w:val="single" w:color="D9D9D9" w:sz="4"/>
            </w:tcBorders>
            <w:shd w:fill="FFFFFF" w:color="auto" w:val="clear"/>
            <w:tcMar>
              <w:top w:type="dxa" w:w="60"/>
              <w:left w:type="dxa" w:w="100"/>
              <w:bottom w:type="dxa" w:w="60"/>
              <w:right w:type="dxa" w:w="100"/>
            </w:tcMar>
          </w:tcPr>
          <w:p>
            <w:pPr>
              <w:jc w:val="left"/>
            </w:pPr>
            <w:r>
              <w:rPr>
                <w:b w:val="false"/>
                <w:bCs w:val="false"/>
                <w:color w:val="333333"/>
                <w:sz w:val="20"/>
                <w:szCs w:val="20"/>
              </w:rPr>
              <w:t xml:space="preserve">Pénalités de performance au maximum contractuel</w:t>
            </w:r>
          </w:p>
        </w:tc>
      </w:tr>
    </w:tbl>
    <w:p>
      <w:pPr>
        <w:spacing w:after="120"/>
      </w:pPr>
    </w:p>
    <w:p>
      <w:pPr>
        <w:pStyle w:val="Heading1"/>
      </w:pPr>
      <w:r>
        <w:t xml:space="preserve">7. Un complément de lecture : le point mort</w:t>
      </w:r>
    </w:p>
    <w:p>
      <w:pPr>
        <w:spacing w:after="140" w:line="300"/>
      </w:pPr>
      <w:r>
        <w:t xml:space="preserve">On peut retourner la question : quelle baisse de CFADS le projet peut-il supporter avant de ne plus payer sa dette ? La réponse se lit directement sur le DSCR minimum central :</w:t>
      </w:r>
    </w:p>
    <w:p>
      <w:pPr>
        <w:pBdr>
          <w:left w:val="single" w:color="E8790F" w:sz="18" w:space="8"/>
        </w:pBdr>
        <w:shd w:fill="FDEBD3" w:color="auto" w:val="clear"/>
        <w:spacing w:after="200" w:before="120" w:line="300"/>
        <w:ind w:left="160" w:right="160"/>
      </w:pPr>
      <w:r>
        <w:rPr>
          <w:b/>
          <w:bCs/>
          <w:color w:val="5A3A1E"/>
        </w:rPr>
        <w:t xml:space="preserve">Baisse de CFADS supportable avant défaut = 1 − 1 ÷ DSCR minimum</w:t>
      </w:r>
      <w:r>
        <w:br/>
        <w:t xml:space="preserve"/>
      </w:r>
      <w:r>
        <w:t xml:space="preserve">Centrale solaire : 1 − 1 ÷ 1,30 = 23 %. Le choc retenu (13,8 %) laisse encore de la marge.</w:t>
      </w:r>
      <w:r>
        <w:br/>
        <w:t xml:space="preserve"/>
      </w:r>
      <w:r>
        <w:t xml:space="preserve">Hôtel : 1 − 1 ÷ 1,06 = 6 %. Le moindre aléa met le projet en défaut.</w:t>
      </w:r>
    </w:p>
    <w:p>
      <w:pPr>
        <w:spacing w:after="140" w:line="300"/>
      </w:pPr>
      <w:r>
        <w:rPr>
          <w:i/>
          <w:iCs/>
          <w:color w:val="7A7A7A"/>
        </w:rPr>
        <w:t xml:space="preserve">Ce calcul n’est pas fait par l’outil ; c’est une aide à la lecture du comité, utile pour comparer la marge de sécurité de deux projets.</w:t>
      </w:r>
    </w:p>
    <w:p>
      <w:pPr>
        <w:pStyle w:val="Heading1"/>
      </w:pPr>
      <w:r>
        <w:t xml:space="preserve">8. Questions fréquentes</w:t>
      </w:r>
    </w:p>
    <w:p>
      <w:pPr>
        <w:spacing w:after="140" w:line="300"/>
      </w:pPr>
      <w:r>
        <w:rPr>
          <w:b/>
          <w:bCs/>
        </w:rPr>
        <w:t xml:space="preserve">Le stress test change-t-il le DSCR de base ? </w:t>
      </w:r>
      <w:r>
        <w:t xml:space="preserve">Non. Le scénario central reste noté par N1 ; le scénario défavorable est noté séparément par N2. Les deux comptent.</w:t>
      </w:r>
    </w:p>
    <w:p>
      <w:pPr>
        <w:spacing w:after="140" w:line="300"/>
      </w:pPr>
      <w:r>
        <w:rPr>
          <w:b/>
          <w:bCs/>
        </w:rPr>
        <w:t xml:space="preserve">Que se passe-t-il si le choc n’est pas renseigné ? </w:t>
      </w:r>
      <w:r>
        <w:t xml:space="preserve">Le modèle le signale comme élément manquant du bloc 6. À défaut, aucune baisse ne serait appliquée et le DSCR stressé serait égal au DSCR central, ce qui serait trop favorable : le choc doit donc toujours être renseigné et justifié.</w:t>
      </w:r>
    </w:p>
    <w:p>
      <w:pPr>
        <w:spacing w:after="140" w:line="300"/>
      </w:pPr>
      <w:r>
        <w:rPr>
          <w:b/>
          <w:bCs/>
        </w:rPr>
        <w:t xml:space="preserve">Faut-il préférer le choc unique ou le CFADS stressé par échéance ? </w:t>
      </w:r>
      <w:r>
        <w:t xml:space="preserve">Le CFADS stressé par échéance est plus précis quand le modèle financier du sponsor ou de la banque fournit un cas défavorable. Le choc unique est plus simple et suffit pour la plupart des dossiers.</w:t>
      </w:r>
    </w:p>
    <w:p>
      <w:pPr>
        <w:spacing w:after="140" w:line="300"/>
      </w:pPr>
      <w:r>
        <w:rPr>
          <w:b/>
          <w:bCs/>
        </w:rPr>
        <w:t xml:space="preserve">Un DSCR stressé sous 1,00 veut-il dire refus ? </w:t>
      </w:r>
      <w:r>
        <w:t xml:space="preserve">Pas automatiquement. La note est plafonnée à 4 : le dossier peut encore être présenté, mais avec des mitigants solides (réserve de service de la dette plus longue, garantie du sponsor, restructuration de la dette). Le cas agro-industriel en est l’illustration : après restructuration (variante B), le DSCR stressé remonte de 0,40 à 1,13 et la note passe de 3 à 6.</w:t>
      </w:r>
    </w:p>
    <w:p>
      <w:pPr>
        <w:pStyle w:val="Heading1"/>
      </w:pPr>
      <w:r>
        <w:t xml:space="preserve">À retenir</w:t>
      </w:r>
    </w:p>
    <w:p>
      <w:pPr>
        <w:pStyle w:val="ListParagraph"/>
        <w:numPr>
          <w:ilvl w:val="0"/>
          <w:numId w:val="2"/>
        </w:numPr>
        <w:spacing w:after="70" w:line="290"/>
      </w:pPr>
      <w:r>
        <w:t xml:space="preserve">Le stress test mesure la capacité du projet à payer sa dette si son principal risque se matérialise.</w:t>
      </w:r>
    </w:p>
    <w:p>
      <w:pPr>
        <w:pStyle w:val="ListParagraph"/>
        <w:numPr>
          <w:ilvl w:val="0"/>
          <w:numId w:val="2"/>
        </w:numPr>
        <w:spacing w:after="70" w:line="290"/>
      </w:pPr>
      <w:r>
        <w:t xml:space="preserve">Il se résume à un DSCR recalculé avec un CFADS dégradé, dont on retient le minimum (indicateur N2).</w:t>
      </w:r>
    </w:p>
    <w:p>
      <w:pPr>
        <w:pStyle w:val="ListParagraph"/>
        <w:numPr>
          <w:ilvl w:val="0"/>
          <w:numId w:val="2"/>
        </w:numPr>
        <w:spacing w:after="70" w:line="290"/>
      </w:pPr>
      <w:r>
        <w:t xml:space="preserve">La baisse du CFADS est en général plus forte que celle des recettes, à cause des charges fixes.</w:t>
      </w:r>
    </w:p>
    <w:p>
      <w:pPr>
        <w:pStyle w:val="ListParagraph"/>
        <w:numPr>
          <w:ilvl w:val="0"/>
          <w:numId w:val="2"/>
        </w:numPr>
        <w:spacing w:after="70" w:line="290"/>
      </w:pPr>
      <w:r>
        <w:t xml:space="preserve">N2 influence modérément le score ; sous 1,00x, le plafond C3 limite la note à 4.</w:t>
      </w:r>
    </w:p>
    <w:p>
      <w:pPr>
        <w:pStyle w:val="ListParagraph"/>
        <w:numPr>
          <w:ilvl w:val="0"/>
          <w:numId w:val="2"/>
        </w:numPr>
        <w:spacing w:after="70" w:line="290"/>
      </w:pPr>
      <w:r>
        <w:t xml:space="preserve">Le résultat dépend du scénario : il doit viser le vrai risque du projet, être sévère mais plausible, et documenté.</w:t>
      </w:r>
    </w:p>
    <w:p>
      <w:pPr>
        <w:spacing w:before="240"/>
      </w:pPr>
      <w:r>
        <w:rPr>
          <w:i/>
          <w:iCs/>
          <w:color w:val="7A7A7A"/>
          <w:sz w:val="19"/>
          <w:szCs w:val="19"/>
        </w:rPr>
        <w:t xml:space="preserve">Les paramètres cités (seuils, poids, plafonds) sont les paramètres candidats du modèle, à valider par le comité de validation. Les cas cités sont fictifs.</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A7A"/>
        <w:sz w:val="18"/>
        <w:szCs w:val="18"/>
      </w:rPr>
      <w:t xml:space="preserve">Risques Groupe · Le volet stress test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E8790F"/>
      </w:rPr>
    </w:lvl>
  </w:abstractNum>
  <w:abstractNum w:abstractNumId="3" w15:restartNumberingAfterBreak="0">
    <w:multiLevelType w:val="hybridMultilevel"/>
    <w:lvl w:ilvl="0" w15:tentative="1">
      <w:start w:val="1"/>
      <w:numFmt w:val="decimal"/>
      <w:lvlText w:val="%1."/>
      <w:lvlJc w:val="left"/>
      <w:pPr>
        <w:ind w:left="500" w:hanging="320"/>
      </w:pPr>
      <w:rPr>
        <w:b/>
        <w:bCs/>
        <w:color w:val="E8790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E8790F"/>
      <w:sz w:val="44"/>
      <w:szCs w:val="44"/>
    </w:rPr>
  </w:style>
  <w:style w:type="paragraph" w:styleId="Heading1">
    <w:name w:val="Heading 1"/>
    <w:basedOn w:val="Normal"/>
    <w:next w:val="Normal"/>
    <w:qFormat/>
    <w:pPr>
      <w:keepNext/>
      <w:spacing w:after="120" w:before="320"/>
      <w:outlineLvl w:val="0"/>
    </w:pPr>
    <w:rPr>
      <w:rFonts w:ascii="Calibri" w:cs="Calibri" w:eastAsia="Calibri" w:hAnsi="Calibri"/>
      <w:b/>
      <w:bCs/>
      <w:color w:val="E8790F"/>
      <w:sz w:val="30"/>
      <w:szCs w:val="30"/>
    </w:rPr>
  </w:style>
  <w:style w:type="paragraph" w:styleId="Heading2">
    <w:name w:val="Heading 2"/>
    <w:basedOn w:val="Normal"/>
    <w:next w:val="Normal"/>
    <w:qFormat/>
    <w:pPr>
      <w:keepNext/>
      <w:spacing w:after="80" w:before="200"/>
      <w:outlineLvl w:val="1"/>
    </w:pPr>
    <w:rPr>
      <w:rFonts w:ascii="Calibri" w:cs="Calibri" w:eastAsia="Calibri" w:hAnsi="Calibri"/>
      <w:b/>
      <w:bCs/>
      <w:color w:val="5A3A1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volet stress test du modèle de scoring Project Finance</dc:title>
  <dc:creator>Risques Groupe</dc:creator>
  <cp:lastModifiedBy>Un-named</cp:lastModifiedBy>
  <cp:revision>1</cp:revision>
  <dcterms:created xsi:type="dcterms:W3CDTF">2026-10-20T13:26:41.610Z</dcterms:created>
  <dcterms:modified xsi:type="dcterms:W3CDTF">2026-10-20T13:26:41.610Z</dcterms:modified>
</cp:coreProperties>
</file>

<file path=docProps/custom.xml><?xml version="1.0" encoding="utf-8"?>
<Properties xmlns="http://schemas.openxmlformats.org/officeDocument/2006/custom-properties" xmlns:vt="http://schemas.openxmlformats.org/officeDocument/2006/docPropsVTypes"/>
</file>