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Calibri" w:cs="Calibri" w:eastAsia="Calibri" w:hAnsi="Calibri"/>
          <w:b/>
          <w:bCs/>
          <w:color w:val="1F3864"/>
          <w:sz w:val="52"/>
          <w:szCs w:val="52"/>
        </w:rPr>
        <w:t xml:space="preserve">NOTE DE PROGRESSION</w:t>
      </w:r>
    </w:p>
    <w:p>
      <w:pPr>
        <w:spacing w:before="60"/>
        <w:jc w:val="center"/>
      </w:pPr>
      <w:r>
        <w:rPr>
          <w:rFonts w:ascii="Calibri" w:cs="Calibri" w:eastAsia="Calibri" w:hAnsi="Calibri"/>
          <w:b/>
          <w:bCs/>
          <w:color w:val="2E5496"/>
          <w:sz w:val="40"/>
          <w:szCs w:val="40"/>
        </w:rPr>
        <w:t xml:space="preserve">Remédiation du diagnostic — 2ᵉ lot</w:t>
      </w:r>
    </w:p>
    <w:p>
      <w:pPr>
        <w:pBdr>
          <w:top w:val="single" w:color="D9E1F2" w:sz="12" w:space="8"/>
        </w:pBdr>
        <w:spacing w:before="240"/>
        <w:jc w:val="center"/>
      </w:pPr>
      <w:r>
        <w:rPr>
          <w:sz w:val="2"/>
          <w:szCs w:val="2"/>
        </w:rPr>
        <w:t xml:space="preserve"/>
      </w:r>
    </w:p>
    <w:p>
      <w:pPr>
        <w:spacing w:before="300"/>
        <w:jc w:val="center"/>
      </w:pPr>
      <w:r>
        <w:rPr>
          <w:rFonts w:ascii="Calibri" w:cs="Calibri" w:eastAsia="Calibri" w:hAnsi="Calibri"/>
          <w:i/>
          <w:iCs/>
          <w:color w:val="595959"/>
          <w:sz w:val="24"/>
          <w:szCs w:val="24"/>
        </w:rPr>
        <w:t xml:space="preserve">Trésorerie &amp; impasse (F07) · Grilles par phase (F11) · Coefficients territoriaux (F13) · LGD (F14)</w:t>
      </w:r>
    </w:p>
    <w:p>
      <w:pPr>
        <w:spacing w:before="1400"/>
        <w:jc w:val="center"/>
      </w:pPr>
      <w:r>
        <w:rPr>
          <w:rFonts w:ascii="Calibri" w:cs="Calibri" w:eastAsia="Calibri" w:hAnsi="Calibri"/>
          <w:b/>
          <w:bCs/>
          <w:color w:val="1F3864"/>
          <w:sz w:val="22"/>
          <w:szCs w:val="22"/>
        </w:rPr>
        <w:t xml:space="preserve">PI_PROMOTION — modèle v3.0.0 · fonctions déployées en production</w:t>
      </w:r>
    </w:p>
    <w:p>
      <w:pPr>
        <w:spacing w:before="40"/>
        <w:jc w:val="center"/>
      </w:pPr>
      <w:r>
        <w:rPr>
          <w:rFonts w:ascii="Calibri" w:cs="Calibri" w:eastAsia="Calibri" w:hAnsi="Calibri"/>
          <w:color w:val="595959"/>
          <w:sz w:val="20"/>
          <w:szCs w:val="20"/>
        </w:rPr>
        <w:t xml:space="preserve">Date d'édition : 20 septembre 2026</w:t>
      </w:r>
    </w:p>
    <w:p>
      <w:r>
        <w:br w:type="page"/>
      </w:r>
    </w:p>
    <w:p>
      <w:pPr>
        <w:pStyle w:val="Heading1"/>
        <w:spacing w:after="120" w:before="0" w:line="276"/>
      </w:pPr>
      <w:r>
        <w:rPr>
          <w:rFonts w:ascii="Calibri" w:cs="Calibri" w:eastAsia="Calibri" w:hAnsi="Calibri"/>
          <w:sz w:val="21"/>
          <w:szCs w:val="21"/>
        </w:rPr>
        <w:t xml:space="preserve">1. Objet</w:t>
      </w:r>
    </w:p>
    <w:p>
      <w:pPr>
        <w:spacing w:after="120" w:before="0" w:line="276"/>
      </w:pPr>
      <w:r>
        <w:rPr>
          <w:rFonts w:ascii="Calibri" w:cs="Calibri" w:eastAsia="Calibri" w:hAnsi="Calibri"/>
          <w:sz w:val="21"/>
          <w:szCs w:val="21"/>
        </w:rPr>
        <w:t xml:space="preserve">Cette note complète la spécification du modèle v3.0.0. Après le 1er lot (invariants de décision P0, séparation des objets, vision lotissement, gouvernance événementielle), quatre chantiers structurants du diagnostic ont été intégrés et déployés : la reconstruction de la trésorerie mensuelle (F07), les grilles de pondération par phase (F11), le traitement des coefficients territoriaux (F13) et le waterfall de recouvrement / LGD (F14).</w:t>
      </w:r>
    </w:p>
    <w:p>
      <w:pPr>
        <w:pStyle w:val="Heading1"/>
        <w:spacing w:after="120" w:before="0" w:line="276"/>
      </w:pPr>
      <w:r>
        <w:rPr>
          <w:rFonts w:ascii="Calibri" w:cs="Calibri" w:eastAsia="Calibri" w:hAnsi="Calibri"/>
          <w:sz w:val="21"/>
          <w:szCs w:val="21"/>
        </w:rPr>
        <w:t xml:space="preserve">2. État des 18 constats après ce lot</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3400"/>
        <w:gridCol w:w="1500"/>
        <w:gridCol w:w="4126"/>
      </w:tblGrid>
      <w:tr>
        <w:trPr>
          <w:tblHeader/>
        </w:trPr>
        <w:tc>
          <w:tcPr>
            <w:tcW w:type="dxa" w:w="34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Constats</w:t>
            </w:r>
          </w:p>
        </w:tc>
        <w:tc>
          <w:tcPr>
            <w:tcW w:type="dxa" w:w="15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Statut</w:t>
            </w:r>
          </w:p>
        </w:tc>
        <w:tc>
          <w:tcPr>
            <w:tcW w:type="dxa" w:w="4126"/>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Livraison</w:t>
            </w:r>
          </w:p>
        </w:tc>
      </w:tr>
      <w:tr>
        <w:tc>
          <w:tcPr>
            <w:tcW w:type="dxa" w:w="3400"/>
            <w:tcMar>
              <w:top w:type="dxa" w:w="40"/>
              <w:left w:type="dxa" w:w="90"/>
              <w:bottom w:type="dxa" w:w="40"/>
              <w:right w:type="dxa" w:w="90"/>
            </w:tcMar>
          </w:tcPr>
          <w:p>
            <w:pPr>
              <w:spacing w:after="0" w:line="252"/>
              <w:jc w:val="left"/>
            </w:pPr>
            <w:r>
              <w:rPr>
                <w:rFonts w:ascii="Calibri" w:cs="Calibri" w:eastAsia="Calibri" w:hAnsi="Calibri"/>
                <w:sz w:val="18"/>
                <w:szCs w:val="18"/>
              </w:rPr>
              <w:t xml:space="preserve">F01–F06, F08, F09, F10, F15, F17</w:t>
            </w:r>
          </w:p>
        </w:tc>
        <w:tc>
          <w:tcPr>
            <w:tcW w:type="dxa" w:w="1500"/>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Intégré</w:t>
            </w:r>
          </w:p>
        </w:tc>
        <w:tc>
          <w:tcPr>
            <w:tcW w:type="dxa" w:w="4126"/>
            <w:tcMar>
              <w:top w:type="dxa" w:w="40"/>
              <w:left w:type="dxa" w:w="90"/>
              <w:bottom w:type="dxa" w:w="40"/>
              <w:right w:type="dxa" w:w="90"/>
            </w:tcMar>
          </w:tcPr>
          <w:p>
            <w:pPr>
              <w:spacing w:after="0" w:line="252"/>
              <w:jc w:val="left"/>
            </w:pPr>
            <w:r>
              <w:rPr>
                <w:rFonts w:ascii="Calibri" w:cs="Calibri" w:eastAsia="Calibri" w:hAnsi="Calibri"/>
                <w:sz w:val="18"/>
                <w:szCs w:val="18"/>
              </w:rPr>
              <w:t xml:space="preserve">1er lot — invariants de décision, séparation défaut/perte, stress aux identités, bornes, gates par jalon, métadonnées versionnées.</w:t>
            </w:r>
          </w:p>
        </w:tc>
      </w:tr>
      <w:tr>
        <w:tc>
          <w:tcPr>
            <w:tcW w:type="dxa" w:w="34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F07 — trésorerie &amp; impasse</w:t>
            </w:r>
          </w:p>
        </w:tc>
        <w:tc>
          <w:tcPr>
            <w:tcW w:type="dxa" w:w="15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Intégré</w:t>
            </w:r>
          </w:p>
        </w:tc>
        <w:tc>
          <w:tcPr>
            <w:tcW w:type="dxa" w:w="41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Budget mensuel, besoin de financement max, date de rupture, ratios reconstitués, stress sur les flux.</w:t>
            </w:r>
          </w:p>
        </w:tc>
      </w:tr>
      <w:tr>
        <w:tc>
          <w:tcPr>
            <w:tcW w:type="dxa" w:w="3400"/>
            <w:tcMar>
              <w:top w:type="dxa" w:w="40"/>
              <w:left w:type="dxa" w:w="90"/>
              <w:bottom w:type="dxa" w:w="40"/>
              <w:right w:type="dxa" w:w="90"/>
            </w:tcMar>
          </w:tcPr>
          <w:p>
            <w:pPr>
              <w:spacing w:after="0" w:line="252"/>
              <w:jc w:val="left"/>
            </w:pPr>
            <w:r>
              <w:rPr>
                <w:rFonts w:ascii="Calibri" w:cs="Calibri" w:eastAsia="Calibri" w:hAnsi="Calibri"/>
                <w:sz w:val="18"/>
                <w:szCs w:val="18"/>
              </w:rPr>
              <w:t xml:space="preserve">F09 / F14 — note de sûretés &amp; LGD</w:t>
            </w:r>
          </w:p>
        </w:tc>
        <w:tc>
          <w:tcPr>
            <w:tcW w:type="dxa" w:w="1500"/>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Intégré</w:t>
            </w:r>
          </w:p>
        </w:tc>
        <w:tc>
          <w:tcPr>
            <w:tcW w:type="dxa" w:w="4126"/>
            <w:tcMar>
              <w:top w:type="dxa" w:w="40"/>
              <w:left w:type="dxa" w:w="90"/>
              <w:bottom w:type="dxa" w:w="40"/>
              <w:right w:type="dxa" w:w="90"/>
            </w:tcMar>
          </w:tcPr>
          <w:p>
            <w:pPr>
              <w:spacing w:after="0" w:line="252"/>
              <w:jc w:val="left"/>
            </w:pPr>
            <w:r>
              <w:rPr>
                <w:rFonts w:ascii="Calibri" w:cs="Calibri" w:eastAsia="Calibri" w:hAnsi="Calibri"/>
                <w:sz w:val="18"/>
                <w:szCs w:val="18"/>
              </w:rPr>
              <w:t xml:space="preserve">Note de sûretés séparée + waterfall de recouvrement (LGD par scénario).</w:t>
            </w:r>
          </w:p>
        </w:tc>
      </w:tr>
      <w:tr>
        <w:tc>
          <w:tcPr>
            <w:tcW w:type="dxa" w:w="34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F11 — grilles par phase</w:t>
            </w:r>
          </w:p>
        </w:tc>
        <w:tc>
          <w:tcPr>
            <w:tcW w:type="dxa" w:w="15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Intégré</w:t>
            </w:r>
          </w:p>
        </w:tc>
        <w:tc>
          <w:tcPr>
            <w:tcW w:type="dxa" w:w="41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Profils de pondération par phase, en challenger (score officiel inchangé).</w:t>
            </w:r>
          </w:p>
        </w:tc>
      </w:tr>
      <w:tr>
        <w:tc>
          <w:tcPr>
            <w:tcW w:type="dxa" w:w="3400"/>
            <w:tcMar>
              <w:top w:type="dxa" w:w="40"/>
              <w:left w:type="dxa" w:w="90"/>
              <w:bottom w:type="dxa" w:w="40"/>
              <w:right w:type="dxa" w:w="90"/>
            </w:tcMar>
          </w:tcPr>
          <w:p>
            <w:pPr>
              <w:spacing w:after="0" w:line="252"/>
              <w:jc w:val="left"/>
            </w:pPr>
            <w:r>
              <w:rPr>
                <w:rFonts w:ascii="Calibri" w:cs="Calibri" w:eastAsia="Calibri" w:hAnsi="Calibri"/>
                <w:sz w:val="18"/>
                <w:szCs w:val="18"/>
              </w:rPr>
              <w:t xml:space="preserve">F13 — coefficients territoriaux</w:t>
            </w:r>
          </w:p>
        </w:tc>
        <w:tc>
          <w:tcPr>
            <w:tcW w:type="dxa" w:w="1500"/>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Intégré</w:t>
            </w:r>
          </w:p>
        </w:tc>
        <w:tc>
          <w:tcPr>
            <w:tcW w:type="dxa" w:w="4126"/>
            <w:tcMar>
              <w:top w:type="dxa" w:w="40"/>
              <w:left w:type="dxa" w:w="90"/>
              <w:bottom w:type="dxa" w:w="40"/>
              <w:right w:type="dxa" w:w="90"/>
            </w:tcMar>
          </w:tcPr>
          <w:p>
            <w:pPr>
              <w:spacing w:after="0" w:line="252"/>
              <w:jc w:val="left"/>
            </w:pPr>
            <w:r>
              <w:rPr>
                <w:rFonts w:ascii="Calibri" w:cs="Calibri" w:eastAsia="Calibri" w:hAnsi="Calibri"/>
                <w:sz w:val="18"/>
                <w:szCs w:val="18"/>
              </w:rPr>
              <w:t xml:space="preserve">Signalement segment/zone inconnus + challenger neutralisant les coefficients non étayés.</w:t>
            </w:r>
          </w:p>
        </w:tc>
      </w:tr>
      <w:tr>
        <w:tc>
          <w:tcPr>
            <w:tcW w:type="dxa" w:w="34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F16 — calibration PD</w:t>
            </w:r>
          </w:p>
        </w:tc>
        <w:tc>
          <w:tcPr>
            <w:tcW w:type="dxa" w:w="15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BF8F00"/>
                <w:sz w:val="15"/>
                <w:szCs w:val="15"/>
              </w:rPr>
              <w:t xml:space="preserve">Programme données</w:t>
            </w:r>
          </w:p>
        </w:tc>
        <w:tc>
          <w:tcPr>
            <w:tcW w:type="dxa" w:w="41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PD marquée indicative ; calibration statistique = programme de validation (historique de défauts).</w:t>
            </w:r>
          </w:p>
        </w:tc>
      </w:tr>
      <w:tr>
        <w:tc>
          <w:tcPr>
            <w:tcW w:type="dxa" w:w="3400"/>
            <w:tcMar>
              <w:top w:type="dxa" w:w="40"/>
              <w:left w:type="dxa" w:w="90"/>
              <w:bottom w:type="dxa" w:w="40"/>
              <w:right w:type="dxa" w:w="90"/>
            </w:tcMar>
          </w:tcPr>
          <w:p>
            <w:pPr>
              <w:spacing w:after="0" w:line="252"/>
              <w:jc w:val="left"/>
            </w:pPr>
            <w:r>
              <w:rPr>
                <w:rFonts w:ascii="Calibri" w:cs="Calibri" w:eastAsia="Calibri" w:hAnsi="Calibri"/>
                <w:sz w:val="18"/>
                <w:szCs w:val="18"/>
              </w:rPr>
              <w:t xml:space="preserve">F12 — capacité de soutien sponsor</w:t>
            </w:r>
          </w:p>
        </w:tc>
        <w:tc>
          <w:tcPr>
            <w:tcW w:type="dxa" w:w="1500"/>
            <w:tcMar>
              <w:top w:type="dxa" w:w="40"/>
              <w:left w:type="dxa" w:w="90"/>
              <w:bottom w:type="dxa" w:w="40"/>
              <w:right w:type="dxa" w:w="90"/>
            </w:tcMar>
          </w:tcPr>
          <w:p>
            <w:pPr>
              <w:spacing w:after="0" w:line="252"/>
              <w:jc w:val="center"/>
            </w:pPr>
            <w:r>
              <w:rPr>
                <w:rFonts w:ascii="Calibri" w:cs="Calibri" w:eastAsia="Calibri" w:hAnsi="Calibri"/>
                <w:b/>
                <w:bCs/>
                <w:color w:val="BF8F00"/>
                <w:sz w:val="15"/>
                <w:szCs w:val="15"/>
              </w:rPr>
              <w:t xml:space="preserve">Programme données</w:t>
            </w:r>
          </w:p>
        </w:tc>
        <w:tc>
          <w:tcPr>
            <w:tcW w:type="dxa" w:w="4126"/>
            <w:tcMar>
              <w:top w:type="dxa" w:w="40"/>
              <w:left w:type="dxa" w:w="90"/>
              <w:bottom w:type="dxa" w:w="40"/>
              <w:right w:type="dxa" w:w="90"/>
            </w:tcMar>
          </w:tcPr>
          <w:p>
            <w:pPr>
              <w:spacing w:after="0" w:line="252"/>
              <w:jc w:val="left"/>
            </w:pPr>
            <w:r>
              <w:rPr>
                <w:rFonts w:ascii="Calibri" w:cs="Calibri" w:eastAsia="Calibri" w:hAnsi="Calibri"/>
                <w:sz w:val="18"/>
                <w:szCs w:val="18"/>
              </w:rPr>
              <w:t xml:space="preserve">Contagion groupe en place ; bilan de soutien détaillé = capture de données dédiée.</w:t>
            </w:r>
          </w:p>
        </w:tc>
      </w:tr>
      <w:tr>
        <w:tc>
          <w:tcPr>
            <w:tcW w:type="dxa" w:w="34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F18 — risques climat/technique</w:t>
            </w:r>
          </w:p>
        </w:tc>
        <w:tc>
          <w:tcPr>
            <w:tcW w:type="dxa" w:w="15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BF8F00"/>
                <w:sz w:val="15"/>
                <w:szCs w:val="15"/>
              </w:rPr>
              <w:t xml:space="preserve">Programme données</w:t>
            </w:r>
          </w:p>
        </w:tc>
        <w:tc>
          <w:tcPr>
            <w:tcW w:type="dxa" w:w="41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Rattachement d'événements en place ; canaux géolocalisés = données externes.</w:t>
            </w:r>
          </w:p>
        </w:tc>
      </w:tr>
    </w:tbl>
    <w:p>
      <w:r>
        <w:br w:type="page"/>
      </w:r>
    </w:p>
    <w:p>
      <w:pPr>
        <w:pStyle w:val="Heading1"/>
        <w:spacing w:after="120" w:before="0" w:line="276"/>
      </w:pPr>
      <w:r>
        <w:rPr>
          <w:rFonts w:ascii="Calibri" w:cs="Calibri" w:eastAsia="Calibri" w:hAnsi="Calibri"/>
          <w:sz w:val="21"/>
          <w:szCs w:val="21"/>
        </w:rPr>
        <w:t xml:space="preserve">3. F07 — Trésorerie mensuelle &amp; impasse</w:t>
      </w:r>
    </w:p>
    <w:p>
      <w:pPr>
        <w:spacing w:after="120" w:before="0" w:line="276"/>
      </w:pPr>
      <w:r>
        <w:rPr>
          <w:rFonts w:ascii="Calibri" w:cs="Calibri" w:eastAsia="Calibri" w:hAnsi="Calibri"/>
          <w:sz w:val="21"/>
          <w:szCs w:val="21"/>
        </w:rPr>
        <w:t xml:space="preserve">Réponse au constat central : « les ratios ne prouvent pas le remboursement ». Le modèle reconstitue une trajectoire de trésorerie mois par mois, jusqu'au remboursement intégral.</w:t>
      </w:r>
    </w:p>
    <w:p>
      <w:pPr>
        <w:pStyle w:val="ListParagraph"/>
        <w:numPr>
          <w:ilvl w:val="0"/>
          <w:numId w:val="2"/>
        </w:numPr>
        <w:spacing w:after="60" w:line="276"/>
      </w:pPr>
      <w:r>
        <w:rPr>
          <w:rFonts w:ascii="Calibri" w:cs="Calibri" w:eastAsia="Calibri" w:hAnsi="Calibri"/>
          <w:b/>
          <w:bCs/>
          <w:sz w:val="21"/>
          <w:szCs w:val="21"/>
        </w:rPr>
        <w:t xml:space="preserve">Relation mensuelle : </w:t>
      </w:r>
      <w:r>
        <w:rPr>
          <w:rFonts w:ascii="Calibri" w:cs="Calibri" w:eastAsia="Calibri" w:hAnsi="Calibri"/>
          <w:sz w:val="21"/>
          <w:szCs w:val="21"/>
        </w:rPr>
        <w:t xml:space="preserve">Trésorerie finale(t) = initiale(t) + encaissements + apports mobilisables + tirages engagés − paiements − service de dette − autres sorties.</w:t>
      </w:r>
    </w:p>
    <w:p>
      <w:pPr>
        <w:pStyle w:val="ListParagraph"/>
        <w:numPr>
          <w:ilvl w:val="0"/>
          <w:numId w:val="2"/>
        </w:numPr>
        <w:spacing w:after="60" w:line="276"/>
      </w:pPr>
      <w:r>
        <w:rPr>
          <w:rFonts w:ascii="Calibri" w:cs="Calibri" w:eastAsia="Calibri" w:hAnsi="Calibri"/>
          <w:b/>
          <w:bCs/>
          <w:sz w:val="21"/>
          <w:szCs w:val="21"/>
        </w:rPr>
        <w:t xml:space="preserve">Sorties utiles : </w:t>
      </w:r>
      <w:r>
        <w:rPr>
          <w:rFonts w:ascii="Calibri" w:cs="Calibri" w:eastAsia="Calibri" w:hAnsi="Calibri"/>
          <w:sz w:val="21"/>
          <w:szCs w:val="21"/>
        </w:rPr>
        <w:t xml:space="preserve">besoin de financement additionnel maximal sur l'horizon, date de rupture, dette au pic, impasse persistante.</w:t>
      </w:r>
    </w:p>
    <w:p>
      <w:pPr>
        <w:pStyle w:val="ListParagraph"/>
        <w:numPr>
          <w:ilvl w:val="0"/>
          <w:numId w:val="2"/>
        </w:numPr>
        <w:spacing w:after="60" w:line="276"/>
      </w:pPr>
      <w:r>
        <w:rPr>
          <w:rFonts w:ascii="Calibri" w:cs="Calibri" w:eastAsia="Calibri" w:hAnsi="Calibri"/>
          <w:b/>
          <w:bCs/>
          <w:sz w:val="21"/>
          <w:szCs w:val="21"/>
        </w:rPr>
        <w:t xml:space="preserve">Financement engagé vs non engagé : </w:t>
      </w:r>
      <w:r>
        <w:rPr>
          <w:rFonts w:ascii="Calibri" w:cs="Calibri" w:eastAsia="Calibri" w:hAnsi="Calibri"/>
          <w:sz w:val="21"/>
          <w:szCs w:val="21"/>
        </w:rPr>
        <w:t xml:space="preserve">seuls les tirages autorisés ET tirables comptent ; les lignes non mobilisables sont exclues du besoin.</w:t>
      </w:r>
    </w:p>
    <w:p>
      <w:pPr>
        <w:pStyle w:val="ListParagraph"/>
        <w:numPr>
          <w:ilvl w:val="0"/>
          <w:numId w:val="2"/>
        </w:numPr>
        <w:spacing w:after="60" w:line="276"/>
      </w:pPr>
      <w:r>
        <w:rPr>
          <w:rFonts w:ascii="Calibri" w:cs="Calibri" w:eastAsia="Calibri" w:hAnsi="Calibri"/>
          <w:b/>
          <w:bCs/>
          <w:sz w:val="21"/>
          <w:szCs w:val="21"/>
        </w:rPr>
        <w:t xml:space="preserve">Ratios reconstitués : </w:t>
      </w:r>
      <w:r>
        <w:rPr>
          <w:rFonts w:ascii="Calibri" w:cs="Calibri" w:eastAsia="Calibri" w:hAnsi="Calibri"/>
          <w:sz w:val="21"/>
          <w:szCs w:val="21"/>
        </w:rPr>
        <w:t xml:space="preserve">cash coverage et impasse sont dérivés des flux et peuvent alimenter le scoring (clôture F07).</w:t>
      </w:r>
    </w:p>
    <w:p>
      <w:pPr>
        <w:pStyle w:val="ListParagraph"/>
        <w:numPr>
          <w:ilvl w:val="0"/>
          <w:numId w:val="2"/>
        </w:numPr>
        <w:spacing w:after="60" w:line="276"/>
      </w:pPr>
      <w:r>
        <w:rPr>
          <w:rFonts w:ascii="Calibri" w:cs="Calibri" w:eastAsia="Calibri" w:hAnsi="Calibri"/>
          <w:b/>
          <w:bCs/>
          <w:sz w:val="21"/>
          <w:szCs w:val="21"/>
        </w:rPr>
        <w:t xml:space="preserve">Stress sur les flux : </w:t>
      </w:r>
      <w:r>
        <w:rPr>
          <w:rFonts w:ascii="Calibri" w:cs="Calibri" w:eastAsia="Calibri" w:hAnsi="Calibri"/>
          <w:sz w:val="21"/>
          <w:szCs w:val="21"/>
        </w:rPr>
        <w:t xml:space="preserve">prix, coût, ventes, report d'encaissements et taux chocent les flux primitifs, la trajectoire est recalculée.</w:t>
      </w:r>
    </w:p>
    <w:p>
      <w:pPr>
        <w:spacing w:after="120" w:before="0" w:line="276"/>
      </w:pPr>
      <w:r>
        <w:rPr>
          <w:rFonts w:ascii="Calibri" w:cs="Calibri" w:eastAsia="Calibri" w:hAnsi="Calibri"/>
          <w:b/>
          <w:bCs/>
          <w:sz w:val="21"/>
          <w:szCs w:val="21"/>
        </w:rPr>
        <w:t xml:space="preserve">Point clé (page Suivi) : </w:t>
      </w:r>
      <w:r>
        <w:rPr>
          <w:rFonts w:ascii="Calibri" w:cs="Calibri" w:eastAsia="Calibri" w:hAnsi="Calibri"/>
          <w:sz w:val="21"/>
          <w:szCs w:val="21"/>
        </w:rPr>
        <w:t xml:space="preserve">un solde global positif peut masquer une impasse intermédiaire — une recette postérieure au paiement qu'elle finance ne comble pas le déficit. La validation exige la trajectoire mensuelle.</w:t>
      </w:r>
    </w:p>
    <w:p>
      <w:pPr>
        <w:pStyle w:val="Heading1"/>
        <w:spacing w:after="120" w:before="0" w:line="276"/>
      </w:pPr>
      <w:r>
        <w:rPr>
          <w:rFonts w:ascii="Calibri" w:cs="Calibri" w:eastAsia="Calibri" w:hAnsi="Calibri"/>
          <w:sz w:val="21"/>
          <w:szCs w:val="21"/>
        </w:rPr>
        <w:t xml:space="preserve">4. F14 — Waterfall de recouvrement &amp; LGD</w:t>
      </w:r>
    </w:p>
    <w:p>
      <w:pPr>
        <w:spacing w:after="120" w:before="0" w:line="276"/>
      </w:pPr>
      <w:r>
        <w:rPr>
          <w:rFonts w:ascii="Calibri" w:cs="Calibri" w:eastAsia="Calibri" w:hAnsi="Calibri"/>
          <w:sz w:val="21"/>
          <w:szCs w:val="21"/>
        </w:rPr>
        <w:t xml:space="preserve">Une quotité de garantie, un rang et une LTV ne mesurent pas une perte après défaut. Le waterfall par actif produit une LGD.</w:t>
      </w:r>
    </w:p>
    <w:p>
      <w:pPr>
        <w:spacing w:after="120" w:before="0" w:line="276"/>
      </w:pPr>
      <w:r>
        <w:rPr>
          <w:rFonts w:ascii="Calibri" w:cs="Calibri" w:eastAsia="Calibri" w:hAnsi="Calibri"/>
          <w:b/>
          <w:bCs/>
          <w:sz w:val="21"/>
          <w:szCs w:val="21"/>
        </w:rPr>
        <w:t xml:space="preserve">Cascade : </w:t>
      </w:r>
      <w:r>
        <w:rPr>
          <w:rFonts w:ascii="Calibri" w:cs="Calibri" w:eastAsia="Calibri" w:hAnsi="Calibri"/>
          <w:sz w:val="21"/>
          <w:szCs w:val="21"/>
        </w:rPr>
        <w:t xml:space="preserve">valeur brute → coût d'achèvement → créanciers prioritaires → quotité de partage → décote de réalisation → frais de procédure → actualisation = recouvrement net attribuable à la banque.</w:t>
      </w:r>
    </w:p>
    <w:p>
      <w:pPr>
        <w:pStyle w:val="ListParagraph"/>
        <w:numPr>
          <w:ilvl w:val="0"/>
          <w:numId w:val="2"/>
        </w:numPr>
        <w:spacing w:after="60" w:line="276"/>
      </w:pPr>
      <w:r>
        <w:rPr>
          <w:rFonts w:ascii="Calibri" w:cs="Calibri" w:eastAsia="Calibri" w:hAnsi="Calibri"/>
          <w:b/>
          <w:bCs/>
          <w:sz w:val="21"/>
          <w:szCs w:val="21"/>
        </w:rPr>
        <w:t xml:space="preserve">LGD </w:t>
      </w:r>
      <w:r>
        <w:rPr>
          <w:rFonts w:ascii="Calibri" w:cs="Calibri" w:eastAsia="Calibri" w:hAnsi="Calibri"/>
          <w:sz w:val="21"/>
          <w:szCs w:val="21"/>
        </w:rPr>
        <w:t xml:space="preserve">= 1 − recouvrement net / EAD ; perte attendue (ELGD) = EAD × LGD ; scénarios base / adverse / sévère.</w:t>
      </w:r>
    </w:p>
    <w:p>
      <w:pPr>
        <w:pStyle w:val="ListParagraph"/>
        <w:numPr>
          <w:ilvl w:val="0"/>
          <w:numId w:val="2"/>
        </w:numPr>
        <w:spacing w:after="60" w:line="276"/>
      </w:pPr>
      <w:r>
        <w:rPr>
          <w:rFonts w:ascii="Calibri" w:cs="Calibri" w:eastAsia="Calibri" w:hAnsi="Calibri"/>
          <w:b/>
          <w:bCs/>
          <w:sz w:val="21"/>
          <w:szCs w:val="21"/>
        </w:rPr>
        <w:t xml:space="preserve">Trois vues : </w:t>
      </w:r>
      <w:r>
        <w:rPr>
          <w:rFonts w:ascii="Calibri" w:cs="Calibri" w:eastAsia="Calibri" w:hAnsi="Calibri"/>
          <w:sz w:val="21"/>
          <w:szCs w:val="21"/>
        </w:rPr>
        <w:t xml:space="preserve">valeur économique nette de réalisation, valeur admissible prudentielle, sûreté juridiquement opposable (éligible + 1er rang).</w:t>
      </w:r>
    </w:p>
    <w:p>
      <w:pPr>
        <w:pStyle w:val="ListParagraph"/>
        <w:numPr>
          <w:ilvl w:val="0"/>
          <w:numId w:val="2"/>
        </w:numPr>
        <w:spacing w:after="60" w:line="276"/>
      </w:pPr>
      <w:r>
        <w:rPr>
          <w:rFonts w:ascii="Calibri" w:cs="Calibri" w:eastAsia="Calibri" w:hAnsi="Calibri"/>
          <w:b/>
          <w:bCs/>
          <w:sz w:val="21"/>
          <w:szCs w:val="21"/>
        </w:rPr>
        <w:t xml:space="preserve">Anti-double comptage : </w:t>
      </w:r>
      <w:r>
        <w:rPr>
          <w:rFonts w:ascii="Calibri" w:cs="Calibri" w:eastAsia="Calibri" w:hAnsi="Calibri"/>
          <w:sz w:val="21"/>
          <w:szCs w:val="21"/>
        </w:rPr>
        <w:t xml:space="preserve">chaque lot n'est valorisé qu'une fois — la note de sûretés reste distincte de la note économique (F09).</w:t>
      </w:r>
    </w:p>
    <w:p>
      <w:pPr>
        <w:pStyle w:val="Heading1"/>
        <w:spacing w:after="120" w:before="0" w:line="276"/>
      </w:pPr>
      <w:r>
        <w:rPr>
          <w:rFonts w:ascii="Calibri" w:cs="Calibri" w:eastAsia="Calibri" w:hAnsi="Calibri"/>
          <w:sz w:val="21"/>
          <w:szCs w:val="21"/>
        </w:rPr>
        <w:t xml:space="preserve">5. F11 &amp; F13 — Challengers de pondération</w:t>
      </w:r>
    </w:p>
    <w:p>
      <w:pPr>
        <w:spacing w:after="120" w:before="0" w:line="276"/>
      </w:pPr>
      <w:r>
        <w:rPr>
          <w:rFonts w:ascii="Calibri" w:cs="Calibri" w:eastAsia="Calibri" w:hAnsi="Calibri"/>
          <w:sz w:val="21"/>
          <w:szCs w:val="21"/>
        </w:rPr>
        <w:t xml:space="preserve">Deux comparatifs sont exposés sur l'onglet Scoring, sans jamais modifier le score officiel ni la décision :</w:t>
      </w:r>
    </w:p>
    <w:p>
      <w:pPr>
        <w:pStyle w:val="ListParagraph"/>
        <w:numPr>
          <w:ilvl w:val="0"/>
          <w:numId w:val="2"/>
        </w:numPr>
        <w:spacing w:after="60" w:line="276"/>
      </w:pPr>
      <w:r>
        <w:rPr>
          <w:rFonts w:ascii="Calibri" w:cs="Calibri" w:eastAsia="Calibri" w:hAnsi="Calibri"/>
          <w:b/>
          <w:bCs/>
          <w:sz w:val="21"/>
          <w:szCs w:val="21"/>
        </w:rPr>
        <w:t xml:space="preserve">Par phase (F11) : </w:t>
      </w:r>
      <w:r>
        <w:rPr>
          <w:rFonts w:ascii="Calibri" w:cs="Calibri" w:eastAsia="Calibri" w:hAnsi="Calibri"/>
          <w:sz w:val="21"/>
          <w:szCs w:val="21"/>
        </w:rPr>
        <w:t xml:space="preserve">pré-développement / construction / écoulement appellent des lectures différentes. La grille §8.2 est proposée en challenger à valider sur échantillon avant toute adoption.</w:t>
      </w:r>
    </w:p>
    <w:p>
      <w:pPr>
        <w:pStyle w:val="ListParagraph"/>
        <w:numPr>
          <w:ilvl w:val="0"/>
          <w:numId w:val="2"/>
        </w:numPr>
        <w:spacing w:after="60" w:line="276"/>
      </w:pPr>
      <w:r>
        <w:rPr>
          <w:rFonts w:ascii="Calibri" w:cs="Calibri" w:eastAsia="Calibri" w:hAnsi="Calibri"/>
          <w:b/>
          <w:bCs/>
          <w:sz w:val="21"/>
          <w:szCs w:val="21"/>
        </w:rPr>
        <w:t xml:space="preserve">Coefficients territoriaux (F13) : </w:t>
      </w:r>
      <w:r>
        <w:rPr>
          <w:rFonts w:ascii="Calibri" w:cs="Calibri" w:eastAsia="Calibri" w:hAnsi="Calibri"/>
          <w:sz w:val="21"/>
          <w:szCs w:val="21"/>
        </w:rPr>
        <w:t xml:space="preserve">tant que les coefficients segment/zone ne sont pas étayés par une analyse de micro-marché, le challenger les neutralise. Un segment ou une zone inconnus sont désormais signalés, plus assimilés tacitement à un risque neutre.</w:t>
      </w:r>
    </w:p>
    <w:p>
      <w:pPr>
        <w:pStyle w:val="Heading1"/>
        <w:spacing w:after="120" w:before="0" w:line="276"/>
      </w:pPr>
      <w:r>
        <w:rPr>
          <w:rFonts w:ascii="Calibri" w:cs="Calibri" w:eastAsia="Calibri" w:hAnsi="Calibri"/>
          <w:sz w:val="21"/>
          <w:szCs w:val="21"/>
        </w:rPr>
        <w:t xml:space="preserve">6. Ce qui reste — programme de validation</w:t>
      </w:r>
    </w:p>
    <w:p>
      <w:pPr>
        <w:spacing w:after="120" w:before="0" w:line="276"/>
      </w:pPr>
      <w:r>
        <w:rPr>
          <w:rFonts w:ascii="Calibri" w:cs="Calibri" w:eastAsia="Calibri" w:hAnsi="Calibri"/>
          <w:sz w:val="21"/>
          <w:szCs w:val="21"/>
        </w:rPr>
        <w:t xml:space="preserve">Les items restants dépendent de données historiques et de décisions de gouvernance que l'outil ne peut pas produire seul :</w:t>
      </w:r>
    </w:p>
    <w:p>
      <w:pPr>
        <w:pStyle w:val="ListParagraph"/>
        <w:numPr>
          <w:ilvl w:val="0"/>
          <w:numId w:val="2"/>
        </w:numPr>
        <w:spacing w:after="60" w:line="276"/>
      </w:pPr>
      <w:r>
        <w:rPr>
          <w:rFonts w:ascii="Calibri" w:cs="Calibri" w:eastAsia="Calibri" w:hAnsi="Calibri"/>
          <w:b/>
          <w:bCs/>
          <w:sz w:val="21"/>
          <w:szCs w:val="21"/>
        </w:rPr>
        <w:t xml:space="preserve">Calibration statistique PD/LGD </w:t>
      </w:r>
      <w:r>
        <w:rPr>
          <w:rFonts w:ascii="Calibri" w:cs="Calibri" w:eastAsia="Calibri" w:hAnsi="Calibri"/>
          <w:sz w:val="21"/>
          <w:szCs w:val="21"/>
        </w:rPr>
        <w:t xml:space="preserve">(F16) : horizon, événement de défaut, population, backtesting hors période — nécessite un historique de défauts et de recouvrements.</w:t>
      </w:r>
    </w:p>
    <w:p>
      <w:pPr>
        <w:pStyle w:val="ListParagraph"/>
        <w:numPr>
          <w:ilvl w:val="0"/>
          <w:numId w:val="2"/>
        </w:numPr>
        <w:spacing w:after="60" w:line="276"/>
      </w:pPr>
      <w:r>
        <w:rPr>
          <w:rFonts w:ascii="Calibri" w:cs="Calibri" w:eastAsia="Calibri" w:hAnsi="Calibri"/>
          <w:b/>
          <w:bCs/>
          <w:sz w:val="21"/>
          <w:szCs w:val="21"/>
        </w:rPr>
        <w:t xml:space="preserve">Bilan de soutien du sponsor </w:t>
      </w:r>
      <w:r>
        <w:rPr>
          <w:rFonts w:ascii="Calibri" w:cs="Calibri" w:eastAsia="Calibri" w:hAnsi="Calibri"/>
          <w:sz w:val="21"/>
          <w:szCs w:val="21"/>
        </w:rPr>
        <w:t xml:space="preserve">(F12) : fonds propres tangibles, liquidité disponible, engagements concomitants, cautions croisées.</w:t>
      </w:r>
    </w:p>
    <w:p>
      <w:pPr>
        <w:pStyle w:val="ListParagraph"/>
        <w:numPr>
          <w:ilvl w:val="0"/>
          <w:numId w:val="2"/>
        </w:numPr>
        <w:spacing w:after="60" w:line="276"/>
      </w:pPr>
      <w:r>
        <w:rPr>
          <w:rFonts w:ascii="Calibri" w:cs="Calibri" w:eastAsia="Calibri" w:hAnsi="Calibri"/>
          <w:b/>
          <w:bCs/>
          <w:sz w:val="21"/>
          <w:szCs w:val="21"/>
        </w:rPr>
        <w:t xml:space="preserve">Risques locaux et climatiques </w:t>
      </w:r>
      <w:r>
        <w:rPr>
          <w:rFonts w:ascii="Calibri" w:cs="Calibri" w:eastAsia="Calibri" w:hAnsi="Calibri"/>
          <w:sz w:val="21"/>
          <w:szCs w:val="21"/>
        </w:rPr>
        <w:t xml:space="preserve">(F18) : géolocalisation, micro-marchés, eau/raccordements, traduits en scénarios de flux.</w:t>
      </w:r>
    </w:p>
    <w:p>
      <w:pPr>
        <w:pStyle w:val="ListParagraph"/>
        <w:numPr>
          <w:ilvl w:val="0"/>
          <w:numId w:val="2"/>
        </w:numPr>
        <w:spacing w:after="60" w:line="276"/>
      </w:pPr>
      <w:r>
        <w:rPr>
          <w:rFonts w:ascii="Calibri" w:cs="Calibri" w:eastAsia="Calibri" w:hAnsi="Calibri"/>
          <w:b/>
          <w:bCs/>
          <w:sz w:val="21"/>
          <w:szCs w:val="21"/>
        </w:rPr>
        <w:t xml:space="preserve">Validation indépendante </w:t>
      </w:r>
      <w:r>
        <w:rPr>
          <w:rFonts w:ascii="Calibri" w:cs="Calibri" w:eastAsia="Calibri" w:hAnsi="Calibri"/>
          <w:sz w:val="21"/>
          <w:szCs w:val="21"/>
        </w:rPr>
        <w:t xml:space="preserve">et adoption des grilles challenger (phase, coefficients) après pilote sur dossiers représentatifs.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F2" w:sz="4" w:space="4"/>
      </w:pBdr>
      <w:spacing w:after="0"/>
      <w:jc w:val="right"/>
    </w:pPr>
    <w:r>
      <w:rPr>
        <w:rFonts w:ascii="Calibri" w:cs="Calibri" w:eastAsia="Calibri" w:hAnsi="Calibri"/>
        <w:color w:val="595959"/>
        <w:sz w:val="15"/>
        <w:szCs w:val="15"/>
      </w:rPr>
      <w:t xml:space="preserve">Note de progression — remédiation diagnostic · PI_PROMOTION v3.0.0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1F2" w:sz="6" w:space="4"/>
      </w:pBdr>
      <w:spacing w:after="140" w:before="260"/>
      <w:outlineLvl w:val="0"/>
    </w:pPr>
    <w:rPr>
      <w:rFonts w:ascii="Calibri" w:cs="Calibri" w:eastAsia="Calibri" w:hAnsi="Calibri"/>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progression — remédiation diagnostic (F07/F11/F13/F14)</dc:title>
  <dc:creator>Outil de scoring PI</dc:creator>
  <dc:description>Quatre chantiers structurants intégrés au modèle v3.0.0 : trésorerie/impasse, grilles par phase, coefficients territoriaux, LGD</dc:description>
  <cp:lastModifiedBy>Un-named</cp:lastModifiedBy>
  <cp:revision>1</cp:revision>
  <dcterms:created xsi:type="dcterms:W3CDTF">2026-09-20T15:40:01.707Z</dcterms:created>
  <dcterms:modified xsi:type="dcterms:W3CDTF">2026-09-20T15:40:01.707Z</dcterms:modified>
</cp:coreProperties>
</file>

<file path=docProps/custom.xml><?xml version="1.0" encoding="utf-8"?>
<Properties xmlns="http://schemas.openxmlformats.org/officeDocument/2006/custom-properties" xmlns:vt="http://schemas.openxmlformats.org/officeDocument/2006/docPropsVTypes"/>
</file>