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jc w:val="center"/>
      </w:pPr>
      <w:r>
        <w:rPr>
          <w:rFonts w:ascii="Calibri" w:cs="Calibri" w:eastAsia="Calibri" w:hAnsi="Calibri"/>
          <w:b/>
          <w:bCs/>
          <w:color w:val="1F3864"/>
          <w:sz w:val="44"/>
          <w:szCs w:val="44"/>
        </w:rPr>
        <w:t xml:space="preserve">DIAGNOSTIC DU MODÈLE DE SCORING</w:t>
      </w:r>
    </w:p>
    <w:p>
      <w:pPr>
        <w:spacing w:before="80"/>
        <w:jc w:val="center"/>
      </w:pPr>
      <w:r>
        <w:rPr>
          <w:rFonts w:ascii="Calibri" w:cs="Calibri" w:eastAsia="Calibri" w:hAnsi="Calibri"/>
          <w:b/>
          <w:bCs/>
          <w:color w:val="2E5496"/>
          <w:sz w:val="30"/>
          <w:szCs w:val="30"/>
        </w:rPr>
        <w:t xml:space="preserve">Promotion immobilière — passage à la version 5.0.0</w:t>
      </w:r>
    </w:p>
    <w:p>
      <w:pPr>
        <w:pBdr>
          <w:top w:val="single" w:color="D9E1F2" w:sz="12" w:space="8"/>
        </w:pBdr>
        <w:spacing w:before="240"/>
        <w:jc w:val="center"/>
      </w:pPr>
      <w:r>
        <w:rPr>
          <w:rFonts w:ascii="Calibri" w:cs="Calibri" w:eastAsia="Calibri" w:hAnsi="Calibri"/>
          <w:sz w:val="2"/>
          <w:szCs w:val="2"/>
        </w:rPr>
        <w:t xml:space="preserve"/>
      </w:r>
    </w:p>
    <w:p>
      <w:pPr>
        <w:spacing w:before="240"/>
        <w:jc w:val="center"/>
      </w:pPr>
      <w:r>
        <w:rPr>
          <w:rFonts w:ascii="Calibri" w:cs="Calibri" w:eastAsia="Calibri" w:hAnsi="Calibri"/>
          <w:i/>
          <w:iCs/>
          <w:color w:val="595959"/>
          <w:sz w:val="25"/>
          <w:szCs w:val="25"/>
        </w:rPr>
        <w:t xml:space="preserve">Régionalité · financement d'une tranche · programme mixte · équipements exigés · suivi des déblocages selon le calendrier</w:t>
      </w:r>
    </w:p>
    <w:p>
      <w:pPr>
        <w:spacing w:before="1200"/>
        <w:jc w:val="center"/>
      </w:pPr>
      <w:r>
        <w:rPr>
          <w:rFonts w:ascii="Calibri" w:cs="Calibri" w:eastAsia="Calibri" w:hAnsi="Calibri"/>
          <w:b/>
          <w:bCs/>
          <w:color w:val="1F3864"/>
          <w:sz w:val="22"/>
          <w:szCs w:val="22"/>
        </w:rPr>
        <w:t xml:space="preserve">37 critères (8 nouveaux) · 18 alertes (5 nouvelles) · poids des domaines inchangés</w:t>
      </w:r>
    </w:p>
    <w:p>
      <w:pPr>
        <w:spacing w:before="40"/>
        <w:jc w:val="center"/>
      </w:pPr>
      <w:r>
        <w:rPr>
          <w:rFonts w:ascii="Calibri" w:cs="Calibri" w:eastAsia="Calibri" w:hAnsi="Calibri"/>
          <w:color w:val="595959"/>
          <w:sz w:val="20"/>
          <w:szCs w:val="20"/>
        </w:rPr>
        <w:t xml:space="preserve">1er octobre 2026 — version publiée en base (ver_5), v4 retirée</w:t>
      </w:r>
    </w:p>
    <w:p>
      <w:r>
        <w:br w:type="page"/>
      </w:r>
    </w:p>
    <w:p>
      <w:pPr>
        <w:pStyle w:val="Heading1"/>
      </w:pPr>
      <w:r>
        <w:t xml:space="preserve">Sommaire</w:t>
      </w:r>
    </w:p>
    <w:sdt>
      <w:sdtPr>
        <w:alias w:val="Sommaire"/>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Synthèse</w:t>
      </w:r>
    </w:p>
    <w:p>
      <w:pPr>
        <w:spacing w:after="120" w:before="0" w:line="276"/>
      </w:pPr>
      <w:r>
        <w:rPr>
          <w:rFonts w:ascii="Calibri" w:cs="Calibri" w:eastAsia="Calibri" w:hAnsi="Calibri"/>
          <w:sz w:val="21"/>
          <w:szCs w:val="21"/>
        </w:rPr>
        <w:t xml:space="preserve">Le projet ou le programme est re-scoré régulièrement pour suivre le risque. Le diagnostic a vérifié si le modèle v4 tenait compte de cinq réalités du financement de la promotion immobilière au Maroc, et ce qu'il fallait ajouter. Réponse : aucune des cinq n'était intégrée au score ; deux l'étaient partiellement dans les données (tranches, planning des déblocages) sans effet sur la note. La v5 les intègre, avec trois autres améliorations.</w:t>
      </w:r>
    </w:p>
    <w:tbl>
      <w:tblPr>
        <w:tblW w:type="dxa" w:w="9638"/>
        <w:tblBorders>
          <w:top w:val="single" w:color="AEB6C6" w:sz="2"/>
          <w:left w:val="single" w:color="AEB6C6" w:sz="2"/>
          <w:bottom w:val="single" w:color="AEB6C6" w:sz="2"/>
          <w:right w:val="single" w:color="AEB6C6" w:sz="2"/>
          <w:insideH w:val="single" w:color="D0D6E2" w:sz="1"/>
          <w:insideV w:val="single" w:color="D0D6E2" w:sz="1"/>
        </w:tblBorders>
      </w:tblPr>
      <w:tblGrid>
        <w:gridCol w:w="2000"/>
        <w:gridCol w:w="3600"/>
        <w:gridCol w:w="4038"/>
      </w:tblGrid>
      <w:tr>
        <w:trPr>
          <w:cantSplit/>
          <w:tblHeader/>
        </w:trPr>
        <w:tc>
          <w:tcPr>
            <w:tcW w:type="dxa" w:w="20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Thème</w:t>
            </w:r>
          </w:p>
        </w:tc>
        <w:tc>
          <w:tcPr>
            <w:tcW w:type="dxa" w:w="36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Situation en v4</w:t>
            </w:r>
          </w:p>
        </w:tc>
        <w:tc>
          <w:tcPr>
            <w:tcW w:type="dxa" w:w="4038"/>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Ce que fait la v5</w:t>
            </w:r>
          </w:p>
        </w:tc>
      </w:tr>
      <w:tr>
        <w:trPr>
          <w:cantSplit/>
        </w:trPr>
        <w:tc>
          <w:tcPr>
            <w:tcW w:type="dxa" w:w="2000"/>
            <w:tcMar>
              <w:top w:type="dxa" w:w="40"/>
              <w:left w:type="dxa" w:w="80"/>
              <w:bottom w:type="dxa" w:w="40"/>
              <w:right w:type="dxa" w:w="80"/>
            </w:tcMar>
          </w:tcPr>
          <w:p>
            <w:pPr>
              <w:spacing w:after="0" w:line="240"/>
            </w:pPr>
            <w:r>
              <w:rPr>
                <w:rFonts w:ascii="Calibri" w:cs="Calibri" w:eastAsia="Calibri" w:hAnsi="Calibri"/>
                <w:b/>
                <w:bCs/>
                <w:sz w:val="18"/>
                <w:szCs w:val="18"/>
              </w:rPr>
              <w:t xml:space="preserve">1. Régionalité</w:t>
            </w:r>
          </w:p>
        </w:tc>
        <w:tc>
          <w:tcPr>
            <w:tcW w:type="dxa" w:w="3600"/>
            <w:tcMar>
              <w:top w:type="dxa" w:w="40"/>
              <w:left w:type="dxa" w:w="80"/>
              <w:bottom w:type="dxa" w:w="40"/>
              <w:right w:type="dxa" w:w="80"/>
            </w:tcMar>
          </w:tcPr>
          <w:p>
            <w:pPr>
              <w:spacing w:after="0" w:line="240"/>
            </w:pPr>
            <w:r>
              <w:rPr>
                <w:rFonts w:ascii="Calibri" w:cs="Calibri" w:eastAsia="Calibri" w:hAnsi="Calibri"/>
                <w:b w:val="false"/>
                <w:bCs w:val="false"/>
                <w:sz w:val="18"/>
                <w:szCs w:val="18"/>
              </w:rPr>
              <w:t xml:space="preserve">Ajustement fixe par zone (β), non daté, sans lien avec le segment. Région du projet saisie de façon hétérogène (libellés et codes).</w:t>
            </w:r>
          </w:p>
        </w:tc>
        <w:tc>
          <w:tcPr>
            <w:tcW w:type="dxa" w:w="4038"/>
            <w:tcMar>
              <w:top w:type="dxa" w:w="40"/>
              <w:left w:type="dxa" w:w="80"/>
              <w:bottom w:type="dxa" w:w="40"/>
              <w:right w:type="dxa" w:w="80"/>
            </w:tcMar>
          </w:tcPr>
          <w:p>
            <w:pPr>
              <w:spacing w:after="0" w:line="240"/>
            </w:pPr>
            <w:r>
              <w:rPr>
                <w:rFonts w:ascii="Calibri" w:cs="Calibri" w:eastAsia="Calibri" w:hAnsi="Calibri"/>
                <w:b w:val="false"/>
                <w:bCs w:val="false"/>
                <w:sz w:val="18"/>
                <w:szCs w:val="18"/>
              </w:rPr>
              <w:t xml:space="preserve">Critère D2C9 « Tension du marché régional » lu dans un référentiel daté région × segment. Régions normalisées en base.</w:t>
            </w:r>
          </w:p>
        </w:tc>
      </w:tr>
      <w:tr>
        <w:trPr>
          <w:cantSplit/>
        </w:trPr>
        <w:tc>
          <w:tcPr>
            <w:tcW w:type="dxa" w:w="2000"/>
            <w:shd w:fill="F2F5FB" w:color="auto" w:val="clear"/>
            <w:tcMar>
              <w:top w:type="dxa" w:w="40"/>
              <w:left w:type="dxa" w:w="80"/>
              <w:bottom w:type="dxa" w:w="40"/>
              <w:right w:type="dxa" w:w="80"/>
            </w:tcMar>
          </w:tcPr>
          <w:p>
            <w:pPr>
              <w:spacing w:after="0" w:line="240"/>
            </w:pPr>
            <w:r>
              <w:rPr>
                <w:rFonts w:ascii="Calibri" w:cs="Calibri" w:eastAsia="Calibri" w:hAnsi="Calibri"/>
                <w:b/>
                <w:bCs/>
                <w:sz w:val="18"/>
                <w:szCs w:val="18"/>
              </w:rPr>
              <w:t xml:space="preserve">2. Financement d'une tranche</w:t>
            </w:r>
          </w:p>
        </w:tc>
        <w:tc>
          <w:tcPr>
            <w:tcW w:type="dxa" w:w="3600"/>
            <w:shd w:fill="F2F5FB" w:color="auto" w:val="clear"/>
            <w:tcMar>
              <w:top w:type="dxa" w:w="40"/>
              <w:left w:type="dxa" w:w="80"/>
              <w:bottom w:type="dxa" w:w="40"/>
              <w:right w:type="dxa" w:w="80"/>
            </w:tcMar>
          </w:tcPr>
          <w:p>
            <w:pPr>
              <w:spacing w:after="0" w:line="240"/>
            </w:pPr>
            <w:r>
              <w:rPr>
                <w:rFonts w:ascii="Calibri" w:cs="Calibri" w:eastAsia="Calibri" w:hAnsi="Calibri"/>
                <w:b w:val="false"/>
                <w:bCs w:val="false"/>
                <w:sz w:val="18"/>
                <w:szCs w:val="18"/>
              </w:rPr>
              <w:t xml:space="preserve">Tranches suivies, mais tout le score portait sur le programme entier. Facilités non rattachées aux tranches.</w:t>
            </w:r>
          </w:p>
        </w:tc>
        <w:tc>
          <w:tcPr>
            <w:tcW w:type="dxa" w:w="4038"/>
            <w:shd w:fill="F2F5FB" w:color="auto" w:val="clear"/>
            <w:tcMar>
              <w:top w:type="dxa" w:w="40"/>
              <w:left w:type="dxa" w:w="80"/>
              <w:bottom w:type="dxa" w:w="40"/>
              <w:right w:type="dxa" w:w="80"/>
            </w:tcMar>
          </w:tcPr>
          <w:p>
            <w:pPr>
              <w:spacing w:after="0" w:line="240"/>
            </w:pPr>
            <w:r>
              <w:rPr>
                <w:rFonts w:ascii="Calibri" w:cs="Calibri" w:eastAsia="Calibri" w:hAnsi="Calibri"/>
                <w:b w:val="false"/>
                <w:bCs w:val="false"/>
                <w:sz w:val="18"/>
                <w:szCs w:val="18"/>
              </w:rPr>
              <w:t xml:space="preserve">Périmètre financé : préventes, désistements, composition, encours et déblocages calculés sur la tranche financée. Critère D2C12 et alerte RF_TRANCHE_DEPENDANTE.</w:t>
            </w:r>
          </w:p>
        </w:tc>
      </w:tr>
      <w:tr>
        <w:trPr>
          <w:cantSplit/>
        </w:trPr>
        <w:tc>
          <w:tcPr>
            <w:tcW w:type="dxa" w:w="2000"/>
            <w:tcMar>
              <w:top w:type="dxa" w:w="40"/>
              <w:left w:type="dxa" w:w="80"/>
              <w:bottom w:type="dxa" w:w="40"/>
              <w:right w:type="dxa" w:w="80"/>
            </w:tcMar>
          </w:tcPr>
          <w:p>
            <w:pPr>
              <w:spacing w:after="0" w:line="240"/>
            </w:pPr>
            <w:r>
              <w:rPr>
                <w:rFonts w:ascii="Calibri" w:cs="Calibri" w:eastAsia="Calibri" w:hAnsi="Calibri"/>
                <w:b/>
                <w:bCs/>
                <w:sz w:val="18"/>
                <w:szCs w:val="18"/>
              </w:rPr>
              <w:t xml:space="preserve">3. Programme mixte</w:t>
            </w:r>
          </w:p>
        </w:tc>
        <w:tc>
          <w:tcPr>
            <w:tcW w:type="dxa" w:w="3600"/>
            <w:tcMar>
              <w:top w:type="dxa" w:w="40"/>
              <w:left w:type="dxa" w:w="80"/>
              <w:bottom w:type="dxa" w:w="40"/>
              <w:right w:type="dxa" w:w="80"/>
            </w:tcMar>
          </w:tcPr>
          <w:p>
            <w:pPr>
              <w:spacing w:after="0" w:line="240"/>
            </w:pPr>
            <w:r>
              <w:rPr>
                <w:rFonts w:ascii="Calibri" w:cs="Calibri" w:eastAsia="Calibri" w:hAnsi="Calibri"/>
                <w:b w:val="false"/>
                <w:bCs w:val="false"/>
                <w:sz w:val="18"/>
                <w:szCs w:val="18"/>
              </w:rPr>
              <w:t xml:space="preserve">Un seul segment par projet ; pas de type « hôtel » ; liquidité des commerces et de l'hôtel non distinguée.</w:t>
            </w:r>
          </w:p>
        </w:tc>
        <w:tc>
          <w:tcPr>
            <w:tcW w:type="dxa" w:w="4038"/>
            <w:tcMar>
              <w:top w:type="dxa" w:w="40"/>
              <w:left w:type="dxa" w:w="80"/>
              <w:bottom w:type="dxa" w:w="40"/>
              <w:right w:type="dxa" w:w="80"/>
            </w:tcMar>
          </w:tcPr>
          <w:p>
            <w:pPr>
              <w:spacing w:after="0" w:line="240"/>
            </w:pPr>
            <w:r>
              <w:rPr>
                <w:rFonts w:ascii="Calibri" w:cs="Calibri" w:eastAsia="Calibri" w:hAnsi="Calibri"/>
                <w:b w:val="false"/>
                <w:bCs w:val="false"/>
                <w:sz w:val="18"/>
                <w:szCs w:val="18"/>
              </w:rPr>
              <w:t xml:space="preserve">Type de lot « Hôtel ». Critère D3C9 « Part du CA à écoulement lent ». Alerte RF_COMPOSANTE_SANS_PRENEUR.</w:t>
            </w:r>
          </w:p>
        </w:tc>
      </w:tr>
      <w:tr>
        <w:trPr>
          <w:cantSplit/>
        </w:trPr>
        <w:tc>
          <w:tcPr>
            <w:tcW w:type="dxa" w:w="2000"/>
            <w:shd w:fill="F2F5FB" w:color="auto" w:val="clear"/>
            <w:tcMar>
              <w:top w:type="dxa" w:w="40"/>
              <w:left w:type="dxa" w:w="80"/>
              <w:bottom w:type="dxa" w:w="40"/>
              <w:right w:type="dxa" w:w="80"/>
            </w:tcMar>
          </w:tcPr>
          <w:p>
            <w:pPr>
              <w:spacing w:after="0" w:line="240"/>
            </w:pPr>
            <w:r>
              <w:rPr>
                <w:rFonts w:ascii="Calibri" w:cs="Calibri" w:eastAsia="Calibri" w:hAnsi="Calibri"/>
                <w:b/>
                <w:bCs/>
                <w:sz w:val="18"/>
                <w:szCs w:val="18"/>
              </w:rPr>
              <w:t xml:space="preserve">4. Équipements exigés</w:t>
            </w:r>
          </w:p>
        </w:tc>
        <w:tc>
          <w:tcPr>
            <w:tcW w:type="dxa" w:w="3600"/>
            <w:shd w:fill="F2F5FB" w:color="auto" w:val="clear"/>
            <w:tcMar>
              <w:top w:type="dxa" w:w="40"/>
              <w:left w:type="dxa" w:w="80"/>
              <w:bottom w:type="dxa" w:w="40"/>
              <w:right w:type="dxa" w:w="80"/>
            </w:tcMar>
          </w:tcPr>
          <w:p>
            <w:pPr>
              <w:spacing w:after="0" w:line="240"/>
            </w:pPr>
            <w:r>
              <w:rPr>
                <w:rFonts w:ascii="Calibri" w:cs="Calibri" w:eastAsia="Calibri" w:hAnsi="Calibri"/>
                <w:b w:val="false"/>
                <w:bCs w:val="false"/>
                <w:sz w:val="18"/>
                <w:szCs w:val="18"/>
              </w:rPr>
              <w:t xml:space="preserve">Absents (ni donnée, ni critère).</w:t>
            </w:r>
          </w:p>
        </w:tc>
        <w:tc>
          <w:tcPr>
            <w:tcW w:type="dxa" w:w="4038"/>
            <w:shd w:fill="F2F5FB" w:color="auto" w:val="clear"/>
            <w:tcMar>
              <w:top w:type="dxa" w:w="40"/>
              <w:left w:type="dxa" w:w="80"/>
              <w:bottom w:type="dxa" w:w="40"/>
              <w:right w:type="dxa" w:w="80"/>
            </w:tcMar>
          </w:tcPr>
          <w:p>
            <w:pPr>
              <w:spacing w:after="0" w:line="240"/>
            </w:pPr>
            <w:r>
              <w:rPr>
                <w:rFonts w:ascii="Calibri" w:cs="Calibri" w:eastAsia="Calibri" w:hAnsi="Calibri"/>
                <w:b w:val="false"/>
                <w:bCs w:val="false"/>
                <w:sz w:val="18"/>
                <w:szCs w:val="18"/>
              </w:rPr>
              <w:t xml:space="preserve">Registre des équipements (mosquée, école, voirie…). Critère D2C11 « Équipements non budgétés ». Alerte RF_EQUIPEMENT_RECEPTION.</w:t>
            </w:r>
          </w:p>
        </w:tc>
      </w:tr>
      <w:tr>
        <w:trPr>
          <w:cantSplit/>
        </w:trPr>
        <w:tc>
          <w:tcPr>
            <w:tcW w:type="dxa" w:w="2000"/>
            <w:tcMar>
              <w:top w:type="dxa" w:w="40"/>
              <w:left w:type="dxa" w:w="80"/>
              <w:bottom w:type="dxa" w:w="40"/>
              <w:right w:type="dxa" w:w="80"/>
            </w:tcMar>
          </w:tcPr>
          <w:p>
            <w:pPr>
              <w:spacing w:after="0" w:line="240"/>
            </w:pPr>
            <w:r>
              <w:rPr>
                <w:rFonts w:ascii="Calibri" w:cs="Calibri" w:eastAsia="Calibri" w:hAnsi="Calibri"/>
                <w:b/>
                <w:bCs/>
                <w:sz w:val="18"/>
                <w:szCs w:val="18"/>
              </w:rPr>
              <w:t xml:space="preserve">5. Déblocages vs calendrier</w:t>
            </w:r>
          </w:p>
        </w:tc>
        <w:tc>
          <w:tcPr>
            <w:tcW w:type="dxa" w:w="3600"/>
            <w:tcMar>
              <w:top w:type="dxa" w:w="40"/>
              <w:left w:type="dxa" w:w="80"/>
              <w:bottom w:type="dxa" w:w="40"/>
              <w:right w:type="dxa" w:w="80"/>
            </w:tcMar>
          </w:tcPr>
          <w:p>
            <w:pPr>
              <w:spacing w:after="0" w:line="240"/>
            </w:pPr>
            <w:r>
              <w:rPr>
                <w:rFonts w:ascii="Calibri" w:cs="Calibri" w:eastAsia="Calibri" w:hAnsi="Calibri"/>
                <w:b w:val="false"/>
                <w:bCs w:val="false"/>
                <w:sz w:val="18"/>
                <w:szCs w:val="18"/>
              </w:rPr>
              <w:t xml:space="preserve">Planning des déblocages et situations de travaux saisis, sans effet sur le score.</w:t>
            </w:r>
          </w:p>
        </w:tc>
        <w:tc>
          <w:tcPr>
            <w:tcW w:type="dxa" w:w="4038"/>
            <w:tcMar>
              <w:top w:type="dxa" w:w="40"/>
              <w:left w:type="dxa" w:w="80"/>
              <w:bottom w:type="dxa" w:w="40"/>
              <w:right w:type="dxa" w:w="80"/>
            </w:tcMar>
          </w:tcPr>
          <w:p>
            <w:pPr>
              <w:spacing w:after="0" w:line="240"/>
            </w:pPr>
            <w:r>
              <w:rPr>
                <w:rFonts w:ascii="Calibri" w:cs="Calibri" w:eastAsia="Calibri" w:hAnsi="Calibri"/>
                <w:b w:val="false"/>
                <w:bCs w:val="false"/>
                <w:sz w:val="18"/>
                <w:szCs w:val="18"/>
              </w:rPr>
              <w:t xml:space="preserve">Critère D4C8 « Déblocages vs avancement certifié ». Alertes RF_TIRAGE_AVANCE et RF_PLAN_TIRAGE_RETARD. Trajectoire du score avec alerte précoce.</w:t>
            </w:r>
          </w:p>
        </w:tc>
      </w:tr>
      <w:tr>
        <w:trPr>
          <w:cantSplit/>
        </w:trPr>
        <w:tc>
          <w:tcPr>
            <w:tcW w:type="dxa" w:w="2000"/>
            <w:shd w:fill="F2F5FB" w:color="auto" w:val="clear"/>
            <w:tcMar>
              <w:top w:type="dxa" w:w="40"/>
              <w:left w:type="dxa" w:w="80"/>
              <w:bottom w:type="dxa" w:w="40"/>
              <w:right w:type="dxa" w:w="80"/>
            </w:tcMar>
          </w:tcPr>
          <w:p>
            <w:pPr>
              <w:spacing w:after="0" w:line="240"/>
            </w:pPr>
            <w:r>
              <w:rPr>
                <w:rFonts w:ascii="Calibri" w:cs="Calibri" w:eastAsia="Calibri" w:hAnsi="Calibri"/>
                <w:b/>
                <w:bCs/>
                <w:sz w:val="18"/>
                <w:szCs w:val="18"/>
              </w:rPr>
              <w:t xml:space="preserve">Autres</w:t>
            </w:r>
          </w:p>
        </w:tc>
        <w:tc>
          <w:tcPr>
            <w:tcW w:type="dxa" w:w="3600"/>
            <w:shd w:fill="F2F5FB" w:color="auto" w:val="clear"/>
            <w:tcMar>
              <w:top w:type="dxa" w:w="40"/>
              <w:left w:type="dxa" w:w="80"/>
              <w:bottom w:type="dxa" w:w="40"/>
              <w:right w:type="dxa" w:w="80"/>
            </w:tcMar>
          </w:tcPr>
          <w:p>
            <w:pPr>
              <w:spacing w:after="0" w:line="240"/>
            </w:pPr>
            <w:r>
              <w:rPr>
                <w:rFonts w:ascii="Calibri" w:cs="Calibri" w:eastAsia="Calibri" w:hAnsi="Calibri"/>
                <w:b w:val="false"/>
                <w:bCs w:val="false"/>
                <w:sz w:val="18"/>
                <w:szCs w:val="18"/>
              </w:rPr>
              <w:t xml:space="preserve">—</w:t>
            </w:r>
          </w:p>
        </w:tc>
        <w:tc>
          <w:tcPr>
            <w:tcW w:type="dxa" w:w="4038"/>
            <w:shd w:fill="F2F5FB" w:color="auto" w:val="clear"/>
            <w:tcMar>
              <w:top w:type="dxa" w:w="40"/>
              <w:left w:type="dxa" w:w="80"/>
              <w:bottom w:type="dxa" w:w="40"/>
              <w:right w:type="dxa" w:w="80"/>
            </w:tcMar>
          </w:tcPr>
          <w:p>
            <w:pPr>
              <w:spacing w:after="0" w:line="240"/>
            </w:pPr>
            <w:r>
              <w:rPr>
                <w:rFonts w:ascii="Calibri" w:cs="Calibri" w:eastAsia="Calibri" w:hAnsi="Calibri"/>
                <w:b w:val="false"/>
                <w:bCs w:val="false"/>
                <w:sz w:val="18"/>
                <w:szCs w:val="18"/>
              </w:rPr>
              <w:t xml:space="preserve">Entreprise de travaux (D2C10), taux de désistement (D3C10), dépassement du coût à terminaison (D4C9).</w:t>
            </w:r>
          </w:p>
        </w:tc>
      </w:tr>
    </w:tbl>
    <w:p>
      <w:pPr>
        <w:spacing w:after="80" w:before="0" w:line="276"/>
      </w:pPr>
      <w:r>
        <w:rPr>
          <w:rFonts w:ascii="Calibri" w:cs="Calibri" w:eastAsia="Calibri" w:hAnsi="Calibri"/>
          <w:sz w:val="21"/>
          <w:szCs w:val="21"/>
        </w:rPr>
        <w:t xml:space="preserve"/>
      </w:r>
    </w:p>
    <w:tbl>
      <w:tblPr>
        <w:tblW w:type="dxa" w:w="9638"/>
        <w:tblBorders>
          <w:top w:val="single" w:color="C00000" w:sz="4"/>
          <w:left w:val="single" w:color="C00000" w:sz="4"/>
          <w:bottom w:val="single" w:color="C00000" w:sz="4"/>
          <w:right w:val="single" w:color="C00000" w:sz="4"/>
          <w:insideH w:val="none"/>
          <w:insideV w:val="none"/>
        </w:tblBorders>
      </w:tblPr>
      <w:tblGrid>
        <w:gridCol w:w="9638"/>
      </w:tblGrid>
      <w:tr>
        <w:trPr>
          <w:cantSplit/>
        </w:trPr>
        <w:tc>
          <w:tcPr>
            <w:tcW w:type="dxa" w:w="9638"/>
            <w:shd w:fill="FBE4E1" w:color="auto" w:val="clear"/>
            <w:tcMar>
              <w:top w:type="dxa" w:w="100"/>
              <w:left w:type="dxa" w:w="160"/>
              <w:bottom w:type="dxa" w:w="100"/>
              <w:right w:type="dxa" w:w="160"/>
            </w:tcMar>
          </w:tcPr>
          <w:p>
            <w:pPr>
              <w:spacing w:after="40"/>
            </w:pPr>
            <w:r>
              <w:rPr>
                <w:rFonts w:ascii="Calibri" w:cs="Calibri" w:eastAsia="Calibri" w:hAnsi="Calibri"/>
                <w:b/>
                <w:bCs/>
                <w:color w:val="C00000"/>
                <w:sz w:val="21"/>
                <w:szCs w:val="21"/>
              </w:rPr>
              <w:t xml:space="preserve">Point d'attention avant tout recalcul du portefeuille</w:t>
            </w:r>
          </w:p>
          <w:p>
            <w:pPr>
              <w:spacing w:after="40" w:line="276"/>
            </w:pPr>
            <w:r>
              <w:rPr>
                <w:rFonts w:ascii="Calibri" w:cs="Calibri" w:eastAsia="Calibri" w:hAnsi="Calibri"/>
                <w:sz w:val="21"/>
                <w:szCs w:val="21"/>
              </w:rPr>
              <w:t xml:space="preserve">Une donnée absente est notée au plancher, par construction. Re-scorer un dossier en v5 sans avoir renseigné les nouvelles données lui fait perdre 6 à 12 points (8,6 en moyenne) : 4 décisions sur 10 projets se dégraderaient mécaniquement (section 10).</w:t>
            </w:r>
          </w:p>
          <w:p>
            <w:pPr>
              <w:spacing w:after="40" w:line="276"/>
            </w:pPr>
            <w:r>
              <w:rPr>
                <w:rFonts w:ascii="Calibri" w:cs="Calibri" w:eastAsia="Calibri" w:hAnsi="Calibri"/>
                <w:sz w:val="21"/>
                <w:szCs w:val="21"/>
              </w:rPr>
              <w:t xml:space="preserve">Il faut donc renseigner les données v5 de chaque dossier (carte « Programme » du suivi, puis « Synchroniser vers le scoring ») avant de le re-scorer. Le recalcul global du portefeuille n'a pas été lancé.</w:t>
            </w:r>
          </w:p>
        </w:tc>
      </w:tr>
    </w:tbl>
    <w:p>
      <w:r>
        <w:br w:type="page"/>
      </w:r>
    </w:p>
    <w:p>
      <w:pPr>
        <w:pStyle w:val="Heading1"/>
      </w:pPr>
      <w:r>
        <w:t xml:space="preserve">2. Méthode et principes conservés</w:t>
      </w:r>
    </w:p>
    <w:p>
      <w:pPr>
        <w:spacing w:after="120" w:before="0" w:line="276"/>
      </w:pPr>
      <w:r>
        <w:rPr>
          <w:rFonts w:ascii="Calibri" w:cs="Calibri" w:eastAsia="Calibri" w:hAnsi="Calibri"/>
          <w:sz w:val="21"/>
          <w:szCs w:val="21"/>
        </w:rPr>
        <w:t xml:space="preserve">Le diagnostic part de la version publiée en base (ver_4), du code de l'application et du schéma de données. Chaque thème est traité de la même façon : constat sur la v4, risque non couvert, réponse retenue, calcul et saisie, limites.</w:t>
      </w:r>
    </w:p>
    <w:p>
      <w:pPr>
        <w:pStyle w:val="Heading2"/>
        <w:keepNext/>
      </w:pPr>
      <w:r>
        <w:t xml:space="preserve">Principes de conception de la v5</w:t>
      </w:r>
    </w:p>
    <w:p>
      <w:pPr>
        <w:pStyle w:val="ListParagraph"/>
        <w:numPr>
          <w:ilvl w:val="0"/>
          <w:numId w:val="2"/>
        </w:numPr>
        <w:spacing w:after="60" w:line="276"/>
      </w:pPr>
      <w:r>
        <w:rPr>
          <w:rFonts w:ascii="Calibri" w:cs="Calibri" w:eastAsia="Calibri" w:hAnsi="Calibri"/>
          <w:sz w:val="21"/>
          <w:szCs w:val="21"/>
        </w:rPr>
        <w:t xml:space="preserve">Les barèmes, modalités, critères éliminatoires et alertes de la v4 sont inchangés ; un test automatique le vérifie.</w:t>
      </w:r>
    </w:p>
    <w:p>
      <w:pPr>
        <w:pStyle w:val="ListParagraph"/>
        <w:numPr>
          <w:ilvl w:val="0"/>
          <w:numId w:val="2"/>
        </w:numPr>
        <w:spacing w:after="60" w:line="276"/>
      </w:pPr>
      <w:r>
        <w:rPr>
          <w:rFonts w:ascii="Calibri" w:cs="Calibri" w:eastAsia="Calibri" w:hAnsi="Calibri"/>
          <w:sz w:val="21"/>
          <w:szCs w:val="21"/>
        </w:rPr>
        <w:t xml:space="preserve">Les poids des quatre domaines sont inchangés (D1 25 %, D2 20 %, D3 31 %, D4 24 %). Au sein de chaque domaine, les poids sont rééquilibrés pour faire place aux nouveaux critères (section 9).</w:t>
      </w:r>
    </w:p>
    <w:p>
      <w:pPr>
        <w:pStyle w:val="ListParagraph"/>
        <w:numPr>
          <w:ilvl w:val="0"/>
          <w:numId w:val="2"/>
        </w:numPr>
        <w:spacing w:after="60" w:line="276"/>
      </w:pPr>
      <w:r>
        <w:rPr>
          <w:rFonts w:ascii="Calibri" w:cs="Calibri" w:eastAsia="Calibri" w:hAnsi="Calibri"/>
          <w:sz w:val="21"/>
          <w:szCs w:val="21"/>
        </w:rPr>
        <w:t xml:space="preserve">Une donnée absente reste notée au plancher, jamais à une valeur neutre.</w:t>
      </w:r>
    </w:p>
    <w:p>
      <w:pPr>
        <w:pStyle w:val="ListParagraph"/>
        <w:numPr>
          <w:ilvl w:val="0"/>
          <w:numId w:val="2"/>
        </w:numPr>
        <w:spacing w:after="60" w:line="276"/>
      </w:pPr>
      <w:r>
        <w:rPr>
          <w:rFonts w:ascii="Calibri" w:cs="Calibri" w:eastAsia="Calibri" w:hAnsi="Calibri"/>
          <w:sz w:val="21"/>
          <w:szCs w:val="21"/>
        </w:rPr>
        <w:t xml:space="preserve">Les nouvelles données ne sont pas « décisionnelles » : leur absence abaisse la note sans rendre le dossier incomplet. Les alertes v5 utilisent des règles Oui/Non ou d'égalité, pour la même raison.</w:t>
      </w:r>
    </w:p>
    <w:p>
      <w:pPr>
        <w:pStyle w:val="ListParagraph"/>
        <w:numPr>
          <w:ilvl w:val="0"/>
          <w:numId w:val="2"/>
        </w:numPr>
        <w:spacing w:after="60" w:line="276"/>
      </w:pPr>
      <w:r>
        <w:rPr>
          <w:rFonts w:ascii="Calibri" w:cs="Calibri" w:eastAsia="Calibri" w:hAnsi="Calibri"/>
          <w:sz w:val="21"/>
          <w:szCs w:val="21"/>
        </w:rPr>
        <w:t xml:space="preserve">Aucune donnée de marché n'est inventée : le référentiel régional est vide tant que la Direction des risques ne l'a pas rempli.</w:t>
      </w:r>
    </w:p>
    <w:p>
      <w:pPr>
        <w:pStyle w:val="ListParagraph"/>
        <w:numPr>
          <w:ilvl w:val="0"/>
          <w:numId w:val="2"/>
        </w:numPr>
        <w:spacing w:after="60" w:line="276"/>
      </w:pPr>
      <w:r>
        <w:rPr>
          <w:rFonts w:ascii="Calibri" w:cs="Calibri" w:eastAsia="Calibri" w:hAnsi="Calibri"/>
          <w:sz w:val="21"/>
          <w:szCs w:val="21"/>
        </w:rPr>
        <w:t xml:space="preserve">Ce qui peut être calculé l'est automatiquement à partir du suivi (lots, tranches, facilités, planning, équipements). Ce qui relève du jugement reste une saisie motivée.</w:t>
      </w:r>
    </w:p>
    <w:p>
      <w:r>
        <w:br w:type="page"/>
      </w:r>
    </w:p>
    <w:p>
      <w:pPr>
        <w:pStyle w:val="Heading1"/>
      </w:pPr>
      <w:r>
        <w:t xml:space="preserve">3. Régionalité</w:t>
      </w:r>
    </w:p>
    <w:p>
      <w:pPr>
        <w:pStyle w:val="Heading2"/>
        <w:keepNext/>
      </w:pPr>
      <w:r>
        <w:t xml:space="preserve">Constat sur la v4</w:t>
      </w:r>
    </w:p>
    <w:p>
      <w:pPr>
        <w:pStyle w:val="ListParagraph"/>
        <w:numPr>
          <w:ilvl w:val="0"/>
          <w:numId w:val="2"/>
        </w:numPr>
        <w:spacing w:after="60" w:line="276"/>
      </w:pPr>
      <w:r>
        <w:rPr>
          <w:rFonts w:ascii="Calibri" w:cs="Calibri" w:eastAsia="Calibri" w:hAnsi="Calibri"/>
          <w:sz w:val="21"/>
          <w:szCs w:val="21"/>
        </w:rPr>
        <w:t xml:space="preserve">Le modèle applique un ajustement fixe par zone (β) au score économique : agadir 0 %, tanger 0 %, marrakech −7 %, casa_centre 0 %, fes_oriental −3 %, rabat_centre +2 %, casa_peripherie −5 %, rabat_peripherie 0 %, regions_interieures −5 %.</w:t>
      </w:r>
    </w:p>
    <w:p>
      <w:pPr>
        <w:pStyle w:val="ListParagraph"/>
        <w:numPr>
          <w:ilvl w:val="0"/>
          <w:numId w:val="2"/>
        </w:numPr>
        <w:spacing w:after="60" w:line="276"/>
      </w:pPr>
      <w:r>
        <w:rPr>
          <w:rFonts w:ascii="Calibri" w:cs="Calibri" w:eastAsia="Calibri" w:hAnsi="Calibri"/>
          <w:sz w:val="21"/>
          <w:szCs w:val="21"/>
        </w:rPr>
        <w:t xml:space="preserve">Cet ajustement n'est ni daté, ni différencié par segment : Marrakech est pénalisée de 7 % qu'il s'agisse de logement social ou de villas, en 2024 comme en 2026.</w:t>
      </w:r>
    </w:p>
    <w:p>
      <w:pPr>
        <w:pStyle w:val="ListParagraph"/>
        <w:numPr>
          <w:ilvl w:val="0"/>
          <w:numId w:val="2"/>
        </w:numPr>
        <w:spacing w:after="60" w:line="276"/>
      </w:pPr>
      <w:r>
        <w:rPr>
          <w:rFonts w:ascii="Calibri" w:cs="Calibri" w:eastAsia="Calibri" w:hAnsi="Calibri"/>
          <w:sz w:val="21"/>
          <w:szCs w:val="21"/>
        </w:rPr>
        <w:t xml:space="preserve">La région administrative du projet était saisie tantôt en libellé (« Casablanca-Settat »), tantôt en code (« casablanca_settat ») : 8 des 12 projets en base portaient un libellé. Les valeurs ont été normalisées en codes.</w:t>
      </w:r>
    </w:p>
    <w:p>
      <w:pPr>
        <w:pStyle w:val="Heading2"/>
        <w:keepNext/>
      </w:pPr>
      <w:r>
        <w:t xml:space="preserve">Risque non couvert</w:t>
      </w:r>
    </w:p>
    <w:p>
      <w:pPr>
        <w:spacing w:after="120" w:before="0" w:line="276"/>
      </w:pPr>
      <w:r>
        <w:rPr>
          <w:rFonts w:ascii="Calibri" w:cs="Calibri" w:eastAsia="Calibri" w:hAnsi="Calibri"/>
          <w:sz w:val="21"/>
          <w:szCs w:val="21"/>
        </w:rPr>
        <w:t xml:space="preserve">Un même programme ne s'écoule pas au même rythme selon la région et le segment, et la tension d'un marché évolue. Un ajustement figé ne capte ni le surstock d'un segment dans une région, ni son retournement.</w:t>
      </w:r>
    </w:p>
    <w:p>
      <w:pPr>
        <w:pStyle w:val="Heading2"/>
        <w:keepNext/>
      </w:pPr>
      <w:r>
        <w:t xml:space="preserve">Réponse v5</w:t>
      </w:r>
    </w:p>
    <w:p>
      <w:pPr>
        <w:pStyle w:val="ListParagraph"/>
        <w:numPr>
          <w:ilvl w:val="0"/>
          <w:numId w:val="2"/>
        </w:numPr>
        <w:spacing w:after="60" w:line="276"/>
      </w:pPr>
      <w:r>
        <w:rPr>
          <w:rFonts w:ascii="Calibri" w:cs="Calibri" w:eastAsia="Calibri" w:hAnsi="Calibri"/>
          <w:b/>
          <w:bCs/>
          <w:sz w:val="21"/>
          <w:szCs w:val="21"/>
        </w:rPr>
        <w:t xml:space="preserve">D2C9 — Tension du marché régional</w:t>
      </w:r>
      <w:r>
        <w:rPr>
          <w:rFonts w:ascii="Calibri" w:cs="Calibri" w:eastAsia="Calibri" w:hAnsi="Calibri"/>
          <w:sz w:val="21"/>
          <w:szCs w:val="21"/>
        </w:rPr>
        <w:t xml:space="preserve"> (poids 10 % du domaine D2, soit 2 % du score) : </w:t>
      </w:r>
      <w:r>
        <w:rPr>
          <w:rFonts w:ascii="Calibri" w:cs="Calibri" w:eastAsia="Calibri" w:hAnsi="Calibri"/>
          <w:sz w:val="19"/>
          <w:szCs w:val="19"/>
        </w:rPr>
        <w:t xml:space="preserve">Marché en surstock (écoulement lent, prix sous pression) → 2 ; Marché équilibré → 6 ; Marché porteur (demande soutenue) → 10</w:t>
      </w:r>
    </w:p>
    <w:p>
      <w:pPr>
        <w:pStyle w:val="ListParagraph"/>
        <w:numPr>
          <w:ilvl w:val="0"/>
          <w:numId w:val="2"/>
        </w:numPr>
        <w:spacing w:after="60" w:line="276"/>
      </w:pPr>
      <w:r>
        <w:rPr>
          <w:rFonts w:ascii="Calibri" w:cs="Calibri" w:eastAsia="Calibri" w:hAnsi="Calibri"/>
          <w:sz w:val="21"/>
          <w:szCs w:val="21"/>
        </w:rPr>
        <w:t xml:space="preserve">Référentiel « Marché régional » (Administration › Référentiels) : pour chaque région, une tension par segment, une valeur par défaut et la date de l'appréciation.</w:t>
      </w:r>
    </w:p>
    <w:p>
      <w:pPr>
        <w:pStyle w:val="Heading2"/>
        <w:keepNext/>
      </w:pPr>
      <w:r>
        <w:t xml:space="preserve">Calcul et saisie</w:t>
      </w:r>
    </w:p>
    <w:p>
      <w:pPr>
        <w:pStyle w:val="ListParagraph"/>
        <w:numPr>
          <w:ilvl w:val="0"/>
          <w:numId w:val="2"/>
        </w:numPr>
        <w:spacing w:after="60" w:line="276"/>
      </w:pPr>
      <w:r>
        <w:rPr>
          <w:rFonts w:ascii="Calibri" w:cs="Calibri" w:eastAsia="Calibri" w:hAnsi="Calibri"/>
          <w:sz w:val="21"/>
          <w:szCs w:val="21"/>
        </w:rPr>
        <w:t xml:space="preserve">La synchronisation lit la région du projet (libellé ou code, avec ou sans accents), puis la tension de son segment, sinon la valeur par défaut de la région.</w:t>
      </w:r>
    </w:p>
    <w:p>
      <w:pPr>
        <w:pStyle w:val="ListParagraph"/>
        <w:numPr>
          <w:ilvl w:val="0"/>
          <w:numId w:val="2"/>
        </w:numPr>
        <w:spacing w:after="60" w:line="276"/>
      </w:pPr>
      <w:r>
        <w:rPr>
          <w:rFonts w:ascii="Calibri" w:cs="Calibri" w:eastAsia="Calibri" w:hAnsi="Calibri"/>
          <w:sz w:val="21"/>
          <w:szCs w:val="21"/>
        </w:rPr>
        <w:t xml:space="preserve">Une appréciation de plus de 12 mois est signalée « périmée » dans la carte Programme.</w:t>
      </w:r>
    </w:p>
    <w:p>
      <w:pPr>
        <w:pStyle w:val="ListParagraph"/>
        <w:numPr>
          <w:ilvl w:val="0"/>
          <w:numId w:val="2"/>
        </w:numPr>
        <w:spacing w:after="60" w:line="276"/>
      </w:pPr>
      <w:r>
        <w:rPr>
          <w:rFonts w:ascii="Calibri" w:cs="Calibri" w:eastAsia="Calibri" w:hAnsi="Calibri"/>
          <w:sz w:val="21"/>
          <w:szCs w:val="21"/>
        </w:rPr>
        <w:t xml:space="preserve">Région absente du référentiel ou non reconnue : donnée absente, note plancher. Le chargé d'affaires peut aussi saisir la tension au vu d'une étude de marché régionale.</w:t>
      </w:r>
    </w:p>
    <w:p>
      <w:pPr>
        <w:pStyle w:val="Heading2"/>
        <w:keepNext/>
      </w:pPr>
      <w:r>
        <w:t xml:space="preserve">Limites</w:t>
      </w:r>
    </w:p>
    <w:p>
      <w:pPr>
        <w:pStyle w:val="ListParagraph"/>
        <w:numPr>
          <w:ilvl w:val="0"/>
          <w:numId w:val="2"/>
        </w:numPr>
        <w:spacing w:after="60" w:line="276"/>
      </w:pPr>
      <w:r>
        <w:rPr>
          <w:rFonts w:ascii="Calibri" w:cs="Calibri" w:eastAsia="Calibri" w:hAnsi="Calibri"/>
          <w:sz w:val="21"/>
          <w:szCs w:val="21"/>
        </w:rPr>
        <w:t xml:space="preserve">Le référentiel est vide à la publication : tant qu'il n'est pas rempli, ce critère est au plancher pour tous les dossiers (voir section 11).</w:t>
      </w:r>
    </w:p>
    <w:p>
      <w:pPr>
        <w:pStyle w:val="ListParagraph"/>
        <w:numPr>
          <w:ilvl w:val="0"/>
          <w:numId w:val="2"/>
        </w:numPr>
        <w:spacing w:after="60" w:line="276"/>
      </w:pPr>
      <w:r>
        <w:rPr>
          <w:rFonts w:ascii="Calibri" w:cs="Calibri" w:eastAsia="Calibri" w:hAnsi="Calibri"/>
          <w:sz w:val="21"/>
          <w:szCs w:val="21"/>
        </w:rPr>
        <w:t xml:space="preserve">L'ajustement β par zone est conservé : les deux mesures coexistent. Une révision de β est à envisager une fois le référentiel régional alimenté, pour éviter de compter deux fois le même effet.</w:t>
      </w:r>
    </w:p>
    <w:p>
      <w:r>
        <w:br w:type="page"/>
      </w:r>
    </w:p>
    <w:p>
      <w:pPr>
        <w:pStyle w:val="Heading1"/>
      </w:pPr>
      <w:r>
        <w:t xml:space="preserve">4. Financement d'une tranche et non du programme entier</w:t>
      </w:r>
    </w:p>
    <w:p>
      <w:pPr>
        <w:pStyle w:val="Heading2"/>
        <w:keepNext/>
      </w:pPr>
      <w:r>
        <w:t xml:space="preserve">Constat sur la v4</w:t>
      </w:r>
    </w:p>
    <w:p>
      <w:pPr>
        <w:pStyle w:val="ListParagraph"/>
        <w:numPr>
          <w:ilvl w:val="0"/>
          <w:numId w:val="2"/>
        </w:numPr>
        <w:spacing w:after="60" w:line="276"/>
      </w:pPr>
      <w:r>
        <w:rPr>
          <w:rFonts w:ascii="Calibri" w:cs="Calibri" w:eastAsia="Calibri" w:hAnsi="Calibri"/>
          <w:sz w:val="21"/>
          <w:szCs w:val="21"/>
        </w:rPr>
        <w:t xml:space="preserve">Les tranches existaient (code, avancement, budget, lots), mais toutes les données du score — préventes, ventes, encours — portaient sur le programme entier.</w:t>
      </w:r>
    </w:p>
    <w:p>
      <w:pPr>
        <w:pStyle w:val="ListParagraph"/>
        <w:numPr>
          <w:ilvl w:val="0"/>
          <w:numId w:val="2"/>
        </w:numPr>
        <w:spacing w:after="60" w:line="276"/>
      </w:pPr>
      <w:r>
        <w:rPr>
          <w:rFonts w:ascii="Calibri" w:cs="Calibri" w:eastAsia="Calibri" w:hAnsi="Calibri"/>
          <w:sz w:val="21"/>
          <w:szCs w:val="21"/>
        </w:rPr>
        <w:t xml:space="preserve">Une facilité n'était rattachée à aucune tranche : impossible de savoir quelle partie du programme la banque finance.</w:t>
      </w:r>
    </w:p>
    <w:p>
      <w:pPr>
        <w:pStyle w:val="ListParagraph"/>
        <w:numPr>
          <w:ilvl w:val="0"/>
          <w:numId w:val="2"/>
        </w:numPr>
        <w:spacing w:after="60" w:line="276"/>
      </w:pPr>
      <w:r>
        <w:rPr>
          <w:rFonts w:ascii="Calibri" w:cs="Calibri" w:eastAsia="Calibri" w:hAnsi="Calibri"/>
          <w:sz w:val="21"/>
          <w:szCs w:val="21"/>
        </w:rPr>
        <w:t xml:space="preserve">Rien n'appréciait la dépendance d'une tranche aux ouvrages communs (accès, VRD, raccordements) réalisés dans d'autres tranches.</w:t>
      </w:r>
    </w:p>
    <w:p>
      <w:pPr>
        <w:pStyle w:val="Heading2"/>
        <w:keepNext/>
      </w:pPr>
      <w:r>
        <w:t xml:space="preserve">Risque non couvert</w:t>
      </w:r>
    </w:p>
    <w:p>
      <w:pPr>
        <w:spacing w:after="120" w:before="0" w:line="276"/>
      </w:pPr>
      <w:r>
        <w:rPr>
          <w:rFonts w:ascii="Calibri" w:cs="Calibri" w:eastAsia="Calibri" w:hAnsi="Calibri"/>
          <w:sz w:val="21"/>
          <w:szCs w:val="21"/>
        </w:rPr>
        <w:t xml:space="preserve">Quand la banque ne finance que la tranche 2, les préventes de la tranche 1 déjà livrée gonflent artificiellement le taux de prévente. Et une tranche « bien vendue » peut rester invendable si la voirie qui la dessert relève d'une tranche non financée.</w:t>
      </w:r>
    </w:p>
    <w:p>
      <w:pPr>
        <w:pStyle w:val="Heading2"/>
        <w:keepNext/>
      </w:pPr>
      <w:r>
        <w:t xml:space="preserve">Réponse v5</w:t>
      </w:r>
    </w:p>
    <w:p>
      <w:pPr>
        <w:pStyle w:val="ListParagraph"/>
        <w:numPr>
          <w:ilvl w:val="0"/>
          <w:numId w:val="2"/>
        </w:numPr>
        <w:spacing w:after="60" w:line="276"/>
      </w:pPr>
      <w:r>
        <w:rPr>
          <w:rFonts w:ascii="Calibri" w:cs="Calibri" w:eastAsia="Calibri" w:hAnsi="Calibri"/>
          <w:b/>
          <w:bCs/>
          <w:sz w:val="21"/>
          <w:szCs w:val="21"/>
        </w:rPr>
        <w:t xml:space="preserve">D2C12 — Autonomie du périmètre financé (tranche)</w:t>
      </w:r>
      <w:r>
        <w:rPr>
          <w:rFonts w:ascii="Calibri" w:cs="Calibri" w:eastAsia="Calibri" w:hAnsi="Calibri"/>
          <w:sz w:val="21"/>
          <w:szCs w:val="21"/>
        </w:rPr>
        <w:t xml:space="preserve"> (poids 5 % du domaine D2, soit 1 % du score) : </w:t>
      </w:r>
      <w:r>
        <w:rPr>
          <w:rFonts w:ascii="Calibri" w:cs="Calibri" w:eastAsia="Calibri" w:hAnsi="Calibri"/>
          <w:sz w:val="19"/>
          <w:szCs w:val="19"/>
        </w:rPr>
        <w:t xml:space="preserve">Tranche dépendante d'ouvrages communs non financés → 1 ; Tranche dépendante d'ouvrages communs financés ou réalisés → 6 ; Tranche autonome (accès, VRD et raccordements propres) → 10 ; Financement du programme entier → 10</w:t>
      </w:r>
    </w:p>
    <w:p>
      <w:pPr>
        <w:pStyle w:val="ListParagraph"/>
        <w:numPr>
          <w:ilvl w:val="0"/>
          <w:numId w:val="2"/>
        </w:numPr>
        <w:spacing w:after="60" w:line="276"/>
      </w:pPr>
      <w:r>
        <w:rPr>
          <w:rFonts w:ascii="Calibri" w:cs="Calibri" w:eastAsia="Calibri" w:hAnsi="Calibri"/>
          <w:b/>
          <w:bCs/>
          <w:sz w:val="21"/>
          <w:szCs w:val="21"/>
        </w:rPr>
        <w:t xml:space="preserve">RF_TRANCHE_DEPENDANTE — Tranche financée dépendante d'ouvrages communs non financés</w:t>
      </w:r>
      <w:r>
        <w:rPr>
          <w:rFonts w:ascii="Calibri" w:cs="Calibri" w:eastAsia="Calibri" w:hAnsi="Calibri"/>
          <w:sz w:val="21"/>
          <w:szCs w:val="21"/>
        </w:rPr>
        <w:t xml:space="preserve"> : malus 15 pts, retour en comité. </w:t>
      </w:r>
      <w:r>
        <w:rPr>
          <w:rFonts w:ascii="Calibri" w:cs="Calibri" w:eastAsia="Calibri" w:hAnsi="Calibri"/>
          <w:sz w:val="19"/>
          <w:szCs w:val="19"/>
        </w:rPr>
        <w:t xml:space="preserve">La banque finance une tranche qui ne peut être achevée, livrée ou vendue sans des ouvrages communs (accès, VRD, raccordements) qui ne sont ni réalisés ni financés.</w:t>
      </w:r>
    </w:p>
    <w:p>
      <w:pPr>
        <w:pStyle w:val="Heading2"/>
        <w:keepNext/>
      </w:pPr>
      <w:r>
        <w:t xml:space="preserve">Calcul et saisie</w:t>
      </w:r>
    </w:p>
    <w:p>
      <w:pPr>
        <w:pStyle w:val="ListParagraph"/>
        <w:numPr>
          <w:ilvl w:val="0"/>
          <w:numId w:val="2"/>
        </w:numPr>
        <w:spacing w:after="60" w:line="276"/>
      </w:pPr>
      <w:r>
        <w:rPr>
          <w:rFonts w:ascii="Calibri" w:cs="Calibri" w:eastAsia="Calibri" w:hAnsi="Calibri"/>
          <w:sz w:val="21"/>
          <w:szCs w:val="21"/>
        </w:rPr>
        <w:t xml:space="preserve">Dans la carte « Programme » du suivi : cocher les tranches financées et rattacher chaque facilité à sa tranche. Sans indication, le programme entier est considéré financé (comportement v4).</w:t>
      </w:r>
    </w:p>
    <w:p>
      <w:pPr>
        <w:pStyle w:val="ListParagraph"/>
        <w:numPr>
          <w:ilvl w:val="0"/>
          <w:numId w:val="2"/>
        </w:numPr>
        <w:spacing w:after="60" w:line="276"/>
      </w:pPr>
      <w:r>
        <w:rPr>
          <w:rFonts w:ascii="Calibri" w:cs="Calibri" w:eastAsia="Calibri" w:hAnsi="Calibri"/>
          <w:sz w:val="21"/>
          <w:szCs w:val="21"/>
        </w:rPr>
        <w:t xml:space="preserve">Le périmètre financé = tranches cochées + tranches portées par une facilité. La synchronisation y restreint le taux de prévente, les désistements, la composition, l'encours et le contrôle des déblocages.</w:t>
      </w:r>
    </w:p>
    <w:p>
      <w:pPr>
        <w:pStyle w:val="ListParagraph"/>
        <w:numPr>
          <w:ilvl w:val="0"/>
          <w:numId w:val="2"/>
        </w:numPr>
        <w:spacing w:after="60" w:line="276"/>
      </w:pPr>
      <w:r>
        <w:rPr>
          <w:rFonts w:ascii="Calibri" w:cs="Calibri" w:eastAsia="Calibri" w:hAnsi="Calibri"/>
          <w:sz w:val="21"/>
          <w:szCs w:val="21"/>
        </w:rPr>
        <w:t xml:space="preserve">Programme entier financé : l'autonomie est renseignée automatiquement (« programme entier », note 10). Tranche financée : le chargé d'affaires choisit la modalité.</w:t>
      </w:r>
    </w:p>
    <w:p>
      <w:pPr>
        <w:pStyle w:val="Heading2"/>
        <w:keepNext/>
      </w:pPr>
      <w:r>
        <w:t xml:space="preserve">Limites</w:t>
      </w:r>
    </w:p>
    <w:p>
      <w:pPr>
        <w:pStyle w:val="ListParagraph"/>
        <w:numPr>
          <w:ilvl w:val="0"/>
          <w:numId w:val="2"/>
        </w:numPr>
        <w:spacing w:after="60" w:line="276"/>
      </w:pPr>
      <w:r>
        <w:rPr>
          <w:rFonts w:ascii="Calibri" w:cs="Calibri" w:eastAsia="Calibri" w:hAnsi="Calibri"/>
          <w:sz w:val="21"/>
          <w:szCs w:val="21"/>
        </w:rPr>
        <w:t xml:space="preserve">L'autonomie de la tranche reste un jugement, appuyé sur le plan de masse et le plan de financement des ouvrages communs.</w:t>
      </w:r>
    </w:p>
    <w:p>
      <w:pPr>
        <w:pStyle w:val="ListParagraph"/>
        <w:numPr>
          <w:ilvl w:val="0"/>
          <w:numId w:val="2"/>
        </w:numPr>
        <w:spacing w:after="60" w:line="276"/>
      </w:pPr>
      <w:r>
        <w:rPr>
          <w:rFonts w:ascii="Calibri" w:cs="Calibri" w:eastAsia="Calibri" w:hAnsi="Calibri"/>
          <w:sz w:val="21"/>
          <w:szCs w:val="21"/>
        </w:rPr>
        <w:t xml:space="preserve">Les lots non rattachés à une tranche ne peuvent pas être affectés au périmètre : il faut les rattacher.</w:t>
      </w:r>
    </w:p>
    <w:p>
      <w:r>
        <w:br w:type="page"/>
      </w:r>
    </w:p>
    <w:p>
      <w:pPr>
        <w:pStyle w:val="Heading1"/>
      </w:pPr>
      <w:r>
        <w:t xml:space="preserve">5. Programme mixte : villas, appartements, commerces, hôtel…</w:t>
      </w:r>
    </w:p>
    <w:p>
      <w:pPr>
        <w:pStyle w:val="Heading2"/>
        <w:keepNext/>
      </w:pPr>
      <w:r>
        <w:t xml:space="preserve">Constat sur la v4</w:t>
      </w:r>
    </w:p>
    <w:p>
      <w:pPr>
        <w:pStyle w:val="ListParagraph"/>
        <w:numPr>
          <w:ilvl w:val="0"/>
          <w:numId w:val="2"/>
        </w:numPr>
        <w:spacing w:after="60" w:line="276"/>
      </w:pPr>
      <w:r>
        <w:rPr>
          <w:rFonts w:ascii="Calibri" w:cs="Calibri" w:eastAsia="Calibri" w:hAnsi="Calibri"/>
          <w:sz w:val="21"/>
          <w:szCs w:val="21"/>
        </w:rPr>
        <w:t xml:space="preserve">Un projet n'a qu'un segment (social, intermédiaire, moyen-haut, villas, bureaux, commerces, touristique) et l'ajustement α s'applique à tout le programme.</w:t>
      </w:r>
    </w:p>
    <w:p>
      <w:pPr>
        <w:pStyle w:val="ListParagraph"/>
        <w:numPr>
          <w:ilvl w:val="0"/>
          <w:numId w:val="2"/>
        </w:numPr>
        <w:spacing w:after="60" w:line="276"/>
      </w:pPr>
      <w:r>
        <w:rPr>
          <w:rFonts w:ascii="Calibri" w:cs="Calibri" w:eastAsia="Calibri" w:hAnsi="Calibri"/>
          <w:sz w:val="21"/>
          <w:szCs w:val="21"/>
        </w:rPr>
        <w:t xml:space="preserve">Les lots connaissaient les types appartement, villa, commerce, bureau, terrain, autre ; pas d'hôtel.</w:t>
      </w:r>
    </w:p>
    <w:p>
      <w:pPr>
        <w:pStyle w:val="ListParagraph"/>
        <w:numPr>
          <w:ilvl w:val="0"/>
          <w:numId w:val="2"/>
        </w:numPr>
        <w:spacing w:after="60" w:line="276"/>
      </w:pPr>
      <w:r>
        <w:rPr>
          <w:rFonts w:ascii="Calibri" w:cs="Calibri" w:eastAsia="Calibri" w:hAnsi="Calibri"/>
          <w:sz w:val="21"/>
          <w:szCs w:val="21"/>
        </w:rPr>
        <w:t xml:space="preserve">Rien ne distinguait la vitesse d'écoulement des composantes.</w:t>
      </w:r>
    </w:p>
    <w:p>
      <w:pPr>
        <w:pStyle w:val="Heading2"/>
        <w:keepNext/>
      </w:pPr>
      <w:r>
        <w:t xml:space="preserve">Risque non couvert</w:t>
      </w:r>
    </w:p>
    <w:p>
      <w:pPr>
        <w:spacing w:after="120" w:before="0" w:line="276"/>
      </w:pPr>
      <w:r>
        <w:rPr>
          <w:rFonts w:ascii="Calibri" w:cs="Calibri" w:eastAsia="Calibri" w:hAnsi="Calibri"/>
          <w:sz w:val="21"/>
          <w:szCs w:val="21"/>
        </w:rPr>
        <w:t xml:space="preserve">Dans un programme mixte, les commerces, les bureaux et surtout l'hôtel se vendent plus lentement que les logements, souvent en bloc et à un acquéreur unique. Un programme à 40 % de chiffre d'affaires hôtelier sans opérateur engagé n'a pas le même risque de sortie qu'un programme résidentiel.</w:t>
      </w:r>
    </w:p>
    <w:p>
      <w:pPr>
        <w:pStyle w:val="Heading2"/>
        <w:keepNext/>
      </w:pPr>
      <w:r>
        <w:t xml:space="preserve">Réponse v5</w:t>
      </w:r>
    </w:p>
    <w:p>
      <w:pPr>
        <w:pStyle w:val="ListParagraph"/>
        <w:numPr>
          <w:ilvl w:val="0"/>
          <w:numId w:val="2"/>
        </w:numPr>
        <w:spacing w:after="60" w:line="276"/>
      </w:pPr>
      <w:r>
        <w:rPr>
          <w:rFonts w:ascii="Calibri" w:cs="Calibri" w:eastAsia="Calibri" w:hAnsi="Calibri"/>
          <w:b/>
          <w:bCs/>
          <w:sz w:val="21"/>
          <w:szCs w:val="21"/>
        </w:rPr>
        <w:t xml:space="preserve">D3C9 — Part du CA en produits à écoulement lent</w:t>
      </w:r>
      <w:r>
        <w:rPr>
          <w:rFonts w:ascii="Calibri" w:cs="Calibri" w:eastAsia="Calibri" w:hAnsi="Calibri"/>
          <w:sz w:val="21"/>
          <w:szCs w:val="21"/>
        </w:rPr>
        <w:t xml:space="preserve"> (poids 5 % du domaine D3, soit 1,6 % du score) : </w:t>
      </w:r>
      <w:r>
        <w:rPr>
          <w:rFonts w:ascii="Calibri" w:cs="Calibri" w:eastAsia="Calibri" w:hAnsi="Calibri"/>
          <w:sz w:val="19"/>
          <w:szCs w:val="19"/>
        </w:rPr>
        <w:t xml:space="preserve">&lt; 20 % (favorable) → 10 ; 20 à &lt; 40 % (vigilance) → 6 ; ≥ 40 % (critique) → 1</w:t>
      </w:r>
    </w:p>
    <w:p>
      <w:pPr>
        <w:pStyle w:val="ListParagraph"/>
        <w:numPr>
          <w:ilvl w:val="0"/>
          <w:numId w:val="2"/>
        </w:numPr>
        <w:spacing w:after="60" w:line="276"/>
      </w:pPr>
      <w:r>
        <w:rPr>
          <w:rFonts w:ascii="Calibri" w:cs="Calibri" w:eastAsia="Calibri" w:hAnsi="Calibri"/>
          <w:b/>
          <w:bCs/>
          <w:sz w:val="21"/>
          <w:szCs w:val="21"/>
        </w:rPr>
        <w:t xml:space="preserve">RF_COMPOSANTE_SANS_PRENEUR — Composante commerciale ou hôtelière sans preneur engagé</w:t>
      </w:r>
      <w:r>
        <w:rPr>
          <w:rFonts w:ascii="Calibri" w:cs="Calibri" w:eastAsia="Calibri" w:hAnsi="Calibri"/>
          <w:sz w:val="21"/>
          <w:szCs w:val="21"/>
        </w:rPr>
        <w:t xml:space="preserve"> : malus 10 pts. </w:t>
      </w:r>
      <w:r>
        <w:rPr>
          <w:rFonts w:ascii="Calibri" w:cs="Calibri" w:eastAsia="Calibri" w:hAnsi="Calibri"/>
          <w:sz w:val="19"/>
          <w:szCs w:val="19"/>
        </w:rPr>
        <w:t xml:space="preserve">Une composante significative (hôtel, commerces, bureaux) n'a ni acquéreur, ni opérateur, ni preneur engagé.</w:t>
      </w:r>
    </w:p>
    <w:p>
      <w:pPr>
        <w:pStyle w:val="ListParagraph"/>
        <w:numPr>
          <w:ilvl w:val="0"/>
          <w:numId w:val="2"/>
        </w:numPr>
        <w:spacing w:after="60" w:line="276"/>
      </w:pPr>
      <w:r>
        <w:rPr>
          <w:rFonts w:ascii="Calibri" w:cs="Calibri" w:eastAsia="Calibri" w:hAnsi="Calibri"/>
          <w:sz w:val="21"/>
          <w:szCs w:val="21"/>
        </w:rPr>
        <w:t xml:space="preserve">Nouveau type de lot « Hôtel » (composante hôtelière cédée en bloc ou exploitée).</w:t>
      </w:r>
    </w:p>
    <w:p>
      <w:pPr>
        <w:pStyle w:val="Heading2"/>
        <w:keepNext/>
      </w:pPr>
      <w:r>
        <w:t xml:space="preserve">Calcul et saisie</w:t>
      </w:r>
    </w:p>
    <w:p>
      <w:pPr>
        <w:pStyle w:val="ListParagraph"/>
        <w:numPr>
          <w:ilvl w:val="0"/>
          <w:numId w:val="2"/>
        </w:numPr>
        <w:spacing w:after="60" w:line="276"/>
      </w:pPr>
      <w:r>
        <w:rPr>
          <w:rFonts w:ascii="Calibri" w:cs="Calibri" w:eastAsia="Calibri" w:hAnsi="Calibri"/>
          <w:sz w:val="21"/>
          <w:szCs w:val="21"/>
        </w:rPr>
        <w:t xml:space="preserve">La part à écoulement lent = prix des commerces, bureaux et composantes hôtelières / prix de tous les lots du périmètre financé (prix de vente, sinon prix catalogue, sinon prix prévisionnel).</w:t>
      </w:r>
    </w:p>
    <w:p>
      <w:pPr>
        <w:pStyle w:val="ListParagraph"/>
        <w:numPr>
          <w:ilvl w:val="0"/>
          <w:numId w:val="2"/>
        </w:numPr>
        <w:spacing w:after="60" w:line="276"/>
      </w:pPr>
      <w:r>
        <w:rPr>
          <w:rFonts w:ascii="Calibri" w:cs="Calibri" w:eastAsia="Calibri" w:hAnsi="Calibri"/>
          <w:sz w:val="21"/>
          <w:szCs w:val="21"/>
        </w:rPr>
        <w:t xml:space="preserve">La carte Programme affiche la composition par classe (résidentiel, commercial, hôtelier).</w:t>
      </w:r>
    </w:p>
    <w:p>
      <w:pPr>
        <w:pStyle w:val="ListParagraph"/>
        <w:numPr>
          <w:ilvl w:val="0"/>
          <w:numId w:val="2"/>
        </w:numPr>
        <w:spacing w:after="60" w:line="276"/>
      </w:pPr>
      <w:r>
        <w:rPr>
          <w:rFonts w:ascii="Calibri" w:cs="Calibri" w:eastAsia="Calibri" w:hAnsi="Calibri"/>
          <w:sz w:val="21"/>
          <w:szCs w:val="21"/>
        </w:rPr>
        <w:t xml:space="preserve">L'alerte « composante sans preneur » est une saisie du chargé d'affaires, au vu des engagements écrits (lettre d'un opérateur, d'un investisseur ou de preneurs).</w:t>
      </w:r>
    </w:p>
    <w:p>
      <w:pPr>
        <w:pStyle w:val="Heading2"/>
        <w:keepNext/>
      </w:pPr>
      <w:r>
        <w:t xml:space="preserve">Limites</w:t>
      </w:r>
    </w:p>
    <w:p>
      <w:pPr>
        <w:pStyle w:val="ListParagraph"/>
        <w:numPr>
          <w:ilvl w:val="0"/>
          <w:numId w:val="2"/>
        </w:numPr>
        <w:spacing w:after="60" w:line="276"/>
      </w:pPr>
      <w:r>
        <w:rPr>
          <w:rFonts w:ascii="Calibri" w:cs="Calibri" w:eastAsia="Calibri" w:hAnsi="Calibri"/>
          <w:sz w:val="21"/>
          <w:szCs w:val="21"/>
        </w:rPr>
        <w:t xml:space="preserve">Le segment reste unique par projet : l'ajustement α ne se pondère pas par composante. Une pondération par composante est une évolution possible (v5.1).</w:t>
      </w:r>
    </w:p>
    <w:p>
      <w:pPr>
        <w:pStyle w:val="ListParagraph"/>
        <w:numPr>
          <w:ilvl w:val="0"/>
          <w:numId w:val="2"/>
        </w:numPr>
        <w:spacing w:after="60" w:line="276"/>
      </w:pPr>
      <w:r>
        <w:rPr>
          <w:rFonts w:ascii="Calibri" w:cs="Calibri" w:eastAsia="Calibri" w:hAnsi="Calibri"/>
          <w:sz w:val="21"/>
          <w:szCs w:val="21"/>
        </w:rPr>
        <w:t xml:space="preserve">Le seuil de 20 % / 40 % est un choix d'expert à valider.</w:t>
      </w:r>
    </w:p>
    <w:p>
      <w:r>
        <w:br w:type="page"/>
      </w:r>
    </w:p>
    <w:p>
      <w:pPr>
        <w:pStyle w:val="Heading1"/>
      </w:pPr>
      <w:r>
        <w:t xml:space="preserve">6. Équipements exigés : mosquée, école, voirie…</w:t>
      </w:r>
    </w:p>
    <w:p>
      <w:pPr>
        <w:pStyle w:val="Heading2"/>
        <w:keepNext/>
      </w:pPr>
      <w:r>
        <w:t xml:space="preserve">Constat sur la v4</w:t>
      </w:r>
    </w:p>
    <w:p>
      <w:pPr>
        <w:pStyle w:val="ListParagraph"/>
        <w:numPr>
          <w:ilvl w:val="0"/>
          <w:numId w:val="2"/>
        </w:numPr>
        <w:spacing w:after="60" w:line="276"/>
      </w:pPr>
      <w:r>
        <w:rPr>
          <w:rFonts w:ascii="Calibri" w:cs="Calibri" w:eastAsia="Calibri" w:hAnsi="Calibri"/>
          <w:sz w:val="21"/>
          <w:szCs w:val="21"/>
        </w:rPr>
        <w:t xml:space="preserve">Aucune donnée ni aucun critère ne portait sur les équipements que la commune, le cahier des charges du lotissement ou l'autorisation imposent au promoteur.</w:t>
      </w:r>
    </w:p>
    <w:p>
      <w:pPr>
        <w:pStyle w:val="ListParagraph"/>
        <w:numPr>
          <w:ilvl w:val="0"/>
          <w:numId w:val="2"/>
        </w:numPr>
        <w:spacing w:after="60" w:line="276"/>
      </w:pPr>
      <w:r>
        <w:rPr>
          <w:rFonts w:ascii="Calibri" w:cs="Calibri" w:eastAsia="Calibri" w:hAnsi="Calibri"/>
          <w:sz w:val="21"/>
          <w:szCs w:val="21"/>
        </w:rPr>
        <w:t xml:space="preserve">La chaîne d'autorisations (v4) suit la réception et le permis d'habiter, mais pas les ouvrages qui les conditionnent.</w:t>
      </w:r>
    </w:p>
    <w:p>
      <w:pPr>
        <w:pStyle w:val="Heading2"/>
        <w:keepNext/>
      </w:pPr>
      <w:r>
        <w:t xml:space="preserve">Risque non couvert</w:t>
      </w:r>
    </w:p>
    <w:p>
      <w:pPr>
        <w:spacing w:after="120" w:before="0" w:line="276"/>
      </w:pPr>
      <w:r>
        <w:rPr>
          <w:rFonts w:ascii="Calibri" w:cs="Calibri" w:eastAsia="Calibri" w:hAnsi="Calibri"/>
          <w:sz w:val="21"/>
          <w:szCs w:val="21"/>
        </w:rPr>
        <w:t xml:space="preserve">Une mosquée ou une école exigée et non budgétée consomme la marge ; si elle conditionne la réception, son retard bloque le permis d'habiter, donc les actes de vente, les encaissements et les mainlevées.</w:t>
      </w:r>
    </w:p>
    <w:p>
      <w:pPr>
        <w:pStyle w:val="Heading2"/>
        <w:keepNext/>
      </w:pPr>
      <w:r>
        <w:t xml:space="preserve">Réponse v5</w:t>
      </w:r>
    </w:p>
    <w:p>
      <w:pPr>
        <w:pStyle w:val="ListParagraph"/>
        <w:numPr>
          <w:ilvl w:val="0"/>
          <w:numId w:val="2"/>
        </w:numPr>
        <w:spacing w:after="60" w:line="276"/>
      </w:pPr>
      <w:r>
        <w:rPr>
          <w:rFonts w:ascii="Calibri" w:cs="Calibri" w:eastAsia="Calibri" w:hAnsi="Calibri"/>
          <w:b/>
          <w:bCs/>
          <w:sz w:val="21"/>
          <w:szCs w:val="21"/>
        </w:rPr>
        <w:t xml:space="preserve">D2C11 — Équipements exigés non budgétés (% du coût)</w:t>
      </w:r>
      <w:r>
        <w:rPr>
          <w:rFonts w:ascii="Calibri" w:cs="Calibri" w:eastAsia="Calibri" w:hAnsi="Calibri"/>
          <w:sz w:val="21"/>
          <w:szCs w:val="21"/>
        </w:rPr>
        <w:t xml:space="preserve"> (poids 5 % du domaine D2, soit 1 % du score) : </w:t>
      </w:r>
      <w:r>
        <w:rPr>
          <w:rFonts w:ascii="Calibri" w:cs="Calibri" w:eastAsia="Calibri" w:hAnsi="Calibri"/>
          <w:sz w:val="19"/>
          <w:szCs w:val="19"/>
        </w:rPr>
        <w:t xml:space="preserve">0 % — tout est budgété (favorable) → 10 ; &gt; 0 à &lt; 3 % (vigilance) → 6 ; ≥ 3 % (critique) → 1</w:t>
      </w:r>
    </w:p>
    <w:p>
      <w:pPr>
        <w:pStyle w:val="ListParagraph"/>
        <w:numPr>
          <w:ilvl w:val="0"/>
          <w:numId w:val="2"/>
        </w:numPr>
        <w:spacing w:after="60" w:line="276"/>
      </w:pPr>
      <w:r>
        <w:rPr>
          <w:rFonts w:ascii="Calibri" w:cs="Calibri" w:eastAsia="Calibri" w:hAnsi="Calibri"/>
          <w:b/>
          <w:bCs/>
          <w:sz w:val="21"/>
          <w:szCs w:val="21"/>
        </w:rPr>
        <w:t xml:space="preserve">RF_EQUIPEMENT_RECEPTION — Équipement exigé en retard (conditionne la réception)</w:t>
      </w:r>
      <w:r>
        <w:rPr>
          <w:rFonts w:ascii="Calibri" w:cs="Calibri" w:eastAsia="Calibri" w:hAnsi="Calibri"/>
          <w:sz w:val="21"/>
          <w:szCs w:val="21"/>
        </w:rPr>
        <w:t xml:space="preserve"> : malus 15 pts, retour en comité. </w:t>
      </w:r>
      <w:r>
        <w:rPr>
          <w:rFonts w:ascii="Calibri" w:cs="Calibri" w:eastAsia="Calibri" w:hAnsi="Calibri"/>
          <w:sz w:val="19"/>
          <w:szCs w:val="19"/>
        </w:rPr>
        <w:t xml:space="preserve">Un équipement exigé (mosquée, école, voirie…) conditionnant la réception est en retard : risque de blocage de la livraison, des actes et des mainlevées.</w:t>
      </w:r>
    </w:p>
    <w:p>
      <w:pPr>
        <w:pStyle w:val="ListParagraph"/>
        <w:numPr>
          <w:ilvl w:val="0"/>
          <w:numId w:val="2"/>
        </w:numPr>
        <w:spacing w:after="60" w:line="276"/>
      </w:pPr>
      <w:r>
        <w:rPr>
          <w:rFonts w:ascii="Calibri" w:cs="Calibri" w:eastAsia="Calibri" w:hAnsi="Calibri"/>
          <w:sz w:val="21"/>
          <w:szCs w:val="21"/>
        </w:rPr>
        <w:t xml:space="preserve">Registre des équipements par projet : type, libellé, origine de l'obligation, coût estimé, financeur, budgété ou non, tranche, échéance, avancement, conditionne la réception, remis à la commune.</w:t>
      </w:r>
    </w:p>
    <w:p>
      <w:pPr>
        <w:pStyle w:val="Heading2"/>
        <w:keepNext/>
      </w:pPr>
      <w:r>
        <w:t xml:space="preserve">Calcul et saisie</w:t>
      </w:r>
    </w:p>
    <w:p>
      <w:pPr>
        <w:pStyle w:val="ListParagraph"/>
        <w:numPr>
          <w:ilvl w:val="0"/>
          <w:numId w:val="2"/>
        </w:numPr>
        <w:spacing w:after="60" w:line="276"/>
      </w:pPr>
      <w:r>
        <w:rPr>
          <w:rFonts w:ascii="Calibri" w:cs="Calibri" w:eastAsia="Calibri" w:hAnsi="Calibri"/>
          <w:sz w:val="21"/>
          <w:szCs w:val="21"/>
        </w:rPr>
        <w:t xml:space="preserve">Déclaration en trois états : non déclarée (donnée absente, note plancher), « aucun équipement exigé » (0 %, favorable), ou liste. Saisir un équipement vaut déclaration.</w:t>
      </w:r>
    </w:p>
    <w:p>
      <w:pPr>
        <w:pStyle w:val="ListParagraph"/>
        <w:numPr>
          <w:ilvl w:val="0"/>
          <w:numId w:val="2"/>
        </w:numPr>
        <w:spacing w:after="60" w:line="276"/>
      </w:pPr>
      <w:r>
        <w:rPr>
          <w:rFonts w:ascii="Calibri" w:cs="Calibri" w:eastAsia="Calibri" w:hAnsi="Calibri"/>
          <w:sz w:val="21"/>
          <w:szCs w:val="21"/>
        </w:rPr>
        <w:t xml:space="preserve">% non budgété = coût des équipements non budgétés et à la charge du programme / coût total du programme. Un équipement financé par la commune ou l'État est exclu. Un coût manquant laisse la donnée absente.</w:t>
      </w:r>
    </w:p>
    <w:p>
      <w:pPr>
        <w:pStyle w:val="ListParagraph"/>
        <w:numPr>
          <w:ilvl w:val="0"/>
          <w:numId w:val="2"/>
        </w:numPr>
        <w:spacing w:after="60" w:line="276"/>
      </w:pPr>
      <w:r>
        <w:rPr>
          <w:rFonts w:ascii="Calibri" w:cs="Calibri" w:eastAsia="Calibri" w:hAnsi="Calibri"/>
          <w:sz w:val="21"/>
          <w:szCs w:val="21"/>
        </w:rPr>
        <w:t xml:space="preserve">Retard : un équipement qui conditionne la réception, non remis, dont l'échéance est passée avant achèvement, ou dont l'avancement accuse plus de 30 points de retard sur le programme.</w:t>
      </w:r>
    </w:p>
    <w:p>
      <w:pPr>
        <w:pStyle w:val="Heading2"/>
        <w:keepNext/>
      </w:pPr>
      <w:r>
        <w:t xml:space="preserve">Limites</w:t>
      </w:r>
    </w:p>
    <w:p>
      <w:pPr>
        <w:pStyle w:val="ListParagraph"/>
        <w:numPr>
          <w:ilvl w:val="0"/>
          <w:numId w:val="2"/>
        </w:numPr>
        <w:spacing w:after="60" w:line="276"/>
      </w:pPr>
      <w:r>
        <w:rPr>
          <w:rFonts w:ascii="Calibri" w:cs="Calibri" w:eastAsia="Calibri" w:hAnsi="Calibri"/>
          <w:sz w:val="21"/>
          <w:szCs w:val="21"/>
        </w:rPr>
        <w:t xml:space="preserve">Le seuil de 30 points d'écart d'avancement est une règle de vigilance simple, à affiner avec l'expérience.</w:t>
      </w:r>
    </w:p>
    <w:p>
      <w:pPr>
        <w:pStyle w:val="ListParagraph"/>
        <w:numPr>
          <w:ilvl w:val="0"/>
          <w:numId w:val="2"/>
        </w:numPr>
        <w:spacing w:after="60" w:line="276"/>
      </w:pPr>
      <w:r>
        <w:rPr>
          <w:rFonts w:ascii="Calibri" w:cs="Calibri" w:eastAsia="Calibri" w:hAnsi="Calibri"/>
          <w:sz w:val="21"/>
          <w:szCs w:val="21"/>
        </w:rPr>
        <w:t xml:space="preserve">Le coût du programme est celui de la fiche projet ; s'il manque, le pourcentage n'est pas calculé.</w:t>
      </w:r>
    </w:p>
    <w:p>
      <w:r>
        <w:br w:type="page"/>
      </w:r>
    </w:p>
    <w:p>
      <w:pPr>
        <w:pStyle w:val="Heading1"/>
      </w:pPr>
      <w:r>
        <w:t xml:space="preserve">7. Suivi de l'avancement des déblocages selon le calendrier</w:t>
      </w:r>
    </w:p>
    <w:p>
      <w:pPr>
        <w:pStyle w:val="Heading2"/>
        <w:keepNext/>
      </w:pPr>
      <w:r>
        <w:t xml:space="preserve">Constat sur la v4</w:t>
      </w:r>
    </w:p>
    <w:p>
      <w:pPr>
        <w:pStyle w:val="ListParagraph"/>
        <w:numPr>
          <w:ilvl w:val="0"/>
          <w:numId w:val="2"/>
        </w:numPr>
        <w:spacing w:after="60" w:line="276"/>
      </w:pPr>
      <w:r>
        <w:rPr>
          <w:rFonts w:ascii="Calibri" w:cs="Calibri" w:eastAsia="Calibri" w:hAnsi="Calibri"/>
          <w:sz w:val="21"/>
          <w:szCs w:val="21"/>
        </w:rPr>
        <w:t xml:space="preserve">Le planning des déblocages du business plan, le rapprochement avec les déblocages réels et les situations de travaux visées existaient depuis la v3, ainsi que le verrou d'autorisation au tirage.</w:t>
      </w:r>
    </w:p>
    <w:p>
      <w:pPr>
        <w:pStyle w:val="ListParagraph"/>
        <w:numPr>
          <w:ilvl w:val="0"/>
          <w:numId w:val="2"/>
        </w:numPr>
        <w:spacing w:after="60" w:line="276"/>
      </w:pPr>
      <w:r>
        <w:rPr>
          <w:rFonts w:ascii="Calibri" w:cs="Calibri" w:eastAsia="Calibri" w:hAnsi="Calibri"/>
          <w:sz w:val="21"/>
          <w:szCs w:val="21"/>
        </w:rPr>
        <w:t xml:space="preserve">Mais aucun de ces éléments n'alimentait le score : un dossier dont la banque a débloqué 80 % pour 40 % de travaux gardait la même note.</w:t>
      </w:r>
    </w:p>
    <w:p>
      <w:pPr>
        <w:pStyle w:val="ListParagraph"/>
        <w:numPr>
          <w:ilvl w:val="0"/>
          <w:numId w:val="2"/>
        </w:numPr>
        <w:spacing w:after="60" w:line="276"/>
      </w:pPr>
      <w:r>
        <w:rPr>
          <w:rFonts w:ascii="Calibri" w:cs="Calibri" w:eastAsia="Calibri" w:hAnsi="Calibri"/>
          <w:sz w:val="21"/>
          <w:szCs w:val="21"/>
        </w:rPr>
        <w:t xml:space="preserve">L'historique des scores était affiché sans lecture de tendance.</w:t>
      </w:r>
    </w:p>
    <w:p>
      <w:pPr>
        <w:pStyle w:val="Heading2"/>
        <w:keepNext/>
      </w:pPr>
      <w:r>
        <w:t xml:space="preserve">Risque non couvert</w:t>
      </w:r>
    </w:p>
    <w:p>
      <w:pPr>
        <w:spacing w:after="120" w:before="0" w:line="276"/>
      </w:pPr>
      <w:r>
        <w:rPr>
          <w:rFonts w:ascii="Calibri" w:cs="Calibri" w:eastAsia="Calibri" w:hAnsi="Calibri"/>
          <w:sz w:val="21"/>
          <w:szCs w:val="21"/>
        </w:rPr>
        <w:t xml:space="preserve">Un tirage en avance sur les travaux réduit la valeur de la garantie par rapport à l'encours : c'est l'un des premiers signaux d'un détournement de fonds ou d'un chantier en difficulté. À l'inverse, un plan de tirage en retard signale un chantier qui patine. Comme le dossier est re-scoré à chaque revue, ces écarts doivent se voir dans la note et dans sa trajectoire.</w:t>
      </w:r>
    </w:p>
    <w:p>
      <w:pPr>
        <w:pStyle w:val="Heading2"/>
        <w:keepNext/>
      </w:pPr>
      <w:r>
        <w:t xml:space="preserve">Réponse v5</w:t>
      </w:r>
    </w:p>
    <w:p>
      <w:pPr>
        <w:pStyle w:val="ListParagraph"/>
        <w:numPr>
          <w:ilvl w:val="0"/>
          <w:numId w:val="2"/>
        </w:numPr>
        <w:spacing w:after="60" w:line="276"/>
      </w:pPr>
      <w:r>
        <w:rPr>
          <w:rFonts w:ascii="Calibri" w:cs="Calibri" w:eastAsia="Calibri" w:hAnsi="Calibri"/>
          <w:b/>
          <w:bCs/>
          <w:sz w:val="21"/>
          <w:szCs w:val="21"/>
        </w:rPr>
        <w:t xml:space="preserve">D4C8 — Déblocages vs avancement certifié</w:t>
      </w:r>
      <w:r>
        <w:rPr>
          <w:rFonts w:ascii="Calibri" w:cs="Calibri" w:eastAsia="Calibri" w:hAnsi="Calibri"/>
          <w:sz w:val="21"/>
          <w:szCs w:val="21"/>
        </w:rPr>
        <w:t xml:space="preserve"> (poids 10 % du domaine D4, soit 2,4 % du score) : </w:t>
      </w:r>
      <w:r>
        <w:rPr>
          <w:rFonts w:ascii="Calibri" w:cs="Calibri" w:eastAsia="Calibri" w:hAnsi="Calibri"/>
          <w:sz w:val="19"/>
          <w:szCs w:val="19"/>
        </w:rPr>
        <w:t xml:space="preserve">&lt; 105 % — en phase (favorable) → 10 ; 105 à &lt; 115 % (vigilance) → 6 ; ≥ 115 % — tirages en avance (critique) → 1</w:t>
      </w:r>
    </w:p>
    <w:p>
      <w:pPr>
        <w:pStyle w:val="ListParagraph"/>
        <w:numPr>
          <w:ilvl w:val="0"/>
          <w:numId w:val="2"/>
        </w:numPr>
        <w:spacing w:after="60" w:line="276"/>
      </w:pPr>
      <w:r>
        <w:rPr>
          <w:rFonts w:ascii="Calibri" w:cs="Calibri" w:eastAsia="Calibri" w:hAnsi="Calibri"/>
          <w:b/>
          <w:bCs/>
          <w:sz w:val="21"/>
          <w:szCs w:val="21"/>
        </w:rPr>
        <w:t xml:space="preserve">RF_TIRAGE_AVANCE — Déblocages en avance sur l'avancement des travaux</w:t>
      </w:r>
      <w:r>
        <w:rPr>
          <w:rFonts w:ascii="Calibri" w:cs="Calibri" w:eastAsia="Calibri" w:hAnsi="Calibri"/>
          <w:sz w:val="21"/>
          <w:szCs w:val="21"/>
        </w:rPr>
        <w:t xml:space="preserve"> : malus 15 pts, retour en comité. </w:t>
      </w:r>
      <w:r>
        <w:rPr>
          <w:rFonts w:ascii="Calibri" w:cs="Calibri" w:eastAsia="Calibri" w:hAnsi="Calibri"/>
          <w:sz w:val="19"/>
          <w:szCs w:val="19"/>
        </w:rPr>
        <w:t xml:space="preserve">Le cumul débloqué dépasse de 15 % ou plus ce que justifie l'avancement certifié : l'encours devance la valeur créée.</w:t>
      </w:r>
    </w:p>
    <w:p>
      <w:pPr>
        <w:pStyle w:val="ListParagraph"/>
        <w:numPr>
          <w:ilvl w:val="0"/>
          <w:numId w:val="2"/>
        </w:numPr>
        <w:spacing w:after="60" w:line="276"/>
      </w:pPr>
      <w:r>
        <w:rPr>
          <w:rFonts w:ascii="Calibri" w:cs="Calibri" w:eastAsia="Calibri" w:hAnsi="Calibri"/>
          <w:b/>
          <w:bCs/>
          <w:sz w:val="21"/>
          <w:szCs w:val="21"/>
        </w:rPr>
        <w:t xml:space="preserve">RF_PLAN_TIRAGE_RETARD — Plan de tirage en retard sur le calendrier</w:t>
      </w:r>
      <w:r>
        <w:rPr>
          <w:rFonts w:ascii="Calibri" w:cs="Calibri" w:eastAsia="Calibri" w:hAnsi="Calibri"/>
          <w:sz w:val="21"/>
          <w:szCs w:val="21"/>
        </w:rPr>
        <w:t xml:space="preserve"> : malus 5 pts. </w:t>
      </w:r>
      <w:r>
        <w:rPr>
          <w:rFonts w:ascii="Calibri" w:cs="Calibri" w:eastAsia="Calibri" w:hAnsi="Calibri"/>
          <w:sz w:val="19"/>
          <w:szCs w:val="19"/>
        </w:rPr>
        <w:t xml:space="preserve">Au moins 25 % du montant prévu à date n'a pas été débloqué : signe d'un chantier en retard ou d'un besoin mal calibré.</w:t>
      </w:r>
    </w:p>
    <w:p>
      <w:pPr>
        <w:pStyle w:val="ListParagraph"/>
        <w:numPr>
          <w:ilvl w:val="0"/>
          <w:numId w:val="2"/>
        </w:numPr>
        <w:spacing w:after="60" w:line="276"/>
      </w:pPr>
      <w:r>
        <w:rPr>
          <w:rFonts w:ascii="Calibri" w:cs="Calibri" w:eastAsia="Calibri" w:hAnsi="Calibri"/>
          <w:b/>
          <w:bCs/>
          <w:sz w:val="21"/>
          <w:szCs w:val="21"/>
        </w:rPr>
        <w:t xml:space="preserve">Trajectoire du score : </w:t>
      </w:r>
      <w:r>
        <w:rPr>
          <w:rFonts w:ascii="Calibri" w:cs="Calibri" w:eastAsia="Calibri" w:hAnsi="Calibri"/>
          <w:sz w:val="21"/>
          <w:szCs w:val="21"/>
        </w:rPr>
        <w:t xml:space="preserve">alerte précoce si le score perd 5 points ou plus sur les 3 derniers calculs ou si la décision se dégrade ; vigilance en cas de baisses consécutives ou d'approche d'un seuil. Un écart dû à un changement de version du modèle est neutralisé.</w:t>
      </w:r>
    </w:p>
    <w:p>
      <w:pPr>
        <w:pStyle w:val="Heading2"/>
        <w:keepNext/>
      </w:pPr>
      <w:r>
        <w:t xml:space="preserve">Calcul et saisie</w:t>
      </w:r>
    </w:p>
    <w:p>
      <w:pPr>
        <w:pStyle w:val="ListParagraph"/>
        <w:numPr>
          <w:ilvl w:val="0"/>
          <w:numId w:val="2"/>
        </w:numPr>
        <w:spacing w:after="60" w:line="276"/>
      </w:pPr>
      <w:r>
        <w:rPr>
          <w:rFonts w:ascii="Calibri" w:cs="Calibri" w:eastAsia="Calibri" w:hAnsi="Calibri"/>
          <w:sz w:val="21"/>
          <w:szCs w:val="21"/>
        </w:rPr>
        <w:t xml:space="preserve">Déblocages vs avancement = cumul débloqué sur les crédits de travaux / (montant autorisé × avancement certifié) × 100, sur le périmètre financé.</w:t>
      </w:r>
    </w:p>
    <w:p>
      <w:pPr>
        <w:pStyle w:val="ListParagraph"/>
        <w:numPr>
          <w:ilvl w:val="0"/>
          <w:numId w:val="2"/>
        </w:numPr>
        <w:spacing w:after="60" w:line="276"/>
      </w:pPr>
      <w:r>
        <w:rPr>
          <w:rFonts w:ascii="Calibri" w:cs="Calibri" w:eastAsia="Calibri" w:hAnsi="Calibri"/>
          <w:sz w:val="21"/>
          <w:szCs w:val="21"/>
        </w:rPr>
        <w:t xml:space="preserve">Avancement de référence, dans cet ordre : dernière situation de travaux visée ; avancement des tranches financées (pondéré par leur budget) ; dernière visite de chantier.</w:t>
      </w:r>
    </w:p>
    <w:p>
      <w:pPr>
        <w:pStyle w:val="ListParagraph"/>
        <w:numPr>
          <w:ilvl w:val="0"/>
          <w:numId w:val="2"/>
        </w:numPr>
        <w:spacing w:after="60" w:line="276"/>
      </w:pPr>
      <w:r>
        <w:rPr>
          <w:rFonts w:ascii="Calibri" w:cs="Calibri" w:eastAsia="Calibri" w:hAnsi="Calibri"/>
          <w:sz w:val="21"/>
          <w:szCs w:val="21"/>
        </w:rPr>
        <w:t xml:space="preserve">Plan de tirage : au moins 25 % du montant prévu à date (jalons échus) non débloqué → alerte.</w:t>
      </w:r>
    </w:p>
    <w:p>
      <w:pPr>
        <w:pStyle w:val="ListParagraph"/>
        <w:numPr>
          <w:ilvl w:val="0"/>
          <w:numId w:val="2"/>
        </w:numPr>
        <w:spacing w:after="60" w:line="276"/>
      </w:pPr>
      <w:r>
        <w:rPr>
          <w:rFonts w:ascii="Calibri" w:cs="Calibri" w:eastAsia="Calibri" w:hAnsi="Calibri"/>
          <w:sz w:val="21"/>
          <w:szCs w:val="21"/>
        </w:rPr>
        <w:t xml:space="preserve">La carte « Évolution du score » affiche la version du modèle de chaque calcul et le niveau de trajectoire (stable, vigilance, alerte précoce).</w:t>
      </w:r>
    </w:p>
    <w:p>
      <w:pPr>
        <w:pStyle w:val="Heading2"/>
        <w:keepNext/>
      </w:pPr>
      <w:r>
        <w:t xml:space="preserve">Limites</w:t>
      </w:r>
    </w:p>
    <w:p>
      <w:pPr>
        <w:pStyle w:val="ListParagraph"/>
        <w:numPr>
          <w:ilvl w:val="0"/>
          <w:numId w:val="2"/>
        </w:numPr>
        <w:spacing w:after="60" w:line="276"/>
      </w:pPr>
      <w:r>
        <w:rPr>
          <w:rFonts w:ascii="Calibri" w:cs="Calibri" w:eastAsia="Calibri" w:hAnsi="Calibri"/>
          <w:sz w:val="21"/>
          <w:szCs w:val="21"/>
        </w:rPr>
        <w:t xml:space="preserve">Le ratio suppose un déblocage proportionnel à l'avancement ; un plan de tirage contractuel non linéaire (avance de démarrage, par exemple) peut justifier un écart : le motiver au comité.</w:t>
      </w:r>
    </w:p>
    <w:p>
      <w:pPr>
        <w:pStyle w:val="ListParagraph"/>
        <w:numPr>
          <w:ilvl w:val="0"/>
          <w:numId w:val="2"/>
        </w:numPr>
        <w:spacing w:after="60" w:line="276"/>
      </w:pPr>
      <w:r>
        <w:rPr>
          <w:rFonts w:ascii="Calibri" w:cs="Calibri" w:eastAsia="Calibri" w:hAnsi="Calibri"/>
          <w:sz w:val="21"/>
          <w:szCs w:val="21"/>
        </w:rPr>
        <w:t xml:space="preserve">Les seuils de 115 % et 25 % sont des choix de politique de crédit à valider.</w:t>
      </w:r>
    </w:p>
    <w:p>
      <w:r>
        <w:br w:type="page"/>
      </w:r>
    </w:p>
    <w:p>
      <w:pPr>
        <w:pStyle w:val="Heading1"/>
      </w:pPr>
      <w:r>
        <w:t xml:space="preserve">8. Autres améliorations intégrées</w:t>
      </w:r>
    </w:p>
    <w:p>
      <w:pPr>
        <w:spacing w:after="120" w:before="0" w:line="276"/>
      </w:pPr>
      <w:r>
        <w:rPr>
          <w:rFonts w:ascii="Calibri" w:cs="Calibri" w:eastAsia="Calibri" w:hAnsi="Calibri"/>
          <w:sz w:val="21"/>
          <w:szCs w:val="21"/>
        </w:rPr>
        <w:t xml:space="preserve">Trois risques fréquents dans le financement de la promotion n'étaient pas couverts :</w:t>
      </w:r>
    </w:p>
    <w:p>
      <w:pPr>
        <w:pStyle w:val="ListParagraph"/>
        <w:numPr>
          <w:ilvl w:val="0"/>
          <w:numId w:val="2"/>
        </w:numPr>
        <w:spacing w:after="60" w:line="276"/>
      </w:pPr>
      <w:r>
        <w:rPr>
          <w:rFonts w:ascii="Calibri" w:cs="Calibri" w:eastAsia="Calibri" w:hAnsi="Calibri"/>
          <w:b/>
          <w:bCs/>
          <w:sz w:val="21"/>
          <w:szCs w:val="21"/>
        </w:rPr>
        <w:t xml:space="preserve">D2C10 — Entreprise de travaux et garanties de marché</w:t>
      </w:r>
      <w:r>
        <w:rPr>
          <w:rFonts w:ascii="Calibri" w:cs="Calibri" w:eastAsia="Calibri" w:hAnsi="Calibri"/>
          <w:sz w:val="21"/>
          <w:szCs w:val="21"/>
        </w:rPr>
        <w:t xml:space="preserve"> (poids 10 % du domaine D2, soit 2 % du score) : </w:t>
      </w:r>
      <w:r>
        <w:rPr>
          <w:rFonts w:ascii="Calibri" w:cs="Calibri" w:eastAsia="Calibri" w:hAnsi="Calibri"/>
          <w:sz w:val="19"/>
          <w:szCs w:val="19"/>
        </w:rPr>
        <w:t xml:space="preserve">Entreprise non qualifiée, travaux en régie ou promoteur-constructeur sans structure → 2 ; Entreprise qualifiée, garanties de marché partielles → 6 ; Entreprise qualifiée et classée, marché forfaitaire avec caution de bonne exécution et retenue de garantie → 10</w:t>
      </w:r>
    </w:p>
    <w:p>
      <w:pPr>
        <w:spacing w:after="120" w:before="0" w:line="276"/>
      </w:pPr>
      <w:r>
        <w:rPr>
          <w:rFonts w:ascii="Calibri" w:cs="Calibri" w:eastAsia="Calibri" w:hAnsi="Calibri"/>
          <w:i/>
          <w:iCs/>
          <w:sz w:val="19"/>
          <w:szCs w:val="19"/>
        </w:rPr>
        <w:t xml:space="preserve">Le risque d'achèvement repose sur l'entreprise qui construit : qualification, nature du marché, garanties contractuelles.</w:t>
      </w:r>
    </w:p>
    <w:p>
      <w:pPr>
        <w:pStyle w:val="ListParagraph"/>
        <w:numPr>
          <w:ilvl w:val="0"/>
          <w:numId w:val="2"/>
        </w:numPr>
        <w:spacing w:after="60" w:line="276"/>
      </w:pPr>
      <w:r>
        <w:rPr>
          <w:rFonts w:ascii="Calibri" w:cs="Calibri" w:eastAsia="Calibri" w:hAnsi="Calibri"/>
          <w:b/>
          <w:bCs/>
          <w:sz w:val="21"/>
          <w:szCs w:val="21"/>
        </w:rPr>
        <w:t xml:space="preserve">D3C10 — Taux de désistement des réservations</w:t>
      </w:r>
      <w:r>
        <w:rPr>
          <w:rFonts w:ascii="Calibri" w:cs="Calibri" w:eastAsia="Calibri" w:hAnsi="Calibri"/>
          <w:sz w:val="21"/>
          <w:szCs w:val="21"/>
        </w:rPr>
        <w:t xml:space="preserve"> (poids 10 % du domaine D3, soit 3,1 % du score) : </w:t>
      </w:r>
      <w:r>
        <w:rPr>
          <w:rFonts w:ascii="Calibri" w:cs="Calibri" w:eastAsia="Calibri" w:hAnsi="Calibri"/>
          <w:sz w:val="19"/>
          <w:szCs w:val="19"/>
        </w:rPr>
        <w:t xml:space="preserve">&lt; 10 % (favorable) → 10 ; 10 à &lt; 20 % (vigilance) → 6 ; ≥ 20 % (critique) → 1</w:t>
      </w:r>
    </w:p>
    <w:p>
      <w:pPr>
        <w:spacing w:after="120" w:before="0" w:line="276"/>
      </w:pPr>
      <w:r>
        <w:rPr>
          <w:rFonts w:ascii="Calibri" w:cs="Calibri" w:eastAsia="Calibri" w:hAnsi="Calibri"/>
          <w:i/>
          <w:iCs/>
          <w:sz w:val="19"/>
          <w:szCs w:val="19"/>
        </w:rPr>
        <w:t xml:space="preserve">Une prévente qui se désiste n'en était pas une : un taux de désistement qui monte entre deux revues signale des préventes fragiles, même si le taux de prévente reste stable. Calculé automatiquement sur le périmètre financé.</w:t>
      </w:r>
    </w:p>
    <w:p>
      <w:pPr>
        <w:pStyle w:val="ListParagraph"/>
        <w:numPr>
          <w:ilvl w:val="0"/>
          <w:numId w:val="2"/>
        </w:numPr>
        <w:spacing w:after="60" w:line="276"/>
      </w:pPr>
      <w:r>
        <w:rPr>
          <w:rFonts w:ascii="Calibri" w:cs="Calibri" w:eastAsia="Calibri" w:hAnsi="Calibri"/>
          <w:b/>
          <w:bCs/>
          <w:sz w:val="21"/>
          <w:szCs w:val="21"/>
        </w:rPr>
        <w:t xml:space="preserve">D4C9 — Dépassement du coût à terminaison</w:t>
      </w:r>
      <w:r>
        <w:rPr>
          <w:rFonts w:ascii="Calibri" w:cs="Calibri" w:eastAsia="Calibri" w:hAnsi="Calibri"/>
          <w:sz w:val="21"/>
          <w:szCs w:val="21"/>
        </w:rPr>
        <w:t xml:space="preserve"> (poids 10 % du domaine D4, soit 2,4 % du score) : </w:t>
      </w:r>
      <w:r>
        <w:rPr>
          <w:rFonts w:ascii="Calibri" w:cs="Calibri" w:eastAsia="Calibri" w:hAnsi="Calibri"/>
          <w:sz w:val="19"/>
          <w:szCs w:val="19"/>
        </w:rPr>
        <w:t xml:space="preserve">&lt; 5 % (favorable) → 10 ; 5 à &lt; 10 % (vigilance) → 6 ; ≥ 10 % (critique) → 1</w:t>
      </w:r>
    </w:p>
    <w:p>
      <w:pPr>
        <w:spacing w:after="120" w:before="0" w:line="276"/>
      </w:pPr>
      <w:r>
        <w:rPr>
          <w:rFonts w:ascii="Calibri" w:cs="Calibri" w:eastAsia="Calibri" w:hAnsi="Calibri"/>
          <w:i/>
          <w:iCs/>
          <w:sz w:val="19"/>
          <w:szCs w:val="19"/>
        </w:rPr>
        <w:t xml:space="preserve">Un dépassement de coût consomme la marge et l'apport, et crée une impasse de financement.</w:t>
      </w:r>
    </w:p>
    <w:p>
      <w:pPr>
        <w:pStyle w:val="Heading2"/>
        <w:keepNext/>
      </w:pPr>
      <w:r>
        <w:t xml:space="preserve">Corrections faites pendant le diagnostic</w:t>
      </w:r>
    </w:p>
    <w:p>
      <w:pPr>
        <w:pStyle w:val="ListParagraph"/>
        <w:numPr>
          <w:ilvl w:val="0"/>
          <w:numId w:val="2"/>
        </w:numPr>
        <w:spacing w:after="60" w:line="276"/>
      </w:pPr>
      <w:r>
        <w:rPr>
          <w:rFonts w:ascii="Calibri" w:cs="Calibri" w:eastAsia="Calibri" w:hAnsi="Calibri"/>
          <w:sz w:val="21"/>
          <w:szCs w:val="21"/>
        </w:rPr>
        <w:t xml:space="preserve">Sécurité : la mise à jour du financement des acquéreurs pouvait modifier un lot d'un autre projet si son identifiant était fourni ; elle est désormais limitée aux lots du projet.</w:t>
      </w:r>
    </w:p>
    <w:p>
      <w:pPr>
        <w:pStyle w:val="ListParagraph"/>
        <w:numPr>
          <w:ilvl w:val="0"/>
          <w:numId w:val="2"/>
        </w:numPr>
        <w:spacing w:after="60" w:line="276"/>
      </w:pPr>
      <w:r>
        <w:rPr>
          <w:rFonts w:ascii="Calibri" w:cs="Calibri" w:eastAsia="Calibri" w:hAnsi="Calibri"/>
          <w:sz w:val="21"/>
          <w:szCs w:val="21"/>
        </w:rPr>
        <w:t xml:space="preserve">Données : régions des projets normalisées en codes (8 projets corrigés).</w:t>
      </w:r>
    </w:p>
    <w:p>
      <w:r>
        <w:br w:type="page"/>
      </w:r>
    </w:p>
    <w:p>
      <w:pPr>
        <w:pStyle w:val="Heading1"/>
      </w:pPr>
      <w:r>
        <w:t xml:space="preserve">9. Le modèle v5 en chiffres</w:t>
      </w:r>
    </w:p>
    <w:p>
      <w:pPr>
        <w:spacing w:after="120" w:before="0" w:line="276"/>
      </w:pPr>
      <w:r>
        <w:rPr>
          <w:rFonts w:ascii="Calibri" w:cs="Calibri" w:eastAsia="Calibri" w:hAnsi="Calibri"/>
          <w:sz w:val="21"/>
          <w:szCs w:val="21"/>
        </w:rPr>
        <w:t xml:space="preserve">v4 : 29 critères, 13 alertes. v5 : 37 critères, 18 alertes. Poids des domaines inchangés ; poids des critères au sein de chaque domaine :</w:t>
      </w:r>
    </w:p>
    <w:p>
      <w:pPr>
        <w:pStyle w:val="Heading2"/>
        <w:keepNext/>
      </w:pPr>
      <w:r>
        <w:t xml:space="preserve">D1 — Sponsor &amp; Gouvernance (25 % du score)</w:t>
      </w:r>
    </w:p>
    <w:tbl>
      <w:tblPr>
        <w:tblW w:type="dxa" w:w="9638"/>
        <w:tblBorders>
          <w:top w:val="single" w:color="AEB6C6" w:sz="2"/>
          <w:left w:val="single" w:color="AEB6C6" w:sz="2"/>
          <w:bottom w:val="single" w:color="AEB6C6" w:sz="2"/>
          <w:right w:val="single" w:color="AEB6C6" w:sz="2"/>
          <w:insideH w:val="single" w:color="D0D6E2" w:sz="1"/>
          <w:insideV w:val="single" w:color="D0D6E2" w:sz="1"/>
        </w:tblBorders>
      </w:tblPr>
      <w:tblGrid>
        <w:gridCol w:w="5638"/>
        <w:gridCol w:w="1300"/>
        <w:gridCol w:w="1300"/>
        <w:gridCol w:w="1400"/>
      </w:tblGrid>
      <w:tr>
        <w:trPr>
          <w:cantSplit/>
          <w:tblHeader/>
        </w:trPr>
        <w:tc>
          <w:tcPr>
            <w:tcW w:type="dxa" w:w="5638"/>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Critère</w:t>
            </w:r>
          </w:p>
        </w:tc>
        <w:tc>
          <w:tcPr>
            <w:tcW w:type="dxa" w:w="13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Poids v4</w:t>
            </w:r>
          </w:p>
        </w:tc>
        <w:tc>
          <w:tcPr>
            <w:tcW w:type="dxa" w:w="13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Poids v5</w:t>
            </w:r>
          </w:p>
        </w:tc>
        <w:tc>
          <w:tcPr>
            <w:tcW w:type="dxa" w:w="14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Écart</w:t>
            </w:r>
          </w:p>
        </w:tc>
      </w:tr>
      <w:tr>
        <w:trPr>
          <w:cantSplit/>
        </w:trPr>
        <w:tc>
          <w:tcPr>
            <w:tcW w:type="dxa" w:w="5638"/>
            <w:tcMar>
              <w:top w:type="dxa" w:w="40"/>
              <w:left w:type="dxa" w:w="80"/>
              <w:bottom w:type="dxa" w:w="40"/>
              <w:right w:type="dxa" w:w="80"/>
            </w:tcMar>
          </w:tcPr>
          <w:p>
            <w:pPr>
              <w:spacing w:after="0" w:line="240"/>
            </w:pPr>
            <w:r>
              <w:rPr>
                <w:rFonts w:ascii="Calibri" w:cs="Calibri" w:eastAsia="Calibri" w:hAnsi="Calibri"/>
                <w:b/>
                <w:bCs/>
                <w:sz w:val="18"/>
                <w:szCs w:val="18"/>
              </w:rPr>
              <w:t xml:space="preserve">D1C1 — Projets similaires livrés (5 ans)</w:t>
            </w:r>
          </w:p>
        </w:tc>
        <w:tc>
          <w:tcPr>
            <w:tcW w:type="dxa" w:w="1300"/>
            <w:tcMar>
              <w:top w:type="dxa" w:w="40"/>
              <w:left w:type="dxa" w:w="80"/>
              <w:bottom w:type="dxa" w:w="40"/>
              <w:right w:type="dxa" w:w="80"/>
            </w:tcMar>
          </w:tcPr>
          <w:p>
            <w:pPr>
              <w:spacing w:after="0" w:line="240"/>
              <w:jc w:val="center"/>
            </w:pPr>
            <w:r>
              <w:rPr>
                <w:rFonts w:ascii="Calibri" w:cs="Calibri" w:eastAsia="Calibri" w:hAnsi="Calibri"/>
                <w:b w:val="false"/>
                <w:bCs w:val="false"/>
                <w:sz w:val="18"/>
                <w:szCs w:val="18"/>
              </w:rPr>
              <w:t xml:space="preserve">20 %</w:t>
            </w:r>
          </w:p>
        </w:tc>
        <w:tc>
          <w:tcPr>
            <w:tcW w:type="dxa" w:w="1300"/>
            <w:tcMar>
              <w:top w:type="dxa" w:w="40"/>
              <w:left w:type="dxa" w:w="80"/>
              <w:bottom w:type="dxa" w:w="40"/>
              <w:right w:type="dxa" w:w="80"/>
            </w:tcMar>
          </w:tcPr>
          <w:p>
            <w:pPr>
              <w:spacing w:after="0" w:line="240"/>
              <w:jc w:val="center"/>
            </w:pPr>
            <w:r>
              <w:rPr>
                <w:rFonts w:ascii="Calibri" w:cs="Calibri" w:eastAsia="Calibri" w:hAnsi="Calibri"/>
                <w:b w:val="false"/>
                <w:bCs w:val="false"/>
                <w:sz w:val="18"/>
                <w:szCs w:val="18"/>
              </w:rPr>
              <w:t xml:space="preserve">20 %</w:t>
            </w:r>
          </w:p>
        </w:tc>
        <w:tc>
          <w:tcPr>
            <w:tcW w:type="dxa" w:w="1400"/>
            <w:tcMar>
              <w:top w:type="dxa" w:w="40"/>
              <w:left w:type="dxa" w:w="80"/>
              <w:bottom w:type="dxa" w:w="40"/>
              <w:right w:type="dxa" w:w="80"/>
            </w:tcMar>
          </w:tcPr>
          <w:p>
            <w:pPr>
              <w:spacing w:after="0" w:line="240"/>
              <w:jc w:val="center"/>
            </w:pPr>
            <w:r>
              <w:rPr>
                <w:rFonts w:ascii="Calibri" w:cs="Calibri" w:eastAsia="Calibri" w:hAnsi="Calibri"/>
                <w:b w:val="false"/>
                <w:bCs w:val="false"/>
                <w:sz w:val="18"/>
                <w:szCs w:val="18"/>
              </w:rPr>
              <w:t xml:space="preserve">=</w:t>
            </w:r>
          </w:p>
        </w:tc>
      </w:tr>
      <w:tr>
        <w:trPr>
          <w:cantSplit/>
        </w:trPr>
        <w:tc>
          <w:tcPr>
            <w:tcW w:type="dxa" w:w="5638"/>
            <w:shd w:fill="F2F5FB" w:color="auto" w:val="clear"/>
            <w:tcMar>
              <w:top w:type="dxa" w:w="40"/>
              <w:left w:type="dxa" w:w="80"/>
              <w:bottom w:type="dxa" w:w="40"/>
              <w:right w:type="dxa" w:w="80"/>
            </w:tcMar>
          </w:tcPr>
          <w:p>
            <w:pPr>
              <w:spacing w:after="0" w:line="240"/>
            </w:pPr>
            <w:r>
              <w:rPr>
                <w:rFonts w:ascii="Calibri" w:cs="Calibri" w:eastAsia="Calibri" w:hAnsi="Calibri"/>
                <w:b/>
                <w:bCs/>
                <w:sz w:val="18"/>
                <w:szCs w:val="18"/>
              </w:rPr>
              <w:t xml:space="preserve">D1C2 — Gearing promoteur (dettes nettes / FP)</w:t>
            </w:r>
          </w:p>
        </w:tc>
        <w:tc>
          <w:tcPr>
            <w:tcW w:type="dxa" w:w="1300"/>
            <w:shd w:fill="F2F5FB" w:color="auto" w:val="clear"/>
            <w:tcMar>
              <w:top w:type="dxa" w:w="40"/>
              <w:left w:type="dxa" w:w="80"/>
              <w:bottom w:type="dxa" w:w="40"/>
              <w:right w:type="dxa" w:w="80"/>
            </w:tcMar>
          </w:tcPr>
          <w:p>
            <w:pPr>
              <w:spacing w:after="0" w:line="240"/>
              <w:jc w:val="center"/>
            </w:pPr>
            <w:r>
              <w:rPr>
                <w:rFonts w:ascii="Calibri" w:cs="Calibri" w:eastAsia="Calibri" w:hAnsi="Calibri"/>
                <w:b w:val="false"/>
                <w:bCs w:val="false"/>
                <w:sz w:val="18"/>
                <w:szCs w:val="18"/>
              </w:rPr>
              <w:t xml:space="preserve">25 %</w:t>
            </w:r>
          </w:p>
        </w:tc>
        <w:tc>
          <w:tcPr>
            <w:tcW w:type="dxa" w:w="1300"/>
            <w:shd w:fill="F2F5FB" w:color="auto" w:val="clear"/>
            <w:tcMar>
              <w:top w:type="dxa" w:w="40"/>
              <w:left w:type="dxa" w:w="80"/>
              <w:bottom w:type="dxa" w:w="40"/>
              <w:right w:type="dxa" w:w="80"/>
            </w:tcMar>
          </w:tcPr>
          <w:p>
            <w:pPr>
              <w:spacing w:after="0" w:line="240"/>
              <w:jc w:val="center"/>
            </w:pPr>
            <w:r>
              <w:rPr>
                <w:rFonts w:ascii="Calibri" w:cs="Calibri" w:eastAsia="Calibri" w:hAnsi="Calibri"/>
                <w:b w:val="false"/>
                <w:bCs w:val="false"/>
                <w:sz w:val="18"/>
                <w:szCs w:val="18"/>
              </w:rPr>
              <w:t xml:space="preserve">25 %</w:t>
            </w:r>
          </w:p>
        </w:tc>
        <w:tc>
          <w:tcPr>
            <w:tcW w:type="dxa" w:w="1400"/>
            <w:shd w:fill="F2F5FB" w:color="auto" w:val="clear"/>
            <w:tcMar>
              <w:top w:type="dxa" w:w="40"/>
              <w:left w:type="dxa" w:w="80"/>
              <w:bottom w:type="dxa" w:w="40"/>
              <w:right w:type="dxa" w:w="80"/>
            </w:tcMar>
          </w:tcPr>
          <w:p>
            <w:pPr>
              <w:spacing w:after="0" w:line="240"/>
              <w:jc w:val="center"/>
            </w:pPr>
            <w:r>
              <w:rPr>
                <w:rFonts w:ascii="Calibri" w:cs="Calibri" w:eastAsia="Calibri" w:hAnsi="Calibri"/>
                <w:b w:val="false"/>
                <w:bCs w:val="false"/>
                <w:sz w:val="18"/>
                <w:szCs w:val="18"/>
              </w:rPr>
              <w:t xml:space="preserve">=</w:t>
            </w:r>
          </w:p>
        </w:tc>
      </w:tr>
      <w:tr>
        <w:trPr>
          <w:cantSplit/>
        </w:trPr>
        <w:tc>
          <w:tcPr>
            <w:tcW w:type="dxa" w:w="5638"/>
            <w:tcMar>
              <w:top w:type="dxa" w:w="40"/>
              <w:left w:type="dxa" w:w="80"/>
              <w:bottom w:type="dxa" w:w="40"/>
              <w:right w:type="dxa" w:w="80"/>
            </w:tcMar>
          </w:tcPr>
          <w:p>
            <w:pPr>
              <w:spacing w:after="0" w:line="240"/>
            </w:pPr>
            <w:r>
              <w:rPr>
                <w:rFonts w:ascii="Calibri" w:cs="Calibri" w:eastAsia="Calibri" w:hAnsi="Calibri"/>
                <w:b/>
                <w:bCs/>
                <w:sz w:val="18"/>
                <w:szCs w:val="18"/>
              </w:rPr>
              <w:t xml:space="preserve">D1C3 — Gouvernance &amp; structure juridique</w:t>
            </w:r>
          </w:p>
        </w:tc>
        <w:tc>
          <w:tcPr>
            <w:tcW w:type="dxa" w:w="1300"/>
            <w:tcMar>
              <w:top w:type="dxa" w:w="40"/>
              <w:left w:type="dxa" w:w="80"/>
              <w:bottom w:type="dxa" w:w="40"/>
              <w:right w:type="dxa" w:w="80"/>
            </w:tcMar>
          </w:tcPr>
          <w:p>
            <w:pPr>
              <w:spacing w:after="0" w:line="240"/>
              <w:jc w:val="center"/>
            </w:pPr>
            <w:r>
              <w:rPr>
                <w:rFonts w:ascii="Calibri" w:cs="Calibri" w:eastAsia="Calibri" w:hAnsi="Calibri"/>
                <w:b w:val="false"/>
                <w:bCs w:val="false"/>
                <w:sz w:val="18"/>
                <w:szCs w:val="18"/>
              </w:rPr>
              <w:t xml:space="preserve">15 %</w:t>
            </w:r>
          </w:p>
        </w:tc>
        <w:tc>
          <w:tcPr>
            <w:tcW w:type="dxa" w:w="1300"/>
            <w:tcMar>
              <w:top w:type="dxa" w:w="40"/>
              <w:left w:type="dxa" w:w="80"/>
              <w:bottom w:type="dxa" w:w="40"/>
              <w:right w:type="dxa" w:w="80"/>
            </w:tcMar>
          </w:tcPr>
          <w:p>
            <w:pPr>
              <w:spacing w:after="0" w:line="240"/>
              <w:jc w:val="center"/>
            </w:pPr>
            <w:r>
              <w:rPr>
                <w:rFonts w:ascii="Calibri" w:cs="Calibri" w:eastAsia="Calibri" w:hAnsi="Calibri"/>
                <w:b w:val="false"/>
                <w:bCs w:val="false"/>
                <w:sz w:val="18"/>
                <w:szCs w:val="18"/>
              </w:rPr>
              <w:t xml:space="preserve">15 %</w:t>
            </w:r>
          </w:p>
        </w:tc>
        <w:tc>
          <w:tcPr>
            <w:tcW w:type="dxa" w:w="1400"/>
            <w:tcMar>
              <w:top w:type="dxa" w:w="40"/>
              <w:left w:type="dxa" w:w="80"/>
              <w:bottom w:type="dxa" w:w="40"/>
              <w:right w:type="dxa" w:w="80"/>
            </w:tcMar>
          </w:tcPr>
          <w:p>
            <w:pPr>
              <w:spacing w:after="0" w:line="240"/>
              <w:jc w:val="center"/>
            </w:pPr>
            <w:r>
              <w:rPr>
                <w:rFonts w:ascii="Calibri" w:cs="Calibri" w:eastAsia="Calibri" w:hAnsi="Calibri"/>
                <w:b w:val="false"/>
                <w:bCs w:val="false"/>
                <w:sz w:val="18"/>
                <w:szCs w:val="18"/>
              </w:rPr>
              <w:t xml:space="preserve">=</w:t>
            </w:r>
          </w:p>
        </w:tc>
      </w:tr>
      <w:tr>
        <w:trPr>
          <w:cantSplit/>
        </w:trPr>
        <w:tc>
          <w:tcPr>
            <w:tcW w:type="dxa" w:w="5638"/>
            <w:shd w:fill="F2F5FB" w:color="auto" w:val="clear"/>
            <w:tcMar>
              <w:top w:type="dxa" w:w="40"/>
              <w:left w:type="dxa" w:w="80"/>
              <w:bottom w:type="dxa" w:w="40"/>
              <w:right w:type="dxa" w:w="80"/>
            </w:tcMar>
          </w:tcPr>
          <w:p>
            <w:pPr>
              <w:spacing w:after="0" w:line="240"/>
            </w:pPr>
            <w:r>
              <w:rPr>
                <w:rFonts w:ascii="Calibri" w:cs="Calibri" w:eastAsia="Calibri" w:hAnsi="Calibri"/>
                <w:b/>
                <w:bCs/>
                <w:sz w:val="18"/>
                <w:szCs w:val="18"/>
              </w:rPr>
              <w:t xml:space="preserve">D1C4 — Concentration mono-projet (CA projet / CA total)</w:t>
            </w:r>
          </w:p>
        </w:tc>
        <w:tc>
          <w:tcPr>
            <w:tcW w:type="dxa" w:w="1300"/>
            <w:shd w:fill="F2F5FB" w:color="auto" w:val="clear"/>
            <w:tcMar>
              <w:top w:type="dxa" w:w="40"/>
              <w:left w:type="dxa" w:w="80"/>
              <w:bottom w:type="dxa" w:w="40"/>
              <w:right w:type="dxa" w:w="80"/>
            </w:tcMar>
          </w:tcPr>
          <w:p>
            <w:pPr>
              <w:spacing w:after="0" w:line="240"/>
              <w:jc w:val="center"/>
            </w:pPr>
            <w:r>
              <w:rPr>
                <w:rFonts w:ascii="Calibri" w:cs="Calibri" w:eastAsia="Calibri" w:hAnsi="Calibri"/>
                <w:b w:val="false"/>
                <w:bCs w:val="false"/>
                <w:sz w:val="18"/>
                <w:szCs w:val="18"/>
              </w:rPr>
              <w:t xml:space="preserve">15 %</w:t>
            </w:r>
          </w:p>
        </w:tc>
        <w:tc>
          <w:tcPr>
            <w:tcW w:type="dxa" w:w="1300"/>
            <w:shd w:fill="F2F5FB" w:color="auto" w:val="clear"/>
            <w:tcMar>
              <w:top w:type="dxa" w:w="40"/>
              <w:left w:type="dxa" w:w="80"/>
              <w:bottom w:type="dxa" w:w="40"/>
              <w:right w:type="dxa" w:w="80"/>
            </w:tcMar>
          </w:tcPr>
          <w:p>
            <w:pPr>
              <w:spacing w:after="0" w:line="240"/>
              <w:jc w:val="center"/>
            </w:pPr>
            <w:r>
              <w:rPr>
                <w:rFonts w:ascii="Calibri" w:cs="Calibri" w:eastAsia="Calibri" w:hAnsi="Calibri"/>
                <w:b w:val="false"/>
                <w:bCs w:val="false"/>
                <w:sz w:val="18"/>
                <w:szCs w:val="18"/>
              </w:rPr>
              <w:t xml:space="preserve">15 %</w:t>
            </w:r>
          </w:p>
        </w:tc>
        <w:tc>
          <w:tcPr>
            <w:tcW w:type="dxa" w:w="1400"/>
            <w:shd w:fill="F2F5FB" w:color="auto" w:val="clear"/>
            <w:tcMar>
              <w:top w:type="dxa" w:w="40"/>
              <w:left w:type="dxa" w:w="80"/>
              <w:bottom w:type="dxa" w:w="40"/>
              <w:right w:type="dxa" w:w="80"/>
            </w:tcMar>
          </w:tcPr>
          <w:p>
            <w:pPr>
              <w:spacing w:after="0" w:line="240"/>
              <w:jc w:val="center"/>
            </w:pPr>
            <w:r>
              <w:rPr>
                <w:rFonts w:ascii="Calibri" w:cs="Calibri" w:eastAsia="Calibri" w:hAnsi="Calibri"/>
                <w:b w:val="false"/>
                <w:bCs w:val="false"/>
                <w:sz w:val="18"/>
                <w:szCs w:val="18"/>
              </w:rPr>
              <w:t xml:space="preserve">=</w:t>
            </w:r>
          </w:p>
        </w:tc>
      </w:tr>
      <w:tr>
        <w:trPr>
          <w:cantSplit/>
        </w:trPr>
        <w:tc>
          <w:tcPr>
            <w:tcW w:type="dxa" w:w="5638"/>
            <w:tcMar>
              <w:top w:type="dxa" w:w="40"/>
              <w:left w:type="dxa" w:w="80"/>
              <w:bottom w:type="dxa" w:w="40"/>
              <w:right w:type="dxa" w:w="80"/>
            </w:tcMar>
          </w:tcPr>
          <w:p>
            <w:pPr>
              <w:spacing w:after="0" w:line="240"/>
            </w:pPr>
            <w:r>
              <w:rPr>
                <w:rFonts w:ascii="Calibri" w:cs="Calibri" w:eastAsia="Calibri" w:hAnsi="Calibri"/>
                <w:b/>
                <w:bCs/>
                <w:sz w:val="18"/>
                <w:szCs w:val="18"/>
              </w:rPr>
              <w:t xml:space="preserve">D1C5 — Typologie promoteur</w:t>
            </w:r>
          </w:p>
        </w:tc>
        <w:tc>
          <w:tcPr>
            <w:tcW w:type="dxa" w:w="1300"/>
            <w:tcMar>
              <w:top w:type="dxa" w:w="40"/>
              <w:left w:type="dxa" w:w="80"/>
              <w:bottom w:type="dxa" w:w="40"/>
              <w:right w:type="dxa" w:w="80"/>
            </w:tcMar>
          </w:tcPr>
          <w:p>
            <w:pPr>
              <w:spacing w:after="0" w:line="240"/>
              <w:jc w:val="center"/>
            </w:pPr>
            <w:r>
              <w:rPr>
                <w:rFonts w:ascii="Calibri" w:cs="Calibri" w:eastAsia="Calibri" w:hAnsi="Calibri"/>
                <w:b w:val="false"/>
                <w:bCs w:val="false"/>
                <w:sz w:val="18"/>
                <w:szCs w:val="18"/>
              </w:rPr>
              <w:t xml:space="preserve">10 %</w:t>
            </w:r>
          </w:p>
        </w:tc>
        <w:tc>
          <w:tcPr>
            <w:tcW w:type="dxa" w:w="1300"/>
            <w:tcMar>
              <w:top w:type="dxa" w:w="40"/>
              <w:left w:type="dxa" w:w="80"/>
              <w:bottom w:type="dxa" w:w="40"/>
              <w:right w:type="dxa" w:w="80"/>
            </w:tcMar>
          </w:tcPr>
          <w:p>
            <w:pPr>
              <w:spacing w:after="0" w:line="240"/>
              <w:jc w:val="center"/>
            </w:pPr>
            <w:r>
              <w:rPr>
                <w:rFonts w:ascii="Calibri" w:cs="Calibri" w:eastAsia="Calibri" w:hAnsi="Calibri"/>
                <w:b w:val="false"/>
                <w:bCs w:val="false"/>
                <w:sz w:val="18"/>
                <w:szCs w:val="18"/>
              </w:rPr>
              <w:t xml:space="preserve">10 %</w:t>
            </w:r>
          </w:p>
        </w:tc>
        <w:tc>
          <w:tcPr>
            <w:tcW w:type="dxa" w:w="1400"/>
            <w:tcMar>
              <w:top w:type="dxa" w:w="40"/>
              <w:left w:type="dxa" w:w="80"/>
              <w:bottom w:type="dxa" w:w="40"/>
              <w:right w:type="dxa" w:w="80"/>
            </w:tcMar>
          </w:tcPr>
          <w:p>
            <w:pPr>
              <w:spacing w:after="0" w:line="240"/>
              <w:jc w:val="center"/>
            </w:pPr>
            <w:r>
              <w:rPr>
                <w:rFonts w:ascii="Calibri" w:cs="Calibri" w:eastAsia="Calibri" w:hAnsi="Calibri"/>
                <w:b w:val="false"/>
                <w:bCs w:val="false"/>
                <w:sz w:val="18"/>
                <w:szCs w:val="18"/>
              </w:rPr>
              <w:t xml:space="preserve">=</w:t>
            </w:r>
          </w:p>
        </w:tc>
      </w:tr>
      <w:tr>
        <w:trPr>
          <w:cantSplit/>
        </w:trPr>
        <w:tc>
          <w:tcPr>
            <w:tcW w:type="dxa" w:w="5638"/>
            <w:shd w:fill="F2F5FB" w:color="auto" w:val="clear"/>
            <w:tcMar>
              <w:top w:type="dxa" w:w="40"/>
              <w:left w:type="dxa" w:w="80"/>
              <w:bottom w:type="dxa" w:w="40"/>
              <w:right w:type="dxa" w:w="80"/>
            </w:tcMar>
          </w:tcPr>
          <w:p>
            <w:pPr>
              <w:spacing w:after="0" w:line="240"/>
            </w:pPr>
            <w:r>
              <w:rPr>
                <w:rFonts w:ascii="Calibri" w:cs="Calibri" w:eastAsia="Calibri" w:hAnsi="Calibri"/>
                <w:b/>
                <w:bCs/>
                <w:sz w:val="18"/>
                <w:szCs w:val="18"/>
              </w:rPr>
              <w:t xml:space="preserve">D1C6 — Apport effectif (injecté / prévu)</w:t>
            </w:r>
          </w:p>
        </w:tc>
        <w:tc>
          <w:tcPr>
            <w:tcW w:type="dxa" w:w="1300"/>
            <w:shd w:fill="F2F5FB" w:color="auto" w:val="clear"/>
            <w:tcMar>
              <w:top w:type="dxa" w:w="40"/>
              <w:left w:type="dxa" w:w="80"/>
              <w:bottom w:type="dxa" w:w="40"/>
              <w:right w:type="dxa" w:w="80"/>
            </w:tcMar>
          </w:tcPr>
          <w:p>
            <w:pPr>
              <w:spacing w:after="0" w:line="240"/>
              <w:jc w:val="center"/>
            </w:pPr>
            <w:r>
              <w:rPr>
                <w:rFonts w:ascii="Calibri" w:cs="Calibri" w:eastAsia="Calibri" w:hAnsi="Calibri"/>
                <w:b w:val="false"/>
                <w:bCs w:val="false"/>
                <w:sz w:val="18"/>
                <w:szCs w:val="18"/>
              </w:rPr>
              <w:t xml:space="preserve">15 %</w:t>
            </w:r>
          </w:p>
        </w:tc>
        <w:tc>
          <w:tcPr>
            <w:tcW w:type="dxa" w:w="1300"/>
            <w:shd w:fill="F2F5FB" w:color="auto" w:val="clear"/>
            <w:tcMar>
              <w:top w:type="dxa" w:w="40"/>
              <w:left w:type="dxa" w:w="80"/>
              <w:bottom w:type="dxa" w:w="40"/>
              <w:right w:type="dxa" w:w="80"/>
            </w:tcMar>
          </w:tcPr>
          <w:p>
            <w:pPr>
              <w:spacing w:after="0" w:line="240"/>
              <w:jc w:val="center"/>
            </w:pPr>
            <w:r>
              <w:rPr>
                <w:rFonts w:ascii="Calibri" w:cs="Calibri" w:eastAsia="Calibri" w:hAnsi="Calibri"/>
                <w:b w:val="false"/>
                <w:bCs w:val="false"/>
                <w:sz w:val="18"/>
                <w:szCs w:val="18"/>
              </w:rPr>
              <w:t xml:space="preserve">15 %</w:t>
            </w:r>
          </w:p>
        </w:tc>
        <w:tc>
          <w:tcPr>
            <w:tcW w:type="dxa" w:w="1400"/>
            <w:shd w:fill="F2F5FB" w:color="auto" w:val="clear"/>
            <w:tcMar>
              <w:top w:type="dxa" w:w="40"/>
              <w:left w:type="dxa" w:w="80"/>
              <w:bottom w:type="dxa" w:w="40"/>
              <w:right w:type="dxa" w:w="80"/>
            </w:tcMar>
          </w:tcPr>
          <w:p>
            <w:pPr>
              <w:spacing w:after="0" w:line="240"/>
              <w:jc w:val="center"/>
            </w:pPr>
            <w:r>
              <w:rPr>
                <w:rFonts w:ascii="Calibri" w:cs="Calibri" w:eastAsia="Calibri" w:hAnsi="Calibri"/>
                <w:b w:val="false"/>
                <w:bCs w:val="false"/>
                <w:sz w:val="18"/>
                <w:szCs w:val="18"/>
              </w:rPr>
              <w:t xml:space="preserve">=</w:t>
            </w:r>
          </w:p>
        </w:tc>
      </w:tr>
    </w:tbl>
    <w:p>
      <w:pPr>
        <w:pStyle w:val="Heading2"/>
        <w:keepNext/>
      </w:pPr>
      <w:r>
        <w:t xml:space="preserve">D2 — Qualité intrinsèque du projet (20 % du score)</w:t>
      </w:r>
    </w:p>
    <w:tbl>
      <w:tblPr>
        <w:tblW w:type="dxa" w:w="9638"/>
        <w:tblBorders>
          <w:top w:val="single" w:color="AEB6C6" w:sz="2"/>
          <w:left w:val="single" w:color="AEB6C6" w:sz="2"/>
          <w:bottom w:val="single" w:color="AEB6C6" w:sz="2"/>
          <w:right w:val="single" w:color="AEB6C6" w:sz="2"/>
          <w:insideH w:val="single" w:color="D0D6E2" w:sz="1"/>
          <w:insideV w:val="single" w:color="D0D6E2" w:sz="1"/>
        </w:tblBorders>
      </w:tblPr>
      <w:tblGrid>
        <w:gridCol w:w="5638"/>
        <w:gridCol w:w="1300"/>
        <w:gridCol w:w="1300"/>
        <w:gridCol w:w="1400"/>
      </w:tblGrid>
      <w:tr>
        <w:trPr>
          <w:cantSplit/>
          <w:tblHeader/>
        </w:trPr>
        <w:tc>
          <w:tcPr>
            <w:tcW w:type="dxa" w:w="5638"/>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Critère</w:t>
            </w:r>
          </w:p>
        </w:tc>
        <w:tc>
          <w:tcPr>
            <w:tcW w:type="dxa" w:w="13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Poids v4</w:t>
            </w:r>
          </w:p>
        </w:tc>
        <w:tc>
          <w:tcPr>
            <w:tcW w:type="dxa" w:w="13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Poids v5</w:t>
            </w:r>
          </w:p>
        </w:tc>
        <w:tc>
          <w:tcPr>
            <w:tcW w:type="dxa" w:w="14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Écart</w:t>
            </w:r>
          </w:p>
        </w:tc>
      </w:tr>
      <w:tr>
        <w:trPr>
          <w:cantSplit/>
        </w:trPr>
        <w:tc>
          <w:tcPr>
            <w:tcW w:type="dxa" w:w="5638"/>
            <w:tcMar>
              <w:top w:type="dxa" w:w="40"/>
              <w:left w:type="dxa" w:w="80"/>
              <w:bottom w:type="dxa" w:w="40"/>
              <w:right w:type="dxa" w:w="80"/>
            </w:tcMar>
          </w:tcPr>
          <w:p>
            <w:pPr>
              <w:spacing w:after="0" w:line="240"/>
            </w:pPr>
            <w:r>
              <w:rPr>
                <w:rFonts w:ascii="Calibri" w:cs="Calibri" w:eastAsia="Calibri" w:hAnsi="Calibri"/>
                <w:b/>
                <w:bCs/>
                <w:sz w:val="18"/>
                <w:szCs w:val="18"/>
              </w:rPr>
              <w:t xml:space="preserve">D2C1 — Foncier &amp; autorisations</w:t>
            </w:r>
          </w:p>
        </w:tc>
        <w:tc>
          <w:tcPr>
            <w:tcW w:type="dxa" w:w="1300"/>
            <w:tcMar>
              <w:top w:type="dxa" w:w="40"/>
              <w:left w:type="dxa" w:w="80"/>
              <w:bottom w:type="dxa" w:w="40"/>
              <w:right w:type="dxa" w:w="80"/>
            </w:tcMar>
          </w:tcPr>
          <w:p>
            <w:pPr>
              <w:spacing w:after="0" w:line="240"/>
              <w:jc w:val="center"/>
            </w:pPr>
            <w:r>
              <w:rPr>
                <w:rFonts w:ascii="Calibri" w:cs="Calibri" w:eastAsia="Calibri" w:hAnsi="Calibri"/>
                <w:b w:val="false"/>
                <w:bCs w:val="false"/>
                <w:sz w:val="18"/>
                <w:szCs w:val="18"/>
              </w:rPr>
              <w:t xml:space="preserve">10 %</w:t>
            </w:r>
          </w:p>
        </w:tc>
        <w:tc>
          <w:tcPr>
            <w:tcW w:type="dxa" w:w="1300"/>
            <w:tcMar>
              <w:top w:type="dxa" w:w="40"/>
              <w:left w:type="dxa" w:w="80"/>
              <w:bottom w:type="dxa" w:w="40"/>
              <w:right w:type="dxa" w:w="80"/>
            </w:tcMar>
          </w:tcPr>
          <w:p>
            <w:pPr>
              <w:spacing w:after="0" w:line="240"/>
              <w:jc w:val="center"/>
            </w:pPr>
            <w:r>
              <w:rPr>
                <w:rFonts w:ascii="Calibri" w:cs="Calibri" w:eastAsia="Calibri" w:hAnsi="Calibri"/>
                <w:b w:val="false"/>
                <w:bCs w:val="false"/>
                <w:sz w:val="18"/>
                <w:szCs w:val="18"/>
              </w:rPr>
              <w:t xml:space="preserve">10 %</w:t>
            </w:r>
          </w:p>
        </w:tc>
        <w:tc>
          <w:tcPr>
            <w:tcW w:type="dxa" w:w="1400"/>
            <w:tcMar>
              <w:top w:type="dxa" w:w="40"/>
              <w:left w:type="dxa" w:w="80"/>
              <w:bottom w:type="dxa" w:w="40"/>
              <w:right w:type="dxa" w:w="80"/>
            </w:tcMar>
          </w:tcPr>
          <w:p>
            <w:pPr>
              <w:spacing w:after="0" w:line="240"/>
              <w:jc w:val="center"/>
            </w:pPr>
            <w:r>
              <w:rPr>
                <w:rFonts w:ascii="Calibri" w:cs="Calibri" w:eastAsia="Calibri" w:hAnsi="Calibri"/>
                <w:b w:val="false"/>
                <w:bCs w:val="false"/>
                <w:sz w:val="18"/>
                <w:szCs w:val="18"/>
              </w:rPr>
              <w:t xml:space="preserve">=</w:t>
            </w:r>
          </w:p>
        </w:tc>
      </w:tr>
      <w:tr>
        <w:trPr>
          <w:cantSplit/>
        </w:trPr>
        <w:tc>
          <w:tcPr>
            <w:tcW w:type="dxa" w:w="5638"/>
            <w:shd w:fill="F2F5FB" w:color="auto" w:val="clear"/>
            <w:tcMar>
              <w:top w:type="dxa" w:w="40"/>
              <w:left w:type="dxa" w:w="80"/>
              <w:bottom w:type="dxa" w:w="40"/>
              <w:right w:type="dxa" w:w="80"/>
            </w:tcMar>
          </w:tcPr>
          <w:p>
            <w:pPr>
              <w:spacing w:after="0" w:line="240"/>
            </w:pPr>
            <w:r>
              <w:rPr>
                <w:rFonts w:ascii="Calibri" w:cs="Calibri" w:eastAsia="Calibri" w:hAnsi="Calibri"/>
                <w:b/>
                <w:bCs/>
                <w:sz w:val="18"/>
                <w:szCs w:val="18"/>
              </w:rPr>
              <w:t xml:space="preserve">D2C2 — Marché &amp; positionnement</w:t>
            </w:r>
          </w:p>
        </w:tc>
        <w:tc>
          <w:tcPr>
            <w:tcW w:type="dxa" w:w="1300"/>
            <w:shd w:fill="F2F5FB" w:color="auto" w:val="clear"/>
            <w:tcMar>
              <w:top w:type="dxa" w:w="40"/>
              <w:left w:type="dxa" w:w="80"/>
              <w:bottom w:type="dxa" w:w="40"/>
              <w:right w:type="dxa" w:w="80"/>
            </w:tcMar>
          </w:tcPr>
          <w:p>
            <w:pPr>
              <w:spacing w:after="0" w:line="240"/>
              <w:jc w:val="center"/>
            </w:pPr>
            <w:r>
              <w:rPr>
                <w:rFonts w:ascii="Calibri" w:cs="Calibri" w:eastAsia="Calibri" w:hAnsi="Calibri"/>
                <w:b w:val="false"/>
                <w:bCs w:val="false"/>
                <w:sz w:val="18"/>
                <w:szCs w:val="18"/>
              </w:rPr>
              <w:t xml:space="preserve">20 %</w:t>
            </w:r>
          </w:p>
        </w:tc>
        <w:tc>
          <w:tcPr>
            <w:tcW w:type="dxa" w:w="1300"/>
            <w:shd w:fill="F2F5FB" w:color="auto" w:val="clear"/>
            <w:tcMar>
              <w:top w:type="dxa" w:w="40"/>
              <w:left w:type="dxa" w:w="80"/>
              <w:bottom w:type="dxa" w:w="40"/>
              <w:right w:type="dxa" w:w="80"/>
            </w:tcMar>
          </w:tcPr>
          <w:p>
            <w:pPr>
              <w:spacing w:after="0" w:line="240"/>
              <w:jc w:val="center"/>
            </w:pPr>
            <w:r>
              <w:rPr>
                <w:rFonts w:ascii="Calibri" w:cs="Calibri" w:eastAsia="Calibri" w:hAnsi="Calibri"/>
                <w:b w:val="false"/>
                <w:bCs w:val="false"/>
                <w:sz w:val="18"/>
                <w:szCs w:val="18"/>
              </w:rPr>
              <w:t xml:space="preserve">15 %</w:t>
            </w:r>
          </w:p>
        </w:tc>
        <w:tc>
          <w:tcPr>
            <w:tcW w:type="dxa" w:w="1400"/>
            <w:shd w:fill="F2F5FB" w:color="auto" w:val="clear"/>
            <w:tcMar>
              <w:top w:type="dxa" w:w="40"/>
              <w:left w:type="dxa" w:w="80"/>
              <w:bottom w:type="dxa" w:w="40"/>
              <w:right w:type="dxa" w:w="80"/>
            </w:tcMar>
          </w:tcPr>
          <w:p>
            <w:pPr>
              <w:spacing w:after="0" w:line="240"/>
              <w:jc w:val="center"/>
            </w:pPr>
            <w:r>
              <w:rPr>
                <w:rFonts w:ascii="Calibri" w:cs="Calibri" w:eastAsia="Calibri" w:hAnsi="Calibri"/>
                <w:b w:val="false"/>
                <w:bCs w:val="false"/>
                <w:sz w:val="18"/>
                <w:szCs w:val="18"/>
              </w:rPr>
              <w:t xml:space="preserve">−5 pt</w:t>
            </w:r>
          </w:p>
        </w:tc>
      </w:tr>
      <w:tr>
        <w:trPr>
          <w:cantSplit/>
        </w:trPr>
        <w:tc>
          <w:tcPr>
            <w:tcW w:type="dxa" w:w="5638"/>
            <w:tcMar>
              <w:top w:type="dxa" w:w="40"/>
              <w:left w:type="dxa" w:w="80"/>
              <w:bottom w:type="dxa" w:w="40"/>
              <w:right w:type="dxa" w:w="80"/>
            </w:tcMar>
          </w:tcPr>
          <w:p>
            <w:pPr>
              <w:spacing w:after="0" w:line="240"/>
            </w:pPr>
            <w:r>
              <w:rPr>
                <w:rFonts w:ascii="Calibri" w:cs="Calibri" w:eastAsia="Calibri" w:hAnsi="Calibri"/>
                <w:b/>
                <w:bCs/>
                <w:sz w:val="18"/>
                <w:szCs w:val="18"/>
              </w:rPr>
              <w:t xml:space="preserve">D2C3 — Complexité technique</w:t>
            </w:r>
          </w:p>
        </w:tc>
        <w:tc>
          <w:tcPr>
            <w:tcW w:type="dxa" w:w="1300"/>
            <w:tcMar>
              <w:top w:type="dxa" w:w="40"/>
              <w:left w:type="dxa" w:w="80"/>
              <w:bottom w:type="dxa" w:w="40"/>
              <w:right w:type="dxa" w:w="80"/>
            </w:tcMar>
          </w:tcPr>
          <w:p>
            <w:pPr>
              <w:spacing w:after="0" w:line="240"/>
              <w:jc w:val="center"/>
            </w:pPr>
            <w:r>
              <w:rPr>
                <w:rFonts w:ascii="Calibri" w:cs="Calibri" w:eastAsia="Calibri" w:hAnsi="Calibri"/>
                <w:b w:val="false"/>
                <w:bCs w:val="false"/>
                <w:sz w:val="18"/>
                <w:szCs w:val="18"/>
              </w:rPr>
              <w:t xml:space="preserve">15 %</w:t>
            </w:r>
          </w:p>
        </w:tc>
        <w:tc>
          <w:tcPr>
            <w:tcW w:type="dxa" w:w="1300"/>
            <w:tcMar>
              <w:top w:type="dxa" w:w="40"/>
              <w:left w:type="dxa" w:w="80"/>
              <w:bottom w:type="dxa" w:w="40"/>
              <w:right w:type="dxa" w:w="80"/>
            </w:tcMar>
          </w:tcPr>
          <w:p>
            <w:pPr>
              <w:spacing w:after="0" w:line="240"/>
              <w:jc w:val="center"/>
            </w:pPr>
            <w:r>
              <w:rPr>
                <w:rFonts w:ascii="Calibri" w:cs="Calibri" w:eastAsia="Calibri" w:hAnsi="Calibri"/>
                <w:b w:val="false"/>
                <w:bCs w:val="false"/>
                <w:sz w:val="18"/>
                <w:szCs w:val="18"/>
              </w:rPr>
              <w:t xml:space="preserve">10 %</w:t>
            </w:r>
          </w:p>
        </w:tc>
        <w:tc>
          <w:tcPr>
            <w:tcW w:type="dxa" w:w="1400"/>
            <w:tcMar>
              <w:top w:type="dxa" w:w="40"/>
              <w:left w:type="dxa" w:w="80"/>
              <w:bottom w:type="dxa" w:w="40"/>
              <w:right w:type="dxa" w:w="80"/>
            </w:tcMar>
          </w:tcPr>
          <w:p>
            <w:pPr>
              <w:spacing w:after="0" w:line="240"/>
              <w:jc w:val="center"/>
            </w:pPr>
            <w:r>
              <w:rPr>
                <w:rFonts w:ascii="Calibri" w:cs="Calibri" w:eastAsia="Calibri" w:hAnsi="Calibri"/>
                <w:b w:val="false"/>
                <w:bCs w:val="false"/>
                <w:sz w:val="18"/>
                <w:szCs w:val="18"/>
              </w:rPr>
              <w:t xml:space="preserve">−5 pt</w:t>
            </w:r>
          </w:p>
        </w:tc>
      </w:tr>
      <w:tr>
        <w:trPr>
          <w:cantSplit/>
        </w:trPr>
        <w:tc>
          <w:tcPr>
            <w:tcW w:type="dxa" w:w="5638"/>
            <w:shd w:fill="F2F5FB" w:color="auto" w:val="clear"/>
            <w:tcMar>
              <w:top w:type="dxa" w:w="40"/>
              <w:left w:type="dxa" w:w="80"/>
              <w:bottom w:type="dxa" w:w="40"/>
              <w:right w:type="dxa" w:w="80"/>
            </w:tcMar>
          </w:tcPr>
          <w:p>
            <w:pPr>
              <w:spacing w:after="0" w:line="240"/>
            </w:pPr>
            <w:r>
              <w:rPr>
                <w:rFonts w:ascii="Calibri" w:cs="Calibri" w:eastAsia="Calibri" w:hAnsi="Calibri"/>
                <w:b/>
                <w:bCs/>
                <w:sz w:val="18"/>
                <w:szCs w:val="18"/>
              </w:rPr>
              <w:t xml:space="preserve">D2C4 — Avancement vs planning</w:t>
            </w:r>
          </w:p>
        </w:tc>
        <w:tc>
          <w:tcPr>
            <w:tcW w:type="dxa" w:w="1300"/>
            <w:shd w:fill="F2F5FB" w:color="auto" w:val="clear"/>
            <w:tcMar>
              <w:top w:type="dxa" w:w="40"/>
              <w:left w:type="dxa" w:w="80"/>
              <w:bottom w:type="dxa" w:w="40"/>
              <w:right w:type="dxa" w:w="80"/>
            </w:tcMar>
          </w:tcPr>
          <w:p>
            <w:pPr>
              <w:spacing w:after="0" w:line="240"/>
              <w:jc w:val="center"/>
            </w:pPr>
            <w:r>
              <w:rPr>
                <w:rFonts w:ascii="Calibri" w:cs="Calibri" w:eastAsia="Calibri" w:hAnsi="Calibri"/>
                <w:b w:val="false"/>
                <w:bCs w:val="false"/>
                <w:sz w:val="18"/>
                <w:szCs w:val="18"/>
              </w:rPr>
              <w:t xml:space="preserve">15 %</w:t>
            </w:r>
          </w:p>
        </w:tc>
        <w:tc>
          <w:tcPr>
            <w:tcW w:type="dxa" w:w="1300"/>
            <w:shd w:fill="F2F5FB" w:color="auto" w:val="clear"/>
            <w:tcMar>
              <w:top w:type="dxa" w:w="40"/>
              <w:left w:type="dxa" w:w="80"/>
              <w:bottom w:type="dxa" w:w="40"/>
              <w:right w:type="dxa" w:w="80"/>
            </w:tcMar>
          </w:tcPr>
          <w:p>
            <w:pPr>
              <w:spacing w:after="0" w:line="240"/>
              <w:jc w:val="center"/>
            </w:pPr>
            <w:r>
              <w:rPr>
                <w:rFonts w:ascii="Calibri" w:cs="Calibri" w:eastAsia="Calibri" w:hAnsi="Calibri"/>
                <w:b w:val="false"/>
                <w:bCs w:val="false"/>
                <w:sz w:val="18"/>
                <w:szCs w:val="18"/>
              </w:rPr>
              <w:t xml:space="preserve">10 %</w:t>
            </w:r>
          </w:p>
        </w:tc>
        <w:tc>
          <w:tcPr>
            <w:tcW w:type="dxa" w:w="1400"/>
            <w:shd w:fill="F2F5FB" w:color="auto" w:val="clear"/>
            <w:tcMar>
              <w:top w:type="dxa" w:w="40"/>
              <w:left w:type="dxa" w:w="80"/>
              <w:bottom w:type="dxa" w:w="40"/>
              <w:right w:type="dxa" w:w="80"/>
            </w:tcMar>
          </w:tcPr>
          <w:p>
            <w:pPr>
              <w:spacing w:after="0" w:line="240"/>
              <w:jc w:val="center"/>
            </w:pPr>
            <w:r>
              <w:rPr>
                <w:rFonts w:ascii="Calibri" w:cs="Calibri" w:eastAsia="Calibri" w:hAnsi="Calibri"/>
                <w:b w:val="false"/>
                <w:bCs w:val="false"/>
                <w:sz w:val="18"/>
                <w:szCs w:val="18"/>
              </w:rPr>
              <w:t xml:space="preserve">−5 pt</w:t>
            </w:r>
          </w:p>
        </w:tc>
      </w:tr>
      <w:tr>
        <w:trPr>
          <w:cantSplit/>
        </w:trPr>
        <w:tc>
          <w:tcPr>
            <w:tcW w:type="dxa" w:w="5638"/>
            <w:tcMar>
              <w:top w:type="dxa" w:w="40"/>
              <w:left w:type="dxa" w:w="80"/>
              <w:bottom w:type="dxa" w:w="40"/>
              <w:right w:type="dxa" w:w="80"/>
            </w:tcMar>
          </w:tcPr>
          <w:p>
            <w:pPr>
              <w:spacing w:after="0" w:line="240"/>
            </w:pPr>
            <w:r>
              <w:rPr>
                <w:rFonts w:ascii="Calibri" w:cs="Calibri" w:eastAsia="Calibri" w:hAnsi="Calibri"/>
                <w:b/>
                <w:bCs/>
                <w:sz w:val="18"/>
                <w:szCs w:val="18"/>
              </w:rPr>
              <w:t xml:space="preserve">D2C5 — Litiges clients / SAV</w:t>
            </w:r>
          </w:p>
        </w:tc>
        <w:tc>
          <w:tcPr>
            <w:tcW w:type="dxa" w:w="1300"/>
            <w:tcMar>
              <w:top w:type="dxa" w:w="40"/>
              <w:left w:type="dxa" w:w="80"/>
              <w:bottom w:type="dxa" w:w="40"/>
              <w:right w:type="dxa" w:w="80"/>
            </w:tcMar>
          </w:tcPr>
          <w:p>
            <w:pPr>
              <w:spacing w:after="0" w:line="240"/>
              <w:jc w:val="center"/>
            </w:pPr>
            <w:r>
              <w:rPr>
                <w:rFonts w:ascii="Calibri" w:cs="Calibri" w:eastAsia="Calibri" w:hAnsi="Calibri"/>
                <w:b w:val="false"/>
                <w:bCs w:val="false"/>
                <w:sz w:val="18"/>
                <w:szCs w:val="18"/>
              </w:rPr>
              <w:t xml:space="preserve">10 %</w:t>
            </w:r>
          </w:p>
        </w:tc>
        <w:tc>
          <w:tcPr>
            <w:tcW w:type="dxa" w:w="1300"/>
            <w:tcMar>
              <w:top w:type="dxa" w:w="40"/>
              <w:left w:type="dxa" w:w="80"/>
              <w:bottom w:type="dxa" w:w="40"/>
              <w:right w:type="dxa" w:w="80"/>
            </w:tcMar>
          </w:tcPr>
          <w:p>
            <w:pPr>
              <w:spacing w:after="0" w:line="240"/>
              <w:jc w:val="center"/>
            </w:pPr>
            <w:r>
              <w:rPr>
                <w:rFonts w:ascii="Calibri" w:cs="Calibri" w:eastAsia="Calibri" w:hAnsi="Calibri"/>
                <w:b w:val="false"/>
                <w:bCs w:val="false"/>
                <w:sz w:val="18"/>
                <w:szCs w:val="18"/>
              </w:rPr>
              <w:t xml:space="preserve">5 %</w:t>
            </w:r>
          </w:p>
        </w:tc>
        <w:tc>
          <w:tcPr>
            <w:tcW w:type="dxa" w:w="1400"/>
            <w:tcMar>
              <w:top w:type="dxa" w:w="40"/>
              <w:left w:type="dxa" w:w="80"/>
              <w:bottom w:type="dxa" w:w="40"/>
              <w:right w:type="dxa" w:w="80"/>
            </w:tcMar>
          </w:tcPr>
          <w:p>
            <w:pPr>
              <w:spacing w:after="0" w:line="240"/>
              <w:jc w:val="center"/>
            </w:pPr>
            <w:r>
              <w:rPr>
                <w:rFonts w:ascii="Calibri" w:cs="Calibri" w:eastAsia="Calibri" w:hAnsi="Calibri"/>
                <w:b w:val="false"/>
                <w:bCs w:val="false"/>
                <w:sz w:val="18"/>
                <w:szCs w:val="18"/>
              </w:rPr>
              <w:t xml:space="preserve">−5 pt</w:t>
            </w:r>
          </w:p>
        </w:tc>
      </w:tr>
      <w:tr>
        <w:trPr>
          <w:cantSplit/>
        </w:trPr>
        <w:tc>
          <w:tcPr>
            <w:tcW w:type="dxa" w:w="5638"/>
            <w:shd w:fill="F2F5FB" w:color="auto" w:val="clear"/>
            <w:tcMar>
              <w:top w:type="dxa" w:w="40"/>
              <w:left w:type="dxa" w:w="80"/>
              <w:bottom w:type="dxa" w:w="40"/>
              <w:right w:type="dxa" w:w="80"/>
            </w:tcMar>
          </w:tcPr>
          <w:p>
            <w:pPr>
              <w:spacing w:after="0" w:line="240"/>
            </w:pPr>
            <w:r>
              <w:rPr>
                <w:rFonts w:ascii="Calibri" w:cs="Calibri" w:eastAsia="Calibri" w:hAnsi="Calibri"/>
                <w:b/>
                <w:bCs/>
                <w:sz w:val="18"/>
                <w:szCs w:val="18"/>
              </w:rPr>
              <w:t xml:space="preserve">D2C6 — Sensibilité macro / subvention</w:t>
            </w:r>
          </w:p>
        </w:tc>
        <w:tc>
          <w:tcPr>
            <w:tcW w:type="dxa" w:w="1300"/>
            <w:shd w:fill="F2F5FB" w:color="auto" w:val="clear"/>
            <w:tcMar>
              <w:top w:type="dxa" w:w="40"/>
              <w:left w:type="dxa" w:w="80"/>
              <w:bottom w:type="dxa" w:w="40"/>
              <w:right w:type="dxa" w:w="80"/>
            </w:tcMar>
          </w:tcPr>
          <w:p>
            <w:pPr>
              <w:spacing w:after="0" w:line="240"/>
              <w:jc w:val="center"/>
            </w:pPr>
            <w:r>
              <w:rPr>
                <w:rFonts w:ascii="Calibri" w:cs="Calibri" w:eastAsia="Calibri" w:hAnsi="Calibri"/>
                <w:b w:val="false"/>
                <w:bCs w:val="false"/>
                <w:sz w:val="18"/>
                <w:szCs w:val="18"/>
              </w:rPr>
              <w:t xml:space="preserve">10 %</w:t>
            </w:r>
          </w:p>
        </w:tc>
        <w:tc>
          <w:tcPr>
            <w:tcW w:type="dxa" w:w="1300"/>
            <w:shd w:fill="F2F5FB" w:color="auto" w:val="clear"/>
            <w:tcMar>
              <w:top w:type="dxa" w:w="40"/>
              <w:left w:type="dxa" w:w="80"/>
              <w:bottom w:type="dxa" w:w="40"/>
              <w:right w:type="dxa" w:w="80"/>
            </w:tcMar>
          </w:tcPr>
          <w:p>
            <w:pPr>
              <w:spacing w:after="0" w:line="240"/>
              <w:jc w:val="center"/>
            </w:pPr>
            <w:r>
              <w:rPr>
                <w:rFonts w:ascii="Calibri" w:cs="Calibri" w:eastAsia="Calibri" w:hAnsi="Calibri"/>
                <w:b w:val="false"/>
                <w:bCs w:val="false"/>
                <w:sz w:val="18"/>
                <w:szCs w:val="18"/>
              </w:rPr>
              <w:t xml:space="preserve">5 %</w:t>
            </w:r>
          </w:p>
        </w:tc>
        <w:tc>
          <w:tcPr>
            <w:tcW w:type="dxa" w:w="1400"/>
            <w:shd w:fill="F2F5FB" w:color="auto" w:val="clear"/>
            <w:tcMar>
              <w:top w:type="dxa" w:w="40"/>
              <w:left w:type="dxa" w:w="80"/>
              <w:bottom w:type="dxa" w:w="40"/>
              <w:right w:type="dxa" w:w="80"/>
            </w:tcMar>
          </w:tcPr>
          <w:p>
            <w:pPr>
              <w:spacing w:after="0" w:line="240"/>
              <w:jc w:val="center"/>
            </w:pPr>
            <w:r>
              <w:rPr>
                <w:rFonts w:ascii="Calibri" w:cs="Calibri" w:eastAsia="Calibri" w:hAnsi="Calibri"/>
                <w:b w:val="false"/>
                <w:bCs w:val="false"/>
                <w:sz w:val="18"/>
                <w:szCs w:val="18"/>
              </w:rPr>
              <w:t xml:space="preserve">−5 pt</w:t>
            </w:r>
          </w:p>
        </w:tc>
      </w:tr>
      <w:tr>
        <w:trPr>
          <w:cantSplit/>
        </w:trPr>
        <w:tc>
          <w:tcPr>
            <w:tcW w:type="dxa" w:w="5638"/>
            <w:tcMar>
              <w:top w:type="dxa" w:w="40"/>
              <w:left w:type="dxa" w:w="80"/>
              <w:bottom w:type="dxa" w:w="40"/>
              <w:right w:type="dxa" w:w="80"/>
            </w:tcMar>
          </w:tcPr>
          <w:p>
            <w:pPr>
              <w:spacing w:after="0" w:line="240"/>
            </w:pPr>
            <w:r>
              <w:rPr>
                <w:rFonts w:ascii="Calibri" w:cs="Calibri" w:eastAsia="Calibri" w:hAnsi="Calibri"/>
                <w:b/>
                <w:bCs/>
                <w:sz w:val="18"/>
                <w:szCs w:val="18"/>
              </w:rPr>
              <w:t xml:space="preserve">D2C7 — Coût foncier / CA</w:t>
            </w:r>
          </w:p>
        </w:tc>
        <w:tc>
          <w:tcPr>
            <w:tcW w:type="dxa" w:w="1300"/>
            <w:tcMar>
              <w:top w:type="dxa" w:w="40"/>
              <w:left w:type="dxa" w:w="80"/>
              <w:bottom w:type="dxa" w:w="40"/>
              <w:right w:type="dxa" w:w="80"/>
            </w:tcMar>
          </w:tcPr>
          <w:p>
            <w:pPr>
              <w:spacing w:after="0" w:line="240"/>
              <w:jc w:val="center"/>
            </w:pPr>
            <w:r>
              <w:rPr>
                <w:rFonts w:ascii="Calibri" w:cs="Calibri" w:eastAsia="Calibri" w:hAnsi="Calibri"/>
                <w:b w:val="false"/>
                <w:bCs w:val="false"/>
                <w:sz w:val="18"/>
                <w:szCs w:val="18"/>
              </w:rPr>
              <w:t xml:space="preserve">10 %</w:t>
            </w:r>
          </w:p>
        </w:tc>
        <w:tc>
          <w:tcPr>
            <w:tcW w:type="dxa" w:w="1300"/>
            <w:tcMar>
              <w:top w:type="dxa" w:w="40"/>
              <w:left w:type="dxa" w:w="80"/>
              <w:bottom w:type="dxa" w:w="40"/>
              <w:right w:type="dxa" w:w="80"/>
            </w:tcMar>
          </w:tcPr>
          <w:p>
            <w:pPr>
              <w:spacing w:after="0" w:line="240"/>
              <w:jc w:val="center"/>
            </w:pPr>
            <w:r>
              <w:rPr>
                <w:rFonts w:ascii="Calibri" w:cs="Calibri" w:eastAsia="Calibri" w:hAnsi="Calibri"/>
                <w:b w:val="false"/>
                <w:bCs w:val="false"/>
                <w:sz w:val="18"/>
                <w:szCs w:val="18"/>
              </w:rPr>
              <w:t xml:space="preserve">5 %</w:t>
            </w:r>
          </w:p>
        </w:tc>
        <w:tc>
          <w:tcPr>
            <w:tcW w:type="dxa" w:w="1400"/>
            <w:tcMar>
              <w:top w:type="dxa" w:w="40"/>
              <w:left w:type="dxa" w:w="80"/>
              <w:bottom w:type="dxa" w:w="40"/>
              <w:right w:type="dxa" w:w="80"/>
            </w:tcMar>
          </w:tcPr>
          <w:p>
            <w:pPr>
              <w:spacing w:after="0" w:line="240"/>
              <w:jc w:val="center"/>
            </w:pPr>
            <w:r>
              <w:rPr>
                <w:rFonts w:ascii="Calibri" w:cs="Calibri" w:eastAsia="Calibri" w:hAnsi="Calibri"/>
                <w:b w:val="false"/>
                <w:bCs w:val="false"/>
                <w:sz w:val="18"/>
                <w:szCs w:val="18"/>
              </w:rPr>
              <w:t xml:space="preserve">−5 pt</w:t>
            </w:r>
          </w:p>
        </w:tc>
      </w:tr>
      <w:tr>
        <w:trPr>
          <w:cantSplit/>
        </w:trPr>
        <w:tc>
          <w:tcPr>
            <w:tcW w:type="dxa" w:w="5638"/>
            <w:shd w:fill="F2F5FB" w:color="auto" w:val="clear"/>
            <w:tcMar>
              <w:top w:type="dxa" w:w="40"/>
              <w:left w:type="dxa" w:w="80"/>
              <w:bottom w:type="dxa" w:w="40"/>
              <w:right w:type="dxa" w:w="80"/>
            </w:tcMar>
          </w:tcPr>
          <w:p>
            <w:pPr>
              <w:spacing w:after="0" w:line="240"/>
            </w:pPr>
            <w:r>
              <w:rPr>
                <w:rFonts w:ascii="Calibri" w:cs="Calibri" w:eastAsia="Calibri" w:hAnsi="Calibri"/>
                <w:b/>
                <w:bCs/>
                <w:sz w:val="18"/>
                <w:szCs w:val="18"/>
              </w:rPr>
              <w:t xml:space="preserve">D2C8 — Chaîne d'autorisations (complétude)</w:t>
            </w:r>
          </w:p>
        </w:tc>
        <w:tc>
          <w:tcPr>
            <w:tcW w:type="dxa" w:w="1300"/>
            <w:shd w:fill="F2F5FB" w:color="auto" w:val="clear"/>
            <w:tcMar>
              <w:top w:type="dxa" w:w="40"/>
              <w:left w:type="dxa" w:w="80"/>
              <w:bottom w:type="dxa" w:w="40"/>
              <w:right w:type="dxa" w:w="80"/>
            </w:tcMar>
          </w:tcPr>
          <w:p>
            <w:pPr>
              <w:spacing w:after="0" w:line="240"/>
              <w:jc w:val="center"/>
            </w:pPr>
            <w:r>
              <w:rPr>
                <w:rFonts w:ascii="Calibri" w:cs="Calibri" w:eastAsia="Calibri" w:hAnsi="Calibri"/>
                <w:b w:val="false"/>
                <w:bCs w:val="false"/>
                <w:sz w:val="18"/>
                <w:szCs w:val="18"/>
              </w:rPr>
              <w:t xml:space="preserve">10 %</w:t>
            </w:r>
          </w:p>
        </w:tc>
        <w:tc>
          <w:tcPr>
            <w:tcW w:type="dxa" w:w="1300"/>
            <w:shd w:fill="F2F5FB" w:color="auto" w:val="clear"/>
            <w:tcMar>
              <w:top w:type="dxa" w:w="40"/>
              <w:left w:type="dxa" w:w="80"/>
              <w:bottom w:type="dxa" w:w="40"/>
              <w:right w:type="dxa" w:w="80"/>
            </w:tcMar>
          </w:tcPr>
          <w:p>
            <w:pPr>
              <w:spacing w:after="0" w:line="240"/>
              <w:jc w:val="center"/>
            </w:pPr>
            <w:r>
              <w:rPr>
                <w:rFonts w:ascii="Calibri" w:cs="Calibri" w:eastAsia="Calibri" w:hAnsi="Calibri"/>
                <w:b w:val="false"/>
                <w:bCs w:val="false"/>
                <w:sz w:val="18"/>
                <w:szCs w:val="18"/>
              </w:rPr>
              <w:t xml:space="preserve">10 %</w:t>
            </w:r>
          </w:p>
        </w:tc>
        <w:tc>
          <w:tcPr>
            <w:tcW w:type="dxa" w:w="1400"/>
            <w:shd w:fill="F2F5FB" w:color="auto" w:val="clear"/>
            <w:tcMar>
              <w:top w:type="dxa" w:w="40"/>
              <w:left w:type="dxa" w:w="80"/>
              <w:bottom w:type="dxa" w:w="40"/>
              <w:right w:type="dxa" w:w="80"/>
            </w:tcMar>
          </w:tcPr>
          <w:p>
            <w:pPr>
              <w:spacing w:after="0" w:line="240"/>
              <w:jc w:val="center"/>
            </w:pPr>
            <w:r>
              <w:rPr>
                <w:rFonts w:ascii="Calibri" w:cs="Calibri" w:eastAsia="Calibri" w:hAnsi="Calibri"/>
                <w:b w:val="false"/>
                <w:bCs w:val="false"/>
                <w:sz w:val="18"/>
                <w:szCs w:val="18"/>
              </w:rPr>
              <w:t xml:space="preserve">=</w:t>
            </w:r>
          </w:p>
        </w:tc>
      </w:tr>
      <w:tr>
        <w:trPr>
          <w:cantSplit/>
        </w:trPr>
        <w:tc>
          <w:tcPr>
            <w:tcW w:type="dxa" w:w="5638"/>
            <w:tcMar>
              <w:top w:type="dxa" w:w="40"/>
              <w:left w:type="dxa" w:w="80"/>
              <w:bottom w:type="dxa" w:w="40"/>
              <w:right w:type="dxa" w:w="80"/>
            </w:tcMar>
          </w:tcPr>
          <w:p>
            <w:pPr>
              <w:spacing w:after="0" w:line="240"/>
            </w:pPr>
            <w:r>
              <w:rPr>
                <w:rFonts w:ascii="Calibri" w:cs="Calibri" w:eastAsia="Calibri" w:hAnsi="Calibri"/>
                <w:b/>
                <w:bCs/>
                <w:sz w:val="18"/>
                <w:szCs w:val="18"/>
              </w:rPr>
              <w:t xml:space="preserve">D2C9 — Tension du marché régional</w:t>
            </w:r>
          </w:p>
        </w:tc>
        <w:tc>
          <w:tcPr>
            <w:tcW w:type="dxa" w:w="1300"/>
            <w:tcMar>
              <w:top w:type="dxa" w:w="40"/>
              <w:left w:type="dxa" w:w="80"/>
              <w:bottom w:type="dxa" w:w="40"/>
              <w:right w:type="dxa" w:w="80"/>
            </w:tcMar>
          </w:tcPr>
          <w:p>
            <w:pPr>
              <w:spacing w:after="0" w:line="240"/>
              <w:jc w:val="center"/>
            </w:pPr>
            <w:r>
              <w:rPr>
                <w:rFonts w:ascii="Calibri" w:cs="Calibri" w:eastAsia="Calibri" w:hAnsi="Calibri"/>
                <w:b w:val="false"/>
                <w:bCs w:val="false"/>
                <w:color w:val="2E7D32"/>
                <w:sz w:val="18"/>
                <w:szCs w:val="18"/>
              </w:rPr>
              <w:t xml:space="preserve">nouveau</w:t>
            </w:r>
          </w:p>
        </w:tc>
        <w:tc>
          <w:tcPr>
            <w:tcW w:type="dxa" w:w="1300"/>
            <w:tcMar>
              <w:top w:type="dxa" w:w="40"/>
              <w:left w:type="dxa" w:w="80"/>
              <w:bottom w:type="dxa" w:w="40"/>
              <w:right w:type="dxa" w:w="80"/>
            </w:tcMar>
          </w:tcPr>
          <w:p>
            <w:pPr>
              <w:spacing w:after="0" w:line="240"/>
              <w:jc w:val="center"/>
            </w:pPr>
            <w:r>
              <w:rPr>
                <w:rFonts w:ascii="Calibri" w:cs="Calibri" w:eastAsia="Calibri" w:hAnsi="Calibri"/>
                <w:b w:val="false"/>
                <w:bCs w:val="false"/>
                <w:sz w:val="18"/>
                <w:szCs w:val="18"/>
              </w:rPr>
              <w:t xml:space="preserve">10 %</w:t>
            </w:r>
          </w:p>
        </w:tc>
        <w:tc>
          <w:tcPr>
            <w:tcW w:type="dxa" w:w="1400"/>
            <w:tcMar>
              <w:top w:type="dxa" w:w="40"/>
              <w:left w:type="dxa" w:w="80"/>
              <w:bottom w:type="dxa" w:w="40"/>
              <w:right w:type="dxa" w:w="80"/>
            </w:tcMar>
          </w:tcPr>
          <w:p>
            <w:pPr>
              <w:spacing w:after="0" w:line="240"/>
              <w:jc w:val="center"/>
            </w:pPr>
            <w:r>
              <w:rPr>
                <w:rFonts w:ascii="Calibri" w:cs="Calibri" w:eastAsia="Calibri" w:hAnsi="Calibri"/>
                <w:b w:val="false"/>
                <w:bCs w:val="false"/>
                <w:sz w:val="18"/>
                <w:szCs w:val="18"/>
              </w:rPr>
              <w:t xml:space="preserve">+10 %</w:t>
            </w:r>
          </w:p>
        </w:tc>
      </w:tr>
      <w:tr>
        <w:trPr>
          <w:cantSplit/>
        </w:trPr>
        <w:tc>
          <w:tcPr>
            <w:tcW w:type="dxa" w:w="5638"/>
            <w:shd w:fill="F2F5FB" w:color="auto" w:val="clear"/>
            <w:tcMar>
              <w:top w:type="dxa" w:w="40"/>
              <w:left w:type="dxa" w:w="80"/>
              <w:bottom w:type="dxa" w:w="40"/>
              <w:right w:type="dxa" w:w="80"/>
            </w:tcMar>
          </w:tcPr>
          <w:p>
            <w:pPr>
              <w:spacing w:after="0" w:line="240"/>
            </w:pPr>
            <w:r>
              <w:rPr>
                <w:rFonts w:ascii="Calibri" w:cs="Calibri" w:eastAsia="Calibri" w:hAnsi="Calibri"/>
                <w:b/>
                <w:bCs/>
                <w:sz w:val="18"/>
                <w:szCs w:val="18"/>
              </w:rPr>
              <w:t xml:space="preserve">D2C10 — Entreprise de travaux et garanties de marché</w:t>
            </w:r>
          </w:p>
        </w:tc>
        <w:tc>
          <w:tcPr>
            <w:tcW w:type="dxa" w:w="1300"/>
            <w:shd w:fill="F2F5FB" w:color="auto" w:val="clear"/>
            <w:tcMar>
              <w:top w:type="dxa" w:w="40"/>
              <w:left w:type="dxa" w:w="80"/>
              <w:bottom w:type="dxa" w:w="40"/>
              <w:right w:type="dxa" w:w="80"/>
            </w:tcMar>
          </w:tcPr>
          <w:p>
            <w:pPr>
              <w:spacing w:after="0" w:line="240"/>
              <w:jc w:val="center"/>
            </w:pPr>
            <w:r>
              <w:rPr>
                <w:rFonts w:ascii="Calibri" w:cs="Calibri" w:eastAsia="Calibri" w:hAnsi="Calibri"/>
                <w:b w:val="false"/>
                <w:bCs w:val="false"/>
                <w:color w:val="2E7D32"/>
                <w:sz w:val="18"/>
                <w:szCs w:val="18"/>
              </w:rPr>
              <w:t xml:space="preserve">nouveau</w:t>
            </w:r>
          </w:p>
        </w:tc>
        <w:tc>
          <w:tcPr>
            <w:tcW w:type="dxa" w:w="1300"/>
            <w:shd w:fill="F2F5FB" w:color="auto" w:val="clear"/>
            <w:tcMar>
              <w:top w:type="dxa" w:w="40"/>
              <w:left w:type="dxa" w:w="80"/>
              <w:bottom w:type="dxa" w:w="40"/>
              <w:right w:type="dxa" w:w="80"/>
            </w:tcMar>
          </w:tcPr>
          <w:p>
            <w:pPr>
              <w:spacing w:after="0" w:line="240"/>
              <w:jc w:val="center"/>
            </w:pPr>
            <w:r>
              <w:rPr>
                <w:rFonts w:ascii="Calibri" w:cs="Calibri" w:eastAsia="Calibri" w:hAnsi="Calibri"/>
                <w:b w:val="false"/>
                <w:bCs w:val="false"/>
                <w:sz w:val="18"/>
                <w:szCs w:val="18"/>
              </w:rPr>
              <w:t xml:space="preserve">10 %</w:t>
            </w:r>
          </w:p>
        </w:tc>
        <w:tc>
          <w:tcPr>
            <w:tcW w:type="dxa" w:w="1400"/>
            <w:shd w:fill="F2F5FB" w:color="auto" w:val="clear"/>
            <w:tcMar>
              <w:top w:type="dxa" w:w="40"/>
              <w:left w:type="dxa" w:w="80"/>
              <w:bottom w:type="dxa" w:w="40"/>
              <w:right w:type="dxa" w:w="80"/>
            </w:tcMar>
          </w:tcPr>
          <w:p>
            <w:pPr>
              <w:spacing w:after="0" w:line="240"/>
              <w:jc w:val="center"/>
            </w:pPr>
            <w:r>
              <w:rPr>
                <w:rFonts w:ascii="Calibri" w:cs="Calibri" w:eastAsia="Calibri" w:hAnsi="Calibri"/>
                <w:b w:val="false"/>
                <w:bCs w:val="false"/>
                <w:sz w:val="18"/>
                <w:szCs w:val="18"/>
              </w:rPr>
              <w:t xml:space="preserve">+10 %</w:t>
            </w:r>
          </w:p>
        </w:tc>
      </w:tr>
      <w:tr>
        <w:trPr>
          <w:cantSplit/>
        </w:trPr>
        <w:tc>
          <w:tcPr>
            <w:tcW w:type="dxa" w:w="5638"/>
            <w:tcMar>
              <w:top w:type="dxa" w:w="40"/>
              <w:left w:type="dxa" w:w="80"/>
              <w:bottom w:type="dxa" w:w="40"/>
              <w:right w:type="dxa" w:w="80"/>
            </w:tcMar>
          </w:tcPr>
          <w:p>
            <w:pPr>
              <w:spacing w:after="0" w:line="240"/>
            </w:pPr>
            <w:r>
              <w:rPr>
                <w:rFonts w:ascii="Calibri" w:cs="Calibri" w:eastAsia="Calibri" w:hAnsi="Calibri"/>
                <w:b/>
                <w:bCs/>
                <w:sz w:val="18"/>
                <w:szCs w:val="18"/>
              </w:rPr>
              <w:t xml:space="preserve">D2C11 — Équipements exigés non budgétés (% du coût)</w:t>
            </w:r>
          </w:p>
        </w:tc>
        <w:tc>
          <w:tcPr>
            <w:tcW w:type="dxa" w:w="1300"/>
            <w:tcMar>
              <w:top w:type="dxa" w:w="40"/>
              <w:left w:type="dxa" w:w="80"/>
              <w:bottom w:type="dxa" w:w="40"/>
              <w:right w:type="dxa" w:w="80"/>
            </w:tcMar>
          </w:tcPr>
          <w:p>
            <w:pPr>
              <w:spacing w:after="0" w:line="240"/>
              <w:jc w:val="center"/>
            </w:pPr>
            <w:r>
              <w:rPr>
                <w:rFonts w:ascii="Calibri" w:cs="Calibri" w:eastAsia="Calibri" w:hAnsi="Calibri"/>
                <w:b w:val="false"/>
                <w:bCs w:val="false"/>
                <w:color w:val="2E7D32"/>
                <w:sz w:val="18"/>
                <w:szCs w:val="18"/>
              </w:rPr>
              <w:t xml:space="preserve">nouveau</w:t>
            </w:r>
          </w:p>
        </w:tc>
        <w:tc>
          <w:tcPr>
            <w:tcW w:type="dxa" w:w="1300"/>
            <w:tcMar>
              <w:top w:type="dxa" w:w="40"/>
              <w:left w:type="dxa" w:w="80"/>
              <w:bottom w:type="dxa" w:w="40"/>
              <w:right w:type="dxa" w:w="80"/>
            </w:tcMar>
          </w:tcPr>
          <w:p>
            <w:pPr>
              <w:spacing w:after="0" w:line="240"/>
              <w:jc w:val="center"/>
            </w:pPr>
            <w:r>
              <w:rPr>
                <w:rFonts w:ascii="Calibri" w:cs="Calibri" w:eastAsia="Calibri" w:hAnsi="Calibri"/>
                <w:b w:val="false"/>
                <w:bCs w:val="false"/>
                <w:sz w:val="18"/>
                <w:szCs w:val="18"/>
              </w:rPr>
              <w:t xml:space="preserve">5 %</w:t>
            </w:r>
          </w:p>
        </w:tc>
        <w:tc>
          <w:tcPr>
            <w:tcW w:type="dxa" w:w="1400"/>
            <w:tcMar>
              <w:top w:type="dxa" w:w="40"/>
              <w:left w:type="dxa" w:w="80"/>
              <w:bottom w:type="dxa" w:w="40"/>
              <w:right w:type="dxa" w:w="80"/>
            </w:tcMar>
          </w:tcPr>
          <w:p>
            <w:pPr>
              <w:spacing w:after="0" w:line="240"/>
              <w:jc w:val="center"/>
            </w:pPr>
            <w:r>
              <w:rPr>
                <w:rFonts w:ascii="Calibri" w:cs="Calibri" w:eastAsia="Calibri" w:hAnsi="Calibri"/>
                <w:b w:val="false"/>
                <w:bCs w:val="false"/>
                <w:sz w:val="18"/>
                <w:szCs w:val="18"/>
              </w:rPr>
              <w:t xml:space="preserve">+5 %</w:t>
            </w:r>
          </w:p>
        </w:tc>
      </w:tr>
      <w:tr>
        <w:trPr>
          <w:cantSplit/>
        </w:trPr>
        <w:tc>
          <w:tcPr>
            <w:tcW w:type="dxa" w:w="5638"/>
            <w:shd w:fill="F2F5FB" w:color="auto" w:val="clear"/>
            <w:tcMar>
              <w:top w:type="dxa" w:w="40"/>
              <w:left w:type="dxa" w:w="80"/>
              <w:bottom w:type="dxa" w:w="40"/>
              <w:right w:type="dxa" w:w="80"/>
            </w:tcMar>
          </w:tcPr>
          <w:p>
            <w:pPr>
              <w:spacing w:after="0" w:line="240"/>
            </w:pPr>
            <w:r>
              <w:rPr>
                <w:rFonts w:ascii="Calibri" w:cs="Calibri" w:eastAsia="Calibri" w:hAnsi="Calibri"/>
                <w:b/>
                <w:bCs/>
                <w:sz w:val="18"/>
                <w:szCs w:val="18"/>
              </w:rPr>
              <w:t xml:space="preserve">D2C12 — Autonomie du périmètre financé (tranche)</w:t>
            </w:r>
          </w:p>
        </w:tc>
        <w:tc>
          <w:tcPr>
            <w:tcW w:type="dxa" w:w="1300"/>
            <w:shd w:fill="F2F5FB" w:color="auto" w:val="clear"/>
            <w:tcMar>
              <w:top w:type="dxa" w:w="40"/>
              <w:left w:type="dxa" w:w="80"/>
              <w:bottom w:type="dxa" w:w="40"/>
              <w:right w:type="dxa" w:w="80"/>
            </w:tcMar>
          </w:tcPr>
          <w:p>
            <w:pPr>
              <w:spacing w:after="0" w:line="240"/>
              <w:jc w:val="center"/>
            </w:pPr>
            <w:r>
              <w:rPr>
                <w:rFonts w:ascii="Calibri" w:cs="Calibri" w:eastAsia="Calibri" w:hAnsi="Calibri"/>
                <w:b w:val="false"/>
                <w:bCs w:val="false"/>
                <w:color w:val="2E7D32"/>
                <w:sz w:val="18"/>
                <w:szCs w:val="18"/>
              </w:rPr>
              <w:t xml:space="preserve">nouveau</w:t>
            </w:r>
          </w:p>
        </w:tc>
        <w:tc>
          <w:tcPr>
            <w:tcW w:type="dxa" w:w="1300"/>
            <w:shd w:fill="F2F5FB" w:color="auto" w:val="clear"/>
            <w:tcMar>
              <w:top w:type="dxa" w:w="40"/>
              <w:left w:type="dxa" w:w="80"/>
              <w:bottom w:type="dxa" w:w="40"/>
              <w:right w:type="dxa" w:w="80"/>
            </w:tcMar>
          </w:tcPr>
          <w:p>
            <w:pPr>
              <w:spacing w:after="0" w:line="240"/>
              <w:jc w:val="center"/>
            </w:pPr>
            <w:r>
              <w:rPr>
                <w:rFonts w:ascii="Calibri" w:cs="Calibri" w:eastAsia="Calibri" w:hAnsi="Calibri"/>
                <w:b w:val="false"/>
                <w:bCs w:val="false"/>
                <w:sz w:val="18"/>
                <w:szCs w:val="18"/>
              </w:rPr>
              <w:t xml:space="preserve">5 %</w:t>
            </w:r>
          </w:p>
        </w:tc>
        <w:tc>
          <w:tcPr>
            <w:tcW w:type="dxa" w:w="1400"/>
            <w:shd w:fill="F2F5FB" w:color="auto" w:val="clear"/>
            <w:tcMar>
              <w:top w:type="dxa" w:w="40"/>
              <w:left w:type="dxa" w:w="80"/>
              <w:bottom w:type="dxa" w:w="40"/>
              <w:right w:type="dxa" w:w="80"/>
            </w:tcMar>
          </w:tcPr>
          <w:p>
            <w:pPr>
              <w:spacing w:after="0" w:line="240"/>
              <w:jc w:val="center"/>
            </w:pPr>
            <w:r>
              <w:rPr>
                <w:rFonts w:ascii="Calibri" w:cs="Calibri" w:eastAsia="Calibri" w:hAnsi="Calibri"/>
                <w:b w:val="false"/>
                <w:bCs w:val="false"/>
                <w:sz w:val="18"/>
                <w:szCs w:val="18"/>
              </w:rPr>
              <w:t xml:space="preserve">+5 %</w:t>
            </w:r>
          </w:p>
        </w:tc>
      </w:tr>
    </w:tbl>
    <w:p>
      <w:pPr>
        <w:pStyle w:val="Heading2"/>
        <w:keepNext/>
      </w:pPr>
      <w:r>
        <w:t xml:space="preserve">D3 — Commercial &amp; Cash-flow (31 % du score)</w:t>
      </w:r>
    </w:p>
    <w:tbl>
      <w:tblPr>
        <w:tblW w:type="dxa" w:w="9638"/>
        <w:tblBorders>
          <w:top w:val="single" w:color="AEB6C6" w:sz="2"/>
          <w:left w:val="single" w:color="AEB6C6" w:sz="2"/>
          <w:bottom w:val="single" w:color="AEB6C6" w:sz="2"/>
          <w:right w:val="single" w:color="AEB6C6" w:sz="2"/>
          <w:insideH w:val="single" w:color="D0D6E2" w:sz="1"/>
          <w:insideV w:val="single" w:color="D0D6E2" w:sz="1"/>
        </w:tblBorders>
      </w:tblPr>
      <w:tblGrid>
        <w:gridCol w:w="5638"/>
        <w:gridCol w:w="1300"/>
        <w:gridCol w:w="1300"/>
        <w:gridCol w:w="1400"/>
      </w:tblGrid>
      <w:tr>
        <w:trPr>
          <w:cantSplit/>
          <w:tblHeader/>
        </w:trPr>
        <w:tc>
          <w:tcPr>
            <w:tcW w:type="dxa" w:w="5638"/>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Critère</w:t>
            </w:r>
          </w:p>
        </w:tc>
        <w:tc>
          <w:tcPr>
            <w:tcW w:type="dxa" w:w="13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Poids v4</w:t>
            </w:r>
          </w:p>
        </w:tc>
        <w:tc>
          <w:tcPr>
            <w:tcW w:type="dxa" w:w="13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Poids v5</w:t>
            </w:r>
          </w:p>
        </w:tc>
        <w:tc>
          <w:tcPr>
            <w:tcW w:type="dxa" w:w="14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Écart</w:t>
            </w:r>
          </w:p>
        </w:tc>
      </w:tr>
      <w:tr>
        <w:trPr>
          <w:cantSplit/>
        </w:trPr>
        <w:tc>
          <w:tcPr>
            <w:tcW w:type="dxa" w:w="5638"/>
            <w:tcMar>
              <w:top w:type="dxa" w:w="40"/>
              <w:left w:type="dxa" w:w="80"/>
              <w:bottom w:type="dxa" w:w="40"/>
              <w:right w:type="dxa" w:w="80"/>
            </w:tcMar>
          </w:tcPr>
          <w:p>
            <w:pPr>
              <w:spacing w:after="0" w:line="240"/>
            </w:pPr>
            <w:r>
              <w:rPr>
                <w:rFonts w:ascii="Calibri" w:cs="Calibri" w:eastAsia="Calibri" w:hAnsi="Calibri"/>
                <w:b/>
                <w:bCs/>
                <w:sz w:val="18"/>
                <w:szCs w:val="18"/>
              </w:rPr>
              <w:t xml:space="preserve">D3C1 — Préventes sécurisées (encaissées / CA)</w:t>
            </w:r>
          </w:p>
        </w:tc>
        <w:tc>
          <w:tcPr>
            <w:tcW w:type="dxa" w:w="1300"/>
            <w:tcMar>
              <w:top w:type="dxa" w:w="40"/>
              <w:left w:type="dxa" w:w="80"/>
              <w:bottom w:type="dxa" w:w="40"/>
              <w:right w:type="dxa" w:w="80"/>
            </w:tcMar>
          </w:tcPr>
          <w:p>
            <w:pPr>
              <w:spacing w:after="0" w:line="240"/>
              <w:jc w:val="center"/>
            </w:pPr>
            <w:r>
              <w:rPr>
                <w:rFonts w:ascii="Calibri" w:cs="Calibri" w:eastAsia="Calibri" w:hAnsi="Calibri"/>
                <w:b w:val="false"/>
                <w:bCs w:val="false"/>
                <w:sz w:val="18"/>
                <w:szCs w:val="18"/>
              </w:rPr>
              <w:t xml:space="preserve">15 %</w:t>
            </w:r>
          </w:p>
        </w:tc>
        <w:tc>
          <w:tcPr>
            <w:tcW w:type="dxa" w:w="1300"/>
            <w:tcMar>
              <w:top w:type="dxa" w:w="40"/>
              <w:left w:type="dxa" w:w="80"/>
              <w:bottom w:type="dxa" w:w="40"/>
              <w:right w:type="dxa" w:w="80"/>
            </w:tcMar>
          </w:tcPr>
          <w:p>
            <w:pPr>
              <w:spacing w:after="0" w:line="240"/>
              <w:jc w:val="center"/>
            </w:pPr>
            <w:r>
              <w:rPr>
                <w:rFonts w:ascii="Calibri" w:cs="Calibri" w:eastAsia="Calibri" w:hAnsi="Calibri"/>
                <w:b w:val="false"/>
                <w:bCs w:val="false"/>
                <w:sz w:val="18"/>
                <w:szCs w:val="18"/>
              </w:rPr>
              <w:t xml:space="preserve">15 %</w:t>
            </w:r>
          </w:p>
        </w:tc>
        <w:tc>
          <w:tcPr>
            <w:tcW w:type="dxa" w:w="1400"/>
            <w:tcMar>
              <w:top w:type="dxa" w:w="40"/>
              <w:left w:type="dxa" w:w="80"/>
              <w:bottom w:type="dxa" w:w="40"/>
              <w:right w:type="dxa" w:w="80"/>
            </w:tcMar>
          </w:tcPr>
          <w:p>
            <w:pPr>
              <w:spacing w:after="0" w:line="240"/>
              <w:jc w:val="center"/>
            </w:pPr>
            <w:r>
              <w:rPr>
                <w:rFonts w:ascii="Calibri" w:cs="Calibri" w:eastAsia="Calibri" w:hAnsi="Calibri"/>
                <w:b w:val="false"/>
                <w:bCs w:val="false"/>
                <w:sz w:val="18"/>
                <w:szCs w:val="18"/>
              </w:rPr>
              <w:t xml:space="preserve">=</w:t>
            </w:r>
          </w:p>
        </w:tc>
      </w:tr>
      <w:tr>
        <w:trPr>
          <w:cantSplit/>
        </w:trPr>
        <w:tc>
          <w:tcPr>
            <w:tcW w:type="dxa" w:w="5638"/>
            <w:shd w:fill="F2F5FB" w:color="auto" w:val="clear"/>
            <w:tcMar>
              <w:top w:type="dxa" w:w="40"/>
              <w:left w:type="dxa" w:w="80"/>
              <w:bottom w:type="dxa" w:w="40"/>
              <w:right w:type="dxa" w:w="80"/>
            </w:tcMar>
          </w:tcPr>
          <w:p>
            <w:pPr>
              <w:spacing w:after="0" w:line="240"/>
            </w:pPr>
            <w:r>
              <w:rPr>
                <w:rFonts w:ascii="Calibri" w:cs="Calibri" w:eastAsia="Calibri" w:hAnsi="Calibri"/>
                <w:b/>
                <w:bCs/>
                <w:sz w:val="18"/>
                <w:szCs w:val="18"/>
              </w:rPr>
              <w:t xml:space="preserve">D3C2 — Ventes vs planning</w:t>
            </w:r>
          </w:p>
        </w:tc>
        <w:tc>
          <w:tcPr>
            <w:tcW w:type="dxa" w:w="1300"/>
            <w:shd w:fill="F2F5FB" w:color="auto" w:val="clear"/>
            <w:tcMar>
              <w:top w:type="dxa" w:w="40"/>
              <w:left w:type="dxa" w:w="80"/>
              <w:bottom w:type="dxa" w:w="40"/>
              <w:right w:type="dxa" w:w="80"/>
            </w:tcMar>
          </w:tcPr>
          <w:p>
            <w:pPr>
              <w:spacing w:after="0" w:line="240"/>
              <w:jc w:val="center"/>
            </w:pPr>
            <w:r>
              <w:rPr>
                <w:rFonts w:ascii="Calibri" w:cs="Calibri" w:eastAsia="Calibri" w:hAnsi="Calibri"/>
                <w:b w:val="false"/>
                <w:bCs w:val="false"/>
                <w:sz w:val="18"/>
                <w:szCs w:val="18"/>
              </w:rPr>
              <w:t xml:space="preserve">10 %</w:t>
            </w:r>
          </w:p>
        </w:tc>
        <w:tc>
          <w:tcPr>
            <w:tcW w:type="dxa" w:w="1300"/>
            <w:shd w:fill="F2F5FB" w:color="auto" w:val="clear"/>
            <w:tcMar>
              <w:top w:type="dxa" w:w="40"/>
              <w:left w:type="dxa" w:w="80"/>
              <w:bottom w:type="dxa" w:w="40"/>
              <w:right w:type="dxa" w:w="80"/>
            </w:tcMar>
          </w:tcPr>
          <w:p>
            <w:pPr>
              <w:spacing w:after="0" w:line="240"/>
              <w:jc w:val="center"/>
            </w:pPr>
            <w:r>
              <w:rPr>
                <w:rFonts w:ascii="Calibri" w:cs="Calibri" w:eastAsia="Calibri" w:hAnsi="Calibri"/>
                <w:b w:val="false"/>
                <w:bCs w:val="false"/>
                <w:sz w:val="18"/>
                <w:szCs w:val="18"/>
              </w:rPr>
              <w:t xml:space="preserve">10 %</w:t>
            </w:r>
          </w:p>
        </w:tc>
        <w:tc>
          <w:tcPr>
            <w:tcW w:type="dxa" w:w="1400"/>
            <w:shd w:fill="F2F5FB" w:color="auto" w:val="clear"/>
            <w:tcMar>
              <w:top w:type="dxa" w:w="40"/>
              <w:left w:type="dxa" w:w="80"/>
              <w:bottom w:type="dxa" w:w="40"/>
              <w:right w:type="dxa" w:w="80"/>
            </w:tcMar>
          </w:tcPr>
          <w:p>
            <w:pPr>
              <w:spacing w:after="0" w:line="240"/>
              <w:jc w:val="center"/>
            </w:pPr>
            <w:r>
              <w:rPr>
                <w:rFonts w:ascii="Calibri" w:cs="Calibri" w:eastAsia="Calibri" w:hAnsi="Calibri"/>
                <w:b w:val="false"/>
                <w:bCs w:val="false"/>
                <w:sz w:val="18"/>
                <w:szCs w:val="18"/>
              </w:rPr>
              <w:t xml:space="preserve">=</w:t>
            </w:r>
          </w:p>
        </w:tc>
      </w:tr>
      <w:tr>
        <w:trPr>
          <w:cantSplit/>
        </w:trPr>
        <w:tc>
          <w:tcPr>
            <w:tcW w:type="dxa" w:w="5638"/>
            <w:tcMar>
              <w:top w:type="dxa" w:w="40"/>
              <w:left w:type="dxa" w:w="80"/>
              <w:bottom w:type="dxa" w:w="40"/>
              <w:right w:type="dxa" w:w="80"/>
            </w:tcMar>
          </w:tcPr>
          <w:p>
            <w:pPr>
              <w:spacing w:after="0" w:line="240"/>
            </w:pPr>
            <w:r>
              <w:rPr>
                <w:rFonts w:ascii="Calibri" w:cs="Calibri" w:eastAsia="Calibri" w:hAnsi="Calibri"/>
                <w:b/>
                <w:bCs/>
                <w:sz w:val="18"/>
                <w:szCs w:val="18"/>
              </w:rPr>
              <w:t xml:space="preserve">D3C3 — DSO (jours)</w:t>
            </w:r>
          </w:p>
        </w:tc>
        <w:tc>
          <w:tcPr>
            <w:tcW w:type="dxa" w:w="1300"/>
            <w:tcMar>
              <w:top w:type="dxa" w:w="40"/>
              <w:left w:type="dxa" w:w="80"/>
              <w:bottom w:type="dxa" w:w="40"/>
              <w:right w:type="dxa" w:w="80"/>
            </w:tcMar>
          </w:tcPr>
          <w:p>
            <w:pPr>
              <w:spacing w:after="0" w:line="240"/>
              <w:jc w:val="center"/>
            </w:pPr>
            <w:r>
              <w:rPr>
                <w:rFonts w:ascii="Calibri" w:cs="Calibri" w:eastAsia="Calibri" w:hAnsi="Calibri"/>
                <w:b w:val="false"/>
                <w:bCs w:val="false"/>
                <w:sz w:val="18"/>
                <w:szCs w:val="18"/>
              </w:rPr>
              <w:t xml:space="preserve">10 %</w:t>
            </w:r>
          </w:p>
        </w:tc>
        <w:tc>
          <w:tcPr>
            <w:tcW w:type="dxa" w:w="1300"/>
            <w:tcMar>
              <w:top w:type="dxa" w:w="40"/>
              <w:left w:type="dxa" w:w="80"/>
              <w:bottom w:type="dxa" w:w="40"/>
              <w:right w:type="dxa" w:w="80"/>
            </w:tcMar>
          </w:tcPr>
          <w:p>
            <w:pPr>
              <w:spacing w:after="0" w:line="240"/>
              <w:jc w:val="center"/>
            </w:pPr>
            <w:r>
              <w:rPr>
                <w:rFonts w:ascii="Calibri" w:cs="Calibri" w:eastAsia="Calibri" w:hAnsi="Calibri"/>
                <w:b w:val="false"/>
                <w:bCs w:val="false"/>
                <w:sz w:val="18"/>
                <w:szCs w:val="18"/>
              </w:rPr>
              <w:t xml:space="preserve">5 %</w:t>
            </w:r>
          </w:p>
        </w:tc>
        <w:tc>
          <w:tcPr>
            <w:tcW w:type="dxa" w:w="1400"/>
            <w:tcMar>
              <w:top w:type="dxa" w:w="40"/>
              <w:left w:type="dxa" w:w="80"/>
              <w:bottom w:type="dxa" w:w="40"/>
              <w:right w:type="dxa" w:w="80"/>
            </w:tcMar>
          </w:tcPr>
          <w:p>
            <w:pPr>
              <w:spacing w:after="0" w:line="240"/>
              <w:jc w:val="center"/>
            </w:pPr>
            <w:r>
              <w:rPr>
                <w:rFonts w:ascii="Calibri" w:cs="Calibri" w:eastAsia="Calibri" w:hAnsi="Calibri"/>
                <w:b w:val="false"/>
                <w:bCs w:val="false"/>
                <w:sz w:val="18"/>
                <w:szCs w:val="18"/>
              </w:rPr>
              <w:t xml:space="preserve">−5 pt</w:t>
            </w:r>
          </w:p>
        </w:tc>
      </w:tr>
      <w:tr>
        <w:trPr>
          <w:cantSplit/>
        </w:trPr>
        <w:tc>
          <w:tcPr>
            <w:tcW w:type="dxa" w:w="5638"/>
            <w:shd w:fill="F2F5FB" w:color="auto" w:val="clear"/>
            <w:tcMar>
              <w:top w:type="dxa" w:w="40"/>
              <w:left w:type="dxa" w:w="80"/>
              <w:bottom w:type="dxa" w:w="40"/>
              <w:right w:type="dxa" w:w="80"/>
            </w:tcMar>
          </w:tcPr>
          <w:p>
            <w:pPr>
              <w:spacing w:after="0" w:line="240"/>
            </w:pPr>
            <w:r>
              <w:rPr>
                <w:rFonts w:ascii="Calibri" w:cs="Calibri" w:eastAsia="Calibri" w:hAnsi="Calibri"/>
                <w:b/>
                <w:bCs/>
                <w:sz w:val="18"/>
                <w:szCs w:val="18"/>
              </w:rPr>
              <w:t xml:space="preserve">D3C4 — Cash coverage (cash / échéances)</w:t>
            </w:r>
          </w:p>
        </w:tc>
        <w:tc>
          <w:tcPr>
            <w:tcW w:type="dxa" w:w="1300"/>
            <w:shd w:fill="F2F5FB" w:color="auto" w:val="clear"/>
            <w:tcMar>
              <w:top w:type="dxa" w:w="40"/>
              <w:left w:type="dxa" w:w="80"/>
              <w:bottom w:type="dxa" w:w="40"/>
              <w:right w:type="dxa" w:w="80"/>
            </w:tcMar>
          </w:tcPr>
          <w:p>
            <w:pPr>
              <w:spacing w:after="0" w:line="240"/>
              <w:jc w:val="center"/>
            </w:pPr>
            <w:r>
              <w:rPr>
                <w:rFonts w:ascii="Calibri" w:cs="Calibri" w:eastAsia="Calibri" w:hAnsi="Calibri"/>
                <w:b w:val="false"/>
                <w:bCs w:val="false"/>
                <w:sz w:val="18"/>
                <w:szCs w:val="18"/>
              </w:rPr>
              <w:t xml:space="preserve">20 %</w:t>
            </w:r>
          </w:p>
        </w:tc>
        <w:tc>
          <w:tcPr>
            <w:tcW w:type="dxa" w:w="1300"/>
            <w:shd w:fill="F2F5FB" w:color="auto" w:val="clear"/>
            <w:tcMar>
              <w:top w:type="dxa" w:w="40"/>
              <w:left w:type="dxa" w:w="80"/>
              <w:bottom w:type="dxa" w:w="40"/>
              <w:right w:type="dxa" w:w="80"/>
            </w:tcMar>
          </w:tcPr>
          <w:p>
            <w:pPr>
              <w:spacing w:after="0" w:line="240"/>
              <w:jc w:val="center"/>
            </w:pPr>
            <w:r>
              <w:rPr>
                <w:rFonts w:ascii="Calibri" w:cs="Calibri" w:eastAsia="Calibri" w:hAnsi="Calibri"/>
                <w:b w:val="false"/>
                <w:bCs w:val="false"/>
                <w:sz w:val="18"/>
                <w:szCs w:val="18"/>
              </w:rPr>
              <w:t xml:space="preserve">20 %</w:t>
            </w:r>
          </w:p>
        </w:tc>
        <w:tc>
          <w:tcPr>
            <w:tcW w:type="dxa" w:w="1400"/>
            <w:shd w:fill="F2F5FB" w:color="auto" w:val="clear"/>
            <w:tcMar>
              <w:top w:type="dxa" w:w="40"/>
              <w:left w:type="dxa" w:w="80"/>
              <w:bottom w:type="dxa" w:w="40"/>
              <w:right w:type="dxa" w:w="80"/>
            </w:tcMar>
          </w:tcPr>
          <w:p>
            <w:pPr>
              <w:spacing w:after="0" w:line="240"/>
              <w:jc w:val="center"/>
            </w:pPr>
            <w:r>
              <w:rPr>
                <w:rFonts w:ascii="Calibri" w:cs="Calibri" w:eastAsia="Calibri" w:hAnsi="Calibri"/>
                <w:b w:val="false"/>
                <w:bCs w:val="false"/>
                <w:sz w:val="18"/>
                <w:szCs w:val="18"/>
              </w:rPr>
              <w:t xml:space="preserve">=</w:t>
            </w:r>
          </w:p>
        </w:tc>
      </w:tr>
      <w:tr>
        <w:trPr>
          <w:cantSplit/>
        </w:trPr>
        <w:tc>
          <w:tcPr>
            <w:tcW w:type="dxa" w:w="5638"/>
            <w:tcMar>
              <w:top w:type="dxa" w:w="40"/>
              <w:left w:type="dxa" w:w="80"/>
              <w:bottom w:type="dxa" w:w="40"/>
              <w:right w:type="dxa" w:w="80"/>
            </w:tcMar>
          </w:tcPr>
          <w:p>
            <w:pPr>
              <w:spacing w:after="0" w:line="240"/>
            </w:pPr>
            <w:r>
              <w:rPr>
                <w:rFonts w:ascii="Calibri" w:cs="Calibri" w:eastAsia="Calibri" w:hAnsi="Calibri"/>
                <w:b/>
                <w:bCs/>
                <w:sz w:val="18"/>
                <w:szCs w:val="18"/>
              </w:rPr>
              <w:t xml:space="preserve">D3C5 — Impasse brute</w:t>
            </w:r>
          </w:p>
        </w:tc>
        <w:tc>
          <w:tcPr>
            <w:tcW w:type="dxa" w:w="1300"/>
            <w:tcMar>
              <w:top w:type="dxa" w:w="40"/>
              <w:left w:type="dxa" w:w="80"/>
              <w:bottom w:type="dxa" w:w="40"/>
              <w:right w:type="dxa" w:w="80"/>
            </w:tcMar>
          </w:tcPr>
          <w:p>
            <w:pPr>
              <w:spacing w:after="0" w:line="240"/>
              <w:jc w:val="center"/>
            </w:pPr>
            <w:r>
              <w:rPr>
                <w:rFonts w:ascii="Calibri" w:cs="Calibri" w:eastAsia="Calibri" w:hAnsi="Calibri"/>
                <w:b w:val="false"/>
                <w:bCs w:val="false"/>
                <w:sz w:val="18"/>
                <w:szCs w:val="18"/>
              </w:rPr>
              <w:t xml:space="preserve">15 %</w:t>
            </w:r>
          </w:p>
        </w:tc>
        <w:tc>
          <w:tcPr>
            <w:tcW w:type="dxa" w:w="1300"/>
            <w:tcMar>
              <w:top w:type="dxa" w:w="40"/>
              <w:left w:type="dxa" w:w="80"/>
              <w:bottom w:type="dxa" w:w="40"/>
              <w:right w:type="dxa" w:w="80"/>
            </w:tcMar>
          </w:tcPr>
          <w:p>
            <w:pPr>
              <w:spacing w:after="0" w:line="240"/>
              <w:jc w:val="center"/>
            </w:pPr>
            <w:r>
              <w:rPr>
                <w:rFonts w:ascii="Calibri" w:cs="Calibri" w:eastAsia="Calibri" w:hAnsi="Calibri"/>
                <w:b w:val="false"/>
                <w:bCs w:val="false"/>
                <w:sz w:val="18"/>
                <w:szCs w:val="18"/>
              </w:rPr>
              <w:t xml:space="preserve">15 %</w:t>
            </w:r>
          </w:p>
        </w:tc>
        <w:tc>
          <w:tcPr>
            <w:tcW w:type="dxa" w:w="1400"/>
            <w:tcMar>
              <w:top w:type="dxa" w:w="40"/>
              <w:left w:type="dxa" w:w="80"/>
              <w:bottom w:type="dxa" w:w="40"/>
              <w:right w:type="dxa" w:w="80"/>
            </w:tcMar>
          </w:tcPr>
          <w:p>
            <w:pPr>
              <w:spacing w:after="0" w:line="240"/>
              <w:jc w:val="center"/>
            </w:pPr>
            <w:r>
              <w:rPr>
                <w:rFonts w:ascii="Calibri" w:cs="Calibri" w:eastAsia="Calibri" w:hAnsi="Calibri"/>
                <w:b w:val="false"/>
                <w:bCs w:val="false"/>
                <w:sz w:val="18"/>
                <w:szCs w:val="18"/>
              </w:rPr>
              <w:t xml:space="preserve">=</w:t>
            </w:r>
          </w:p>
        </w:tc>
      </w:tr>
      <w:tr>
        <w:trPr>
          <w:cantSplit/>
        </w:trPr>
        <w:tc>
          <w:tcPr>
            <w:tcW w:type="dxa" w:w="5638"/>
            <w:shd w:fill="F2F5FB" w:color="auto" w:val="clear"/>
            <w:tcMar>
              <w:top w:type="dxa" w:w="40"/>
              <w:left w:type="dxa" w:w="80"/>
              <w:bottom w:type="dxa" w:w="40"/>
              <w:right w:type="dxa" w:w="80"/>
            </w:tcMar>
          </w:tcPr>
          <w:p>
            <w:pPr>
              <w:spacing w:after="0" w:line="240"/>
            </w:pPr>
            <w:r>
              <w:rPr>
                <w:rFonts w:ascii="Calibri" w:cs="Calibri" w:eastAsia="Calibri" w:hAnsi="Calibri"/>
                <w:b/>
                <w:bCs/>
                <w:sz w:val="18"/>
                <w:szCs w:val="18"/>
              </w:rPr>
              <w:t xml:space="preserve">D3C6 — Rotation stock (mois)</w:t>
            </w:r>
          </w:p>
        </w:tc>
        <w:tc>
          <w:tcPr>
            <w:tcW w:type="dxa" w:w="1300"/>
            <w:shd w:fill="F2F5FB" w:color="auto" w:val="clear"/>
            <w:tcMar>
              <w:top w:type="dxa" w:w="40"/>
              <w:left w:type="dxa" w:w="80"/>
              <w:bottom w:type="dxa" w:w="40"/>
              <w:right w:type="dxa" w:w="80"/>
            </w:tcMar>
          </w:tcPr>
          <w:p>
            <w:pPr>
              <w:spacing w:after="0" w:line="240"/>
              <w:jc w:val="center"/>
            </w:pPr>
            <w:r>
              <w:rPr>
                <w:rFonts w:ascii="Calibri" w:cs="Calibri" w:eastAsia="Calibri" w:hAnsi="Calibri"/>
                <w:b w:val="false"/>
                <w:bCs w:val="false"/>
                <w:sz w:val="18"/>
                <w:szCs w:val="18"/>
              </w:rPr>
              <w:t xml:space="preserve">10 %</w:t>
            </w:r>
          </w:p>
        </w:tc>
        <w:tc>
          <w:tcPr>
            <w:tcW w:type="dxa" w:w="1300"/>
            <w:shd w:fill="F2F5FB" w:color="auto" w:val="clear"/>
            <w:tcMar>
              <w:top w:type="dxa" w:w="40"/>
              <w:left w:type="dxa" w:w="80"/>
              <w:bottom w:type="dxa" w:w="40"/>
              <w:right w:type="dxa" w:w="80"/>
            </w:tcMar>
          </w:tcPr>
          <w:p>
            <w:pPr>
              <w:spacing w:after="0" w:line="240"/>
              <w:jc w:val="center"/>
            </w:pPr>
            <w:r>
              <w:rPr>
                <w:rFonts w:ascii="Calibri" w:cs="Calibri" w:eastAsia="Calibri" w:hAnsi="Calibri"/>
                <w:b w:val="false"/>
                <w:bCs w:val="false"/>
                <w:sz w:val="18"/>
                <w:szCs w:val="18"/>
              </w:rPr>
              <w:t xml:space="preserve">5 %</w:t>
            </w:r>
          </w:p>
        </w:tc>
        <w:tc>
          <w:tcPr>
            <w:tcW w:type="dxa" w:w="1400"/>
            <w:shd w:fill="F2F5FB" w:color="auto" w:val="clear"/>
            <w:tcMar>
              <w:top w:type="dxa" w:w="40"/>
              <w:left w:type="dxa" w:w="80"/>
              <w:bottom w:type="dxa" w:w="40"/>
              <w:right w:type="dxa" w:w="80"/>
            </w:tcMar>
          </w:tcPr>
          <w:p>
            <w:pPr>
              <w:spacing w:after="0" w:line="240"/>
              <w:jc w:val="center"/>
            </w:pPr>
            <w:r>
              <w:rPr>
                <w:rFonts w:ascii="Calibri" w:cs="Calibri" w:eastAsia="Calibri" w:hAnsi="Calibri"/>
                <w:b w:val="false"/>
                <w:bCs w:val="false"/>
                <w:sz w:val="18"/>
                <w:szCs w:val="18"/>
              </w:rPr>
              <w:t xml:space="preserve">−5 pt</w:t>
            </w:r>
          </w:p>
        </w:tc>
      </w:tr>
      <w:tr>
        <w:trPr>
          <w:cantSplit/>
        </w:trPr>
        <w:tc>
          <w:tcPr>
            <w:tcW w:type="dxa" w:w="5638"/>
            <w:tcMar>
              <w:top w:type="dxa" w:w="40"/>
              <w:left w:type="dxa" w:w="80"/>
              <w:bottom w:type="dxa" w:w="40"/>
              <w:right w:type="dxa" w:w="80"/>
            </w:tcMar>
          </w:tcPr>
          <w:p>
            <w:pPr>
              <w:spacing w:after="0" w:line="240"/>
            </w:pPr>
            <w:r>
              <w:rPr>
                <w:rFonts w:ascii="Calibri" w:cs="Calibri" w:eastAsia="Calibri" w:hAnsi="Calibri"/>
                <w:b/>
                <w:bCs/>
                <w:sz w:val="18"/>
                <w:szCs w:val="18"/>
              </w:rPr>
              <w:t xml:space="preserve">D3C7 — Marge brute stressée (prix -10%)</w:t>
            </w:r>
          </w:p>
        </w:tc>
        <w:tc>
          <w:tcPr>
            <w:tcW w:type="dxa" w:w="1300"/>
            <w:tcMar>
              <w:top w:type="dxa" w:w="40"/>
              <w:left w:type="dxa" w:w="80"/>
              <w:bottom w:type="dxa" w:w="40"/>
              <w:right w:type="dxa" w:w="80"/>
            </w:tcMar>
          </w:tcPr>
          <w:p>
            <w:pPr>
              <w:spacing w:after="0" w:line="240"/>
              <w:jc w:val="center"/>
            </w:pPr>
            <w:r>
              <w:rPr>
                <w:rFonts w:ascii="Calibri" w:cs="Calibri" w:eastAsia="Calibri" w:hAnsi="Calibri"/>
                <w:b w:val="false"/>
                <w:bCs w:val="false"/>
                <w:sz w:val="18"/>
                <w:szCs w:val="18"/>
              </w:rPr>
              <w:t xml:space="preserve">10 %</w:t>
            </w:r>
          </w:p>
        </w:tc>
        <w:tc>
          <w:tcPr>
            <w:tcW w:type="dxa" w:w="1300"/>
            <w:tcMar>
              <w:top w:type="dxa" w:w="40"/>
              <w:left w:type="dxa" w:w="80"/>
              <w:bottom w:type="dxa" w:w="40"/>
              <w:right w:type="dxa" w:w="80"/>
            </w:tcMar>
          </w:tcPr>
          <w:p>
            <w:pPr>
              <w:spacing w:after="0" w:line="240"/>
              <w:jc w:val="center"/>
            </w:pPr>
            <w:r>
              <w:rPr>
                <w:rFonts w:ascii="Calibri" w:cs="Calibri" w:eastAsia="Calibri" w:hAnsi="Calibri"/>
                <w:b w:val="false"/>
                <w:bCs w:val="false"/>
                <w:sz w:val="18"/>
                <w:szCs w:val="18"/>
              </w:rPr>
              <w:t xml:space="preserve">10 %</w:t>
            </w:r>
          </w:p>
        </w:tc>
        <w:tc>
          <w:tcPr>
            <w:tcW w:type="dxa" w:w="1400"/>
            <w:tcMar>
              <w:top w:type="dxa" w:w="40"/>
              <w:left w:type="dxa" w:w="80"/>
              <w:bottom w:type="dxa" w:w="40"/>
              <w:right w:type="dxa" w:w="80"/>
            </w:tcMar>
          </w:tcPr>
          <w:p>
            <w:pPr>
              <w:spacing w:after="0" w:line="240"/>
              <w:jc w:val="center"/>
            </w:pPr>
            <w:r>
              <w:rPr>
                <w:rFonts w:ascii="Calibri" w:cs="Calibri" w:eastAsia="Calibri" w:hAnsi="Calibri"/>
                <w:b w:val="false"/>
                <w:bCs w:val="false"/>
                <w:sz w:val="18"/>
                <w:szCs w:val="18"/>
              </w:rPr>
              <w:t xml:space="preserve">=</w:t>
            </w:r>
          </w:p>
        </w:tc>
      </w:tr>
      <w:tr>
        <w:trPr>
          <w:cantSplit/>
        </w:trPr>
        <w:tc>
          <w:tcPr>
            <w:tcW w:type="dxa" w:w="5638"/>
            <w:shd w:fill="F2F5FB" w:color="auto" w:val="clear"/>
            <w:tcMar>
              <w:top w:type="dxa" w:w="40"/>
              <w:left w:type="dxa" w:w="80"/>
              <w:bottom w:type="dxa" w:w="40"/>
              <w:right w:type="dxa" w:w="80"/>
            </w:tcMar>
          </w:tcPr>
          <w:p>
            <w:pPr>
              <w:spacing w:after="0" w:line="240"/>
            </w:pPr>
            <w:r>
              <w:rPr>
                <w:rFonts w:ascii="Calibri" w:cs="Calibri" w:eastAsia="Calibri" w:hAnsi="Calibri"/>
                <w:b/>
                <w:bCs/>
                <w:sz w:val="18"/>
                <w:szCs w:val="18"/>
              </w:rPr>
              <w:t xml:space="preserve">D3C8 — Ventes sécurisées (financement acquéreur)</w:t>
            </w:r>
          </w:p>
        </w:tc>
        <w:tc>
          <w:tcPr>
            <w:tcW w:type="dxa" w:w="1300"/>
            <w:shd w:fill="F2F5FB" w:color="auto" w:val="clear"/>
            <w:tcMar>
              <w:top w:type="dxa" w:w="40"/>
              <w:left w:type="dxa" w:w="80"/>
              <w:bottom w:type="dxa" w:w="40"/>
              <w:right w:type="dxa" w:w="80"/>
            </w:tcMar>
          </w:tcPr>
          <w:p>
            <w:pPr>
              <w:spacing w:after="0" w:line="240"/>
              <w:jc w:val="center"/>
            </w:pPr>
            <w:r>
              <w:rPr>
                <w:rFonts w:ascii="Calibri" w:cs="Calibri" w:eastAsia="Calibri" w:hAnsi="Calibri"/>
                <w:b w:val="false"/>
                <w:bCs w:val="false"/>
                <w:sz w:val="18"/>
                <w:szCs w:val="18"/>
              </w:rPr>
              <w:t xml:space="preserve">10 %</w:t>
            </w:r>
          </w:p>
        </w:tc>
        <w:tc>
          <w:tcPr>
            <w:tcW w:type="dxa" w:w="1300"/>
            <w:shd w:fill="F2F5FB" w:color="auto" w:val="clear"/>
            <w:tcMar>
              <w:top w:type="dxa" w:w="40"/>
              <w:left w:type="dxa" w:w="80"/>
              <w:bottom w:type="dxa" w:w="40"/>
              <w:right w:type="dxa" w:w="80"/>
            </w:tcMar>
          </w:tcPr>
          <w:p>
            <w:pPr>
              <w:spacing w:after="0" w:line="240"/>
              <w:jc w:val="center"/>
            </w:pPr>
            <w:r>
              <w:rPr>
                <w:rFonts w:ascii="Calibri" w:cs="Calibri" w:eastAsia="Calibri" w:hAnsi="Calibri"/>
                <w:b w:val="false"/>
                <w:bCs w:val="false"/>
                <w:sz w:val="18"/>
                <w:szCs w:val="18"/>
              </w:rPr>
              <w:t xml:space="preserve">5 %</w:t>
            </w:r>
          </w:p>
        </w:tc>
        <w:tc>
          <w:tcPr>
            <w:tcW w:type="dxa" w:w="1400"/>
            <w:shd w:fill="F2F5FB" w:color="auto" w:val="clear"/>
            <w:tcMar>
              <w:top w:type="dxa" w:w="40"/>
              <w:left w:type="dxa" w:w="80"/>
              <w:bottom w:type="dxa" w:w="40"/>
              <w:right w:type="dxa" w:w="80"/>
            </w:tcMar>
          </w:tcPr>
          <w:p>
            <w:pPr>
              <w:spacing w:after="0" w:line="240"/>
              <w:jc w:val="center"/>
            </w:pPr>
            <w:r>
              <w:rPr>
                <w:rFonts w:ascii="Calibri" w:cs="Calibri" w:eastAsia="Calibri" w:hAnsi="Calibri"/>
                <w:b w:val="false"/>
                <w:bCs w:val="false"/>
                <w:sz w:val="18"/>
                <w:szCs w:val="18"/>
              </w:rPr>
              <w:t xml:space="preserve">−5 pt</w:t>
            </w:r>
          </w:p>
        </w:tc>
      </w:tr>
      <w:tr>
        <w:trPr>
          <w:cantSplit/>
        </w:trPr>
        <w:tc>
          <w:tcPr>
            <w:tcW w:type="dxa" w:w="5638"/>
            <w:tcMar>
              <w:top w:type="dxa" w:w="40"/>
              <w:left w:type="dxa" w:w="80"/>
              <w:bottom w:type="dxa" w:w="40"/>
              <w:right w:type="dxa" w:w="80"/>
            </w:tcMar>
          </w:tcPr>
          <w:p>
            <w:pPr>
              <w:spacing w:after="0" w:line="240"/>
            </w:pPr>
            <w:r>
              <w:rPr>
                <w:rFonts w:ascii="Calibri" w:cs="Calibri" w:eastAsia="Calibri" w:hAnsi="Calibri"/>
                <w:b/>
                <w:bCs/>
                <w:sz w:val="18"/>
                <w:szCs w:val="18"/>
              </w:rPr>
              <w:t xml:space="preserve">D3C9 — Part du CA en produits à écoulement lent</w:t>
            </w:r>
          </w:p>
        </w:tc>
        <w:tc>
          <w:tcPr>
            <w:tcW w:type="dxa" w:w="1300"/>
            <w:tcMar>
              <w:top w:type="dxa" w:w="40"/>
              <w:left w:type="dxa" w:w="80"/>
              <w:bottom w:type="dxa" w:w="40"/>
              <w:right w:type="dxa" w:w="80"/>
            </w:tcMar>
          </w:tcPr>
          <w:p>
            <w:pPr>
              <w:spacing w:after="0" w:line="240"/>
              <w:jc w:val="center"/>
            </w:pPr>
            <w:r>
              <w:rPr>
                <w:rFonts w:ascii="Calibri" w:cs="Calibri" w:eastAsia="Calibri" w:hAnsi="Calibri"/>
                <w:b w:val="false"/>
                <w:bCs w:val="false"/>
                <w:color w:val="2E7D32"/>
                <w:sz w:val="18"/>
                <w:szCs w:val="18"/>
              </w:rPr>
              <w:t xml:space="preserve">nouveau</w:t>
            </w:r>
          </w:p>
        </w:tc>
        <w:tc>
          <w:tcPr>
            <w:tcW w:type="dxa" w:w="1300"/>
            <w:tcMar>
              <w:top w:type="dxa" w:w="40"/>
              <w:left w:type="dxa" w:w="80"/>
              <w:bottom w:type="dxa" w:w="40"/>
              <w:right w:type="dxa" w:w="80"/>
            </w:tcMar>
          </w:tcPr>
          <w:p>
            <w:pPr>
              <w:spacing w:after="0" w:line="240"/>
              <w:jc w:val="center"/>
            </w:pPr>
            <w:r>
              <w:rPr>
                <w:rFonts w:ascii="Calibri" w:cs="Calibri" w:eastAsia="Calibri" w:hAnsi="Calibri"/>
                <w:b w:val="false"/>
                <w:bCs w:val="false"/>
                <w:sz w:val="18"/>
                <w:szCs w:val="18"/>
              </w:rPr>
              <w:t xml:space="preserve">5 %</w:t>
            </w:r>
          </w:p>
        </w:tc>
        <w:tc>
          <w:tcPr>
            <w:tcW w:type="dxa" w:w="1400"/>
            <w:tcMar>
              <w:top w:type="dxa" w:w="40"/>
              <w:left w:type="dxa" w:w="80"/>
              <w:bottom w:type="dxa" w:w="40"/>
              <w:right w:type="dxa" w:w="80"/>
            </w:tcMar>
          </w:tcPr>
          <w:p>
            <w:pPr>
              <w:spacing w:after="0" w:line="240"/>
              <w:jc w:val="center"/>
            </w:pPr>
            <w:r>
              <w:rPr>
                <w:rFonts w:ascii="Calibri" w:cs="Calibri" w:eastAsia="Calibri" w:hAnsi="Calibri"/>
                <w:b w:val="false"/>
                <w:bCs w:val="false"/>
                <w:sz w:val="18"/>
                <w:szCs w:val="18"/>
              </w:rPr>
              <w:t xml:space="preserve">+5 %</w:t>
            </w:r>
          </w:p>
        </w:tc>
      </w:tr>
      <w:tr>
        <w:trPr>
          <w:cantSplit/>
        </w:trPr>
        <w:tc>
          <w:tcPr>
            <w:tcW w:type="dxa" w:w="5638"/>
            <w:shd w:fill="F2F5FB" w:color="auto" w:val="clear"/>
            <w:tcMar>
              <w:top w:type="dxa" w:w="40"/>
              <w:left w:type="dxa" w:w="80"/>
              <w:bottom w:type="dxa" w:w="40"/>
              <w:right w:type="dxa" w:w="80"/>
            </w:tcMar>
          </w:tcPr>
          <w:p>
            <w:pPr>
              <w:spacing w:after="0" w:line="240"/>
            </w:pPr>
            <w:r>
              <w:rPr>
                <w:rFonts w:ascii="Calibri" w:cs="Calibri" w:eastAsia="Calibri" w:hAnsi="Calibri"/>
                <w:b/>
                <w:bCs/>
                <w:sz w:val="18"/>
                <w:szCs w:val="18"/>
              </w:rPr>
              <w:t xml:space="preserve">D3C10 — Taux de désistement des réservations</w:t>
            </w:r>
          </w:p>
        </w:tc>
        <w:tc>
          <w:tcPr>
            <w:tcW w:type="dxa" w:w="1300"/>
            <w:shd w:fill="F2F5FB" w:color="auto" w:val="clear"/>
            <w:tcMar>
              <w:top w:type="dxa" w:w="40"/>
              <w:left w:type="dxa" w:w="80"/>
              <w:bottom w:type="dxa" w:w="40"/>
              <w:right w:type="dxa" w:w="80"/>
            </w:tcMar>
          </w:tcPr>
          <w:p>
            <w:pPr>
              <w:spacing w:after="0" w:line="240"/>
              <w:jc w:val="center"/>
            </w:pPr>
            <w:r>
              <w:rPr>
                <w:rFonts w:ascii="Calibri" w:cs="Calibri" w:eastAsia="Calibri" w:hAnsi="Calibri"/>
                <w:b w:val="false"/>
                <w:bCs w:val="false"/>
                <w:color w:val="2E7D32"/>
                <w:sz w:val="18"/>
                <w:szCs w:val="18"/>
              </w:rPr>
              <w:t xml:space="preserve">nouveau</w:t>
            </w:r>
          </w:p>
        </w:tc>
        <w:tc>
          <w:tcPr>
            <w:tcW w:type="dxa" w:w="1300"/>
            <w:shd w:fill="F2F5FB" w:color="auto" w:val="clear"/>
            <w:tcMar>
              <w:top w:type="dxa" w:w="40"/>
              <w:left w:type="dxa" w:w="80"/>
              <w:bottom w:type="dxa" w:w="40"/>
              <w:right w:type="dxa" w:w="80"/>
            </w:tcMar>
          </w:tcPr>
          <w:p>
            <w:pPr>
              <w:spacing w:after="0" w:line="240"/>
              <w:jc w:val="center"/>
            </w:pPr>
            <w:r>
              <w:rPr>
                <w:rFonts w:ascii="Calibri" w:cs="Calibri" w:eastAsia="Calibri" w:hAnsi="Calibri"/>
                <w:b w:val="false"/>
                <w:bCs w:val="false"/>
                <w:sz w:val="18"/>
                <w:szCs w:val="18"/>
              </w:rPr>
              <w:t xml:space="preserve">10 %</w:t>
            </w:r>
          </w:p>
        </w:tc>
        <w:tc>
          <w:tcPr>
            <w:tcW w:type="dxa" w:w="1400"/>
            <w:shd w:fill="F2F5FB" w:color="auto" w:val="clear"/>
            <w:tcMar>
              <w:top w:type="dxa" w:w="40"/>
              <w:left w:type="dxa" w:w="80"/>
              <w:bottom w:type="dxa" w:w="40"/>
              <w:right w:type="dxa" w:w="80"/>
            </w:tcMar>
          </w:tcPr>
          <w:p>
            <w:pPr>
              <w:spacing w:after="0" w:line="240"/>
              <w:jc w:val="center"/>
            </w:pPr>
            <w:r>
              <w:rPr>
                <w:rFonts w:ascii="Calibri" w:cs="Calibri" w:eastAsia="Calibri" w:hAnsi="Calibri"/>
                <w:b w:val="false"/>
                <w:bCs w:val="false"/>
                <w:sz w:val="18"/>
                <w:szCs w:val="18"/>
              </w:rPr>
              <w:t xml:space="preserve">+10 %</w:t>
            </w:r>
          </w:p>
        </w:tc>
      </w:tr>
    </w:tbl>
    <w:p>
      <w:pPr>
        <w:pStyle w:val="Heading2"/>
        <w:keepNext/>
      </w:pPr>
      <w:r>
        <w:t xml:space="preserve">D4 — Structuration financière &amp; LGD (24 % du score)</w:t>
      </w:r>
    </w:p>
    <w:tbl>
      <w:tblPr>
        <w:tblW w:type="dxa" w:w="9638"/>
        <w:tblBorders>
          <w:top w:val="single" w:color="AEB6C6" w:sz="2"/>
          <w:left w:val="single" w:color="AEB6C6" w:sz="2"/>
          <w:bottom w:val="single" w:color="AEB6C6" w:sz="2"/>
          <w:right w:val="single" w:color="AEB6C6" w:sz="2"/>
          <w:insideH w:val="single" w:color="D0D6E2" w:sz="1"/>
          <w:insideV w:val="single" w:color="D0D6E2" w:sz="1"/>
        </w:tblBorders>
      </w:tblPr>
      <w:tblGrid>
        <w:gridCol w:w="5638"/>
        <w:gridCol w:w="1300"/>
        <w:gridCol w:w="1300"/>
        <w:gridCol w:w="1400"/>
      </w:tblGrid>
      <w:tr>
        <w:trPr>
          <w:cantSplit/>
          <w:tblHeader/>
        </w:trPr>
        <w:tc>
          <w:tcPr>
            <w:tcW w:type="dxa" w:w="5638"/>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Critère</w:t>
            </w:r>
          </w:p>
        </w:tc>
        <w:tc>
          <w:tcPr>
            <w:tcW w:type="dxa" w:w="13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Poids v4</w:t>
            </w:r>
          </w:p>
        </w:tc>
        <w:tc>
          <w:tcPr>
            <w:tcW w:type="dxa" w:w="13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Poids v5</w:t>
            </w:r>
          </w:p>
        </w:tc>
        <w:tc>
          <w:tcPr>
            <w:tcW w:type="dxa" w:w="14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Écart</w:t>
            </w:r>
          </w:p>
        </w:tc>
      </w:tr>
      <w:tr>
        <w:trPr>
          <w:cantSplit/>
        </w:trPr>
        <w:tc>
          <w:tcPr>
            <w:tcW w:type="dxa" w:w="5638"/>
            <w:tcMar>
              <w:top w:type="dxa" w:w="40"/>
              <w:left w:type="dxa" w:w="80"/>
              <w:bottom w:type="dxa" w:w="40"/>
              <w:right w:type="dxa" w:w="80"/>
            </w:tcMar>
          </w:tcPr>
          <w:p>
            <w:pPr>
              <w:spacing w:after="0" w:line="240"/>
            </w:pPr>
            <w:r>
              <w:rPr>
                <w:rFonts w:ascii="Calibri" w:cs="Calibri" w:eastAsia="Calibri" w:hAnsi="Calibri"/>
                <w:b/>
                <w:bCs/>
                <w:sz w:val="18"/>
                <w:szCs w:val="18"/>
              </w:rPr>
              <w:t xml:space="preserve">D4C1 — Marge brute (CA - coûts directs)/CA</w:t>
            </w:r>
          </w:p>
        </w:tc>
        <w:tc>
          <w:tcPr>
            <w:tcW w:type="dxa" w:w="1300"/>
            <w:tcMar>
              <w:top w:type="dxa" w:w="40"/>
              <w:left w:type="dxa" w:w="80"/>
              <w:bottom w:type="dxa" w:w="40"/>
              <w:right w:type="dxa" w:w="80"/>
            </w:tcMar>
          </w:tcPr>
          <w:p>
            <w:pPr>
              <w:spacing w:after="0" w:line="240"/>
              <w:jc w:val="center"/>
            </w:pPr>
            <w:r>
              <w:rPr>
                <w:rFonts w:ascii="Calibri" w:cs="Calibri" w:eastAsia="Calibri" w:hAnsi="Calibri"/>
                <w:b w:val="false"/>
                <w:bCs w:val="false"/>
                <w:sz w:val="18"/>
                <w:szCs w:val="18"/>
              </w:rPr>
              <w:t xml:space="preserve">20 %</w:t>
            </w:r>
          </w:p>
        </w:tc>
        <w:tc>
          <w:tcPr>
            <w:tcW w:type="dxa" w:w="1300"/>
            <w:tcMar>
              <w:top w:type="dxa" w:w="40"/>
              <w:left w:type="dxa" w:w="80"/>
              <w:bottom w:type="dxa" w:w="40"/>
              <w:right w:type="dxa" w:w="80"/>
            </w:tcMar>
          </w:tcPr>
          <w:p>
            <w:pPr>
              <w:spacing w:after="0" w:line="240"/>
              <w:jc w:val="center"/>
            </w:pPr>
            <w:r>
              <w:rPr>
                <w:rFonts w:ascii="Calibri" w:cs="Calibri" w:eastAsia="Calibri" w:hAnsi="Calibri"/>
                <w:b w:val="false"/>
                <w:bCs w:val="false"/>
                <w:sz w:val="18"/>
                <w:szCs w:val="18"/>
              </w:rPr>
              <w:t xml:space="preserve">15 %</w:t>
            </w:r>
          </w:p>
        </w:tc>
        <w:tc>
          <w:tcPr>
            <w:tcW w:type="dxa" w:w="1400"/>
            <w:tcMar>
              <w:top w:type="dxa" w:w="40"/>
              <w:left w:type="dxa" w:w="80"/>
              <w:bottom w:type="dxa" w:w="40"/>
              <w:right w:type="dxa" w:w="80"/>
            </w:tcMar>
          </w:tcPr>
          <w:p>
            <w:pPr>
              <w:spacing w:after="0" w:line="240"/>
              <w:jc w:val="center"/>
            </w:pPr>
            <w:r>
              <w:rPr>
                <w:rFonts w:ascii="Calibri" w:cs="Calibri" w:eastAsia="Calibri" w:hAnsi="Calibri"/>
                <w:b w:val="false"/>
                <w:bCs w:val="false"/>
                <w:sz w:val="18"/>
                <w:szCs w:val="18"/>
              </w:rPr>
              <w:t xml:space="preserve">−5 pt</w:t>
            </w:r>
          </w:p>
        </w:tc>
      </w:tr>
      <w:tr>
        <w:trPr>
          <w:cantSplit/>
        </w:trPr>
        <w:tc>
          <w:tcPr>
            <w:tcW w:type="dxa" w:w="5638"/>
            <w:shd w:fill="F2F5FB" w:color="auto" w:val="clear"/>
            <w:tcMar>
              <w:top w:type="dxa" w:w="40"/>
              <w:left w:type="dxa" w:w="80"/>
              <w:bottom w:type="dxa" w:w="40"/>
              <w:right w:type="dxa" w:w="80"/>
            </w:tcMar>
          </w:tcPr>
          <w:p>
            <w:pPr>
              <w:spacing w:after="0" w:line="240"/>
            </w:pPr>
            <w:r>
              <w:rPr>
                <w:rFonts w:ascii="Calibri" w:cs="Calibri" w:eastAsia="Calibri" w:hAnsi="Calibri"/>
                <w:b/>
                <w:bCs/>
                <w:sz w:val="18"/>
                <w:szCs w:val="18"/>
              </w:rPr>
              <w:t xml:space="preserve">D4C2 — LTC (dette / coût total)</w:t>
            </w:r>
          </w:p>
        </w:tc>
        <w:tc>
          <w:tcPr>
            <w:tcW w:type="dxa" w:w="1300"/>
            <w:shd w:fill="F2F5FB" w:color="auto" w:val="clear"/>
            <w:tcMar>
              <w:top w:type="dxa" w:w="40"/>
              <w:left w:type="dxa" w:w="80"/>
              <w:bottom w:type="dxa" w:w="40"/>
              <w:right w:type="dxa" w:w="80"/>
            </w:tcMar>
          </w:tcPr>
          <w:p>
            <w:pPr>
              <w:spacing w:after="0" w:line="240"/>
              <w:jc w:val="center"/>
            </w:pPr>
            <w:r>
              <w:rPr>
                <w:rFonts w:ascii="Calibri" w:cs="Calibri" w:eastAsia="Calibri" w:hAnsi="Calibri"/>
                <w:b w:val="false"/>
                <w:bCs w:val="false"/>
                <w:sz w:val="18"/>
                <w:szCs w:val="18"/>
              </w:rPr>
              <w:t xml:space="preserve">15 %</w:t>
            </w:r>
          </w:p>
        </w:tc>
        <w:tc>
          <w:tcPr>
            <w:tcW w:type="dxa" w:w="1300"/>
            <w:shd w:fill="F2F5FB" w:color="auto" w:val="clear"/>
            <w:tcMar>
              <w:top w:type="dxa" w:w="40"/>
              <w:left w:type="dxa" w:w="80"/>
              <w:bottom w:type="dxa" w:w="40"/>
              <w:right w:type="dxa" w:w="80"/>
            </w:tcMar>
          </w:tcPr>
          <w:p>
            <w:pPr>
              <w:spacing w:after="0" w:line="240"/>
              <w:jc w:val="center"/>
            </w:pPr>
            <w:r>
              <w:rPr>
                <w:rFonts w:ascii="Calibri" w:cs="Calibri" w:eastAsia="Calibri" w:hAnsi="Calibri"/>
                <w:b w:val="false"/>
                <w:bCs w:val="false"/>
                <w:sz w:val="18"/>
                <w:szCs w:val="18"/>
              </w:rPr>
              <w:t xml:space="preserve">10 %</w:t>
            </w:r>
          </w:p>
        </w:tc>
        <w:tc>
          <w:tcPr>
            <w:tcW w:type="dxa" w:w="1400"/>
            <w:shd w:fill="F2F5FB" w:color="auto" w:val="clear"/>
            <w:tcMar>
              <w:top w:type="dxa" w:w="40"/>
              <w:left w:type="dxa" w:w="80"/>
              <w:bottom w:type="dxa" w:w="40"/>
              <w:right w:type="dxa" w:w="80"/>
            </w:tcMar>
          </w:tcPr>
          <w:p>
            <w:pPr>
              <w:spacing w:after="0" w:line="240"/>
              <w:jc w:val="center"/>
            </w:pPr>
            <w:r>
              <w:rPr>
                <w:rFonts w:ascii="Calibri" w:cs="Calibri" w:eastAsia="Calibri" w:hAnsi="Calibri"/>
                <w:b w:val="false"/>
                <w:bCs w:val="false"/>
                <w:sz w:val="18"/>
                <w:szCs w:val="18"/>
              </w:rPr>
              <w:t xml:space="preserve">−5 pt</w:t>
            </w:r>
          </w:p>
        </w:tc>
      </w:tr>
      <w:tr>
        <w:trPr>
          <w:cantSplit/>
        </w:trPr>
        <w:tc>
          <w:tcPr>
            <w:tcW w:type="dxa" w:w="5638"/>
            <w:tcMar>
              <w:top w:type="dxa" w:w="40"/>
              <w:left w:type="dxa" w:w="80"/>
              <w:bottom w:type="dxa" w:w="40"/>
              <w:right w:type="dxa" w:w="80"/>
            </w:tcMar>
          </w:tcPr>
          <w:p>
            <w:pPr>
              <w:spacing w:after="0" w:line="240"/>
            </w:pPr>
            <w:r>
              <w:rPr>
                <w:rFonts w:ascii="Calibri" w:cs="Calibri" w:eastAsia="Calibri" w:hAnsi="Calibri"/>
                <w:b/>
                <w:bCs/>
                <w:sz w:val="18"/>
                <w:szCs w:val="18"/>
              </w:rPr>
              <w:t xml:space="preserve">D4C3 — LTV stressée (dette / valeur×0,90)</w:t>
            </w:r>
          </w:p>
        </w:tc>
        <w:tc>
          <w:tcPr>
            <w:tcW w:type="dxa" w:w="1300"/>
            <w:tcMar>
              <w:top w:type="dxa" w:w="40"/>
              <w:left w:type="dxa" w:w="80"/>
              <w:bottom w:type="dxa" w:w="40"/>
              <w:right w:type="dxa" w:w="80"/>
            </w:tcMar>
          </w:tcPr>
          <w:p>
            <w:pPr>
              <w:spacing w:after="0" w:line="240"/>
              <w:jc w:val="center"/>
            </w:pPr>
            <w:r>
              <w:rPr>
                <w:rFonts w:ascii="Calibri" w:cs="Calibri" w:eastAsia="Calibri" w:hAnsi="Calibri"/>
                <w:b w:val="false"/>
                <w:bCs w:val="false"/>
                <w:sz w:val="18"/>
                <w:szCs w:val="18"/>
              </w:rPr>
              <w:t xml:space="preserve">20 %</w:t>
            </w:r>
          </w:p>
        </w:tc>
        <w:tc>
          <w:tcPr>
            <w:tcW w:type="dxa" w:w="1300"/>
            <w:tcMar>
              <w:top w:type="dxa" w:w="40"/>
              <w:left w:type="dxa" w:w="80"/>
              <w:bottom w:type="dxa" w:w="40"/>
              <w:right w:type="dxa" w:w="80"/>
            </w:tcMar>
          </w:tcPr>
          <w:p>
            <w:pPr>
              <w:spacing w:after="0" w:line="240"/>
              <w:jc w:val="center"/>
            </w:pPr>
            <w:r>
              <w:rPr>
                <w:rFonts w:ascii="Calibri" w:cs="Calibri" w:eastAsia="Calibri" w:hAnsi="Calibri"/>
                <w:b w:val="false"/>
                <w:bCs w:val="false"/>
                <w:sz w:val="18"/>
                <w:szCs w:val="18"/>
              </w:rPr>
              <w:t xml:space="preserve">20 %</w:t>
            </w:r>
          </w:p>
        </w:tc>
        <w:tc>
          <w:tcPr>
            <w:tcW w:type="dxa" w:w="1400"/>
            <w:tcMar>
              <w:top w:type="dxa" w:w="40"/>
              <w:left w:type="dxa" w:w="80"/>
              <w:bottom w:type="dxa" w:w="40"/>
              <w:right w:type="dxa" w:w="80"/>
            </w:tcMar>
          </w:tcPr>
          <w:p>
            <w:pPr>
              <w:spacing w:after="0" w:line="240"/>
              <w:jc w:val="center"/>
            </w:pPr>
            <w:r>
              <w:rPr>
                <w:rFonts w:ascii="Calibri" w:cs="Calibri" w:eastAsia="Calibri" w:hAnsi="Calibri"/>
                <w:b w:val="false"/>
                <w:bCs w:val="false"/>
                <w:sz w:val="18"/>
                <w:szCs w:val="18"/>
              </w:rPr>
              <w:t xml:space="preserve">=</w:t>
            </w:r>
          </w:p>
        </w:tc>
      </w:tr>
      <w:tr>
        <w:trPr>
          <w:cantSplit/>
        </w:trPr>
        <w:tc>
          <w:tcPr>
            <w:tcW w:type="dxa" w:w="5638"/>
            <w:shd w:fill="F2F5FB" w:color="auto" w:val="clear"/>
            <w:tcMar>
              <w:top w:type="dxa" w:w="40"/>
              <w:left w:type="dxa" w:w="80"/>
              <w:bottom w:type="dxa" w:w="40"/>
              <w:right w:type="dxa" w:w="80"/>
            </w:tcMar>
          </w:tcPr>
          <w:p>
            <w:pPr>
              <w:spacing w:after="0" w:line="240"/>
            </w:pPr>
            <w:r>
              <w:rPr>
                <w:rFonts w:ascii="Calibri" w:cs="Calibri" w:eastAsia="Calibri" w:hAnsi="Calibri"/>
                <w:b/>
                <w:bCs/>
                <w:sz w:val="18"/>
                <w:szCs w:val="18"/>
              </w:rPr>
              <w:t xml:space="preserve">D4C4 — Couverture garanties réalisable</w:t>
            </w:r>
          </w:p>
        </w:tc>
        <w:tc>
          <w:tcPr>
            <w:tcW w:type="dxa" w:w="1300"/>
            <w:shd w:fill="F2F5FB" w:color="auto" w:val="clear"/>
            <w:tcMar>
              <w:top w:type="dxa" w:w="40"/>
              <w:left w:type="dxa" w:w="80"/>
              <w:bottom w:type="dxa" w:w="40"/>
              <w:right w:type="dxa" w:w="80"/>
            </w:tcMar>
          </w:tcPr>
          <w:p>
            <w:pPr>
              <w:spacing w:after="0" w:line="240"/>
              <w:jc w:val="center"/>
            </w:pPr>
            <w:r>
              <w:rPr>
                <w:rFonts w:ascii="Calibri" w:cs="Calibri" w:eastAsia="Calibri" w:hAnsi="Calibri"/>
                <w:b w:val="false"/>
                <w:bCs w:val="false"/>
                <w:sz w:val="18"/>
                <w:szCs w:val="18"/>
              </w:rPr>
              <w:t xml:space="preserve">15 %</w:t>
            </w:r>
          </w:p>
        </w:tc>
        <w:tc>
          <w:tcPr>
            <w:tcW w:type="dxa" w:w="1300"/>
            <w:shd w:fill="F2F5FB" w:color="auto" w:val="clear"/>
            <w:tcMar>
              <w:top w:type="dxa" w:w="40"/>
              <w:left w:type="dxa" w:w="80"/>
              <w:bottom w:type="dxa" w:w="40"/>
              <w:right w:type="dxa" w:w="80"/>
            </w:tcMar>
          </w:tcPr>
          <w:p>
            <w:pPr>
              <w:spacing w:after="0" w:line="240"/>
              <w:jc w:val="center"/>
            </w:pPr>
            <w:r>
              <w:rPr>
                <w:rFonts w:ascii="Calibri" w:cs="Calibri" w:eastAsia="Calibri" w:hAnsi="Calibri"/>
                <w:b w:val="false"/>
                <w:bCs w:val="false"/>
                <w:sz w:val="18"/>
                <w:szCs w:val="18"/>
              </w:rPr>
              <w:t xml:space="preserve">10 %</w:t>
            </w:r>
          </w:p>
        </w:tc>
        <w:tc>
          <w:tcPr>
            <w:tcW w:type="dxa" w:w="1400"/>
            <w:shd w:fill="F2F5FB" w:color="auto" w:val="clear"/>
            <w:tcMar>
              <w:top w:type="dxa" w:w="40"/>
              <w:left w:type="dxa" w:w="80"/>
              <w:bottom w:type="dxa" w:w="40"/>
              <w:right w:type="dxa" w:w="80"/>
            </w:tcMar>
          </w:tcPr>
          <w:p>
            <w:pPr>
              <w:spacing w:after="0" w:line="240"/>
              <w:jc w:val="center"/>
            </w:pPr>
            <w:r>
              <w:rPr>
                <w:rFonts w:ascii="Calibri" w:cs="Calibri" w:eastAsia="Calibri" w:hAnsi="Calibri"/>
                <w:b w:val="false"/>
                <w:bCs w:val="false"/>
                <w:sz w:val="18"/>
                <w:szCs w:val="18"/>
              </w:rPr>
              <w:t xml:space="preserve">−5 pt</w:t>
            </w:r>
          </w:p>
        </w:tc>
      </w:tr>
      <w:tr>
        <w:trPr>
          <w:cantSplit/>
        </w:trPr>
        <w:tc>
          <w:tcPr>
            <w:tcW w:type="dxa" w:w="5638"/>
            <w:tcMar>
              <w:top w:type="dxa" w:w="40"/>
              <w:left w:type="dxa" w:w="80"/>
              <w:bottom w:type="dxa" w:w="40"/>
              <w:right w:type="dxa" w:w="80"/>
            </w:tcMar>
          </w:tcPr>
          <w:p>
            <w:pPr>
              <w:spacing w:after="0" w:line="240"/>
            </w:pPr>
            <w:r>
              <w:rPr>
                <w:rFonts w:ascii="Calibri" w:cs="Calibri" w:eastAsia="Calibri" w:hAnsi="Calibri"/>
                <w:b/>
                <w:bCs/>
                <w:sz w:val="18"/>
                <w:szCs w:val="18"/>
              </w:rPr>
              <w:t xml:space="preserve">D4C5 — Rang bancaire 1er rang</w:t>
            </w:r>
          </w:p>
        </w:tc>
        <w:tc>
          <w:tcPr>
            <w:tcW w:type="dxa" w:w="1300"/>
            <w:tcMar>
              <w:top w:type="dxa" w:w="40"/>
              <w:left w:type="dxa" w:w="80"/>
              <w:bottom w:type="dxa" w:w="40"/>
              <w:right w:type="dxa" w:w="80"/>
            </w:tcMar>
          </w:tcPr>
          <w:p>
            <w:pPr>
              <w:spacing w:after="0" w:line="240"/>
              <w:jc w:val="center"/>
            </w:pPr>
            <w:r>
              <w:rPr>
                <w:rFonts w:ascii="Calibri" w:cs="Calibri" w:eastAsia="Calibri" w:hAnsi="Calibri"/>
                <w:b w:val="false"/>
                <w:bCs w:val="false"/>
                <w:sz w:val="18"/>
                <w:szCs w:val="18"/>
              </w:rPr>
              <w:t xml:space="preserve">10 %</w:t>
            </w:r>
          </w:p>
        </w:tc>
        <w:tc>
          <w:tcPr>
            <w:tcW w:type="dxa" w:w="1300"/>
            <w:tcMar>
              <w:top w:type="dxa" w:w="40"/>
              <w:left w:type="dxa" w:w="80"/>
              <w:bottom w:type="dxa" w:w="40"/>
              <w:right w:type="dxa" w:w="80"/>
            </w:tcMar>
          </w:tcPr>
          <w:p>
            <w:pPr>
              <w:spacing w:after="0" w:line="240"/>
              <w:jc w:val="center"/>
            </w:pPr>
            <w:r>
              <w:rPr>
                <w:rFonts w:ascii="Calibri" w:cs="Calibri" w:eastAsia="Calibri" w:hAnsi="Calibri"/>
                <w:b w:val="false"/>
                <w:bCs w:val="false"/>
                <w:sz w:val="18"/>
                <w:szCs w:val="18"/>
              </w:rPr>
              <w:t xml:space="preserve">10 %</w:t>
            </w:r>
          </w:p>
        </w:tc>
        <w:tc>
          <w:tcPr>
            <w:tcW w:type="dxa" w:w="1400"/>
            <w:tcMar>
              <w:top w:type="dxa" w:w="40"/>
              <w:left w:type="dxa" w:w="80"/>
              <w:bottom w:type="dxa" w:w="40"/>
              <w:right w:type="dxa" w:w="80"/>
            </w:tcMar>
          </w:tcPr>
          <w:p>
            <w:pPr>
              <w:spacing w:after="0" w:line="240"/>
              <w:jc w:val="center"/>
            </w:pPr>
            <w:r>
              <w:rPr>
                <w:rFonts w:ascii="Calibri" w:cs="Calibri" w:eastAsia="Calibri" w:hAnsi="Calibri"/>
                <w:b w:val="false"/>
                <w:bCs w:val="false"/>
                <w:sz w:val="18"/>
                <w:szCs w:val="18"/>
              </w:rPr>
              <w:t xml:space="preserve">=</w:t>
            </w:r>
          </w:p>
        </w:tc>
      </w:tr>
      <w:tr>
        <w:trPr>
          <w:cantSplit/>
        </w:trPr>
        <w:tc>
          <w:tcPr>
            <w:tcW w:type="dxa" w:w="5638"/>
            <w:shd w:fill="F2F5FB" w:color="auto" w:val="clear"/>
            <w:tcMar>
              <w:top w:type="dxa" w:w="40"/>
              <w:left w:type="dxa" w:w="80"/>
              <w:bottom w:type="dxa" w:w="40"/>
              <w:right w:type="dxa" w:w="80"/>
            </w:tcMar>
          </w:tcPr>
          <w:p>
            <w:pPr>
              <w:spacing w:after="0" w:line="240"/>
            </w:pPr>
            <w:r>
              <w:rPr>
                <w:rFonts w:ascii="Calibri" w:cs="Calibri" w:eastAsia="Calibri" w:hAnsi="Calibri"/>
                <w:b/>
                <w:bCs/>
                <w:sz w:val="18"/>
                <w:szCs w:val="18"/>
              </w:rPr>
              <w:t xml:space="preserve">D4C6 — Interest coverage (EBITDA / charges fin.)</w:t>
            </w:r>
          </w:p>
        </w:tc>
        <w:tc>
          <w:tcPr>
            <w:tcW w:type="dxa" w:w="1300"/>
            <w:shd w:fill="F2F5FB" w:color="auto" w:val="clear"/>
            <w:tcMar>
              <w:top w:type="dxa" w:w="40"/>
              <w:left w:type="dxa" w:w="80"/>
              <w:bottom w:type="dxa" w:w="40"/>
              <w:right w:type="dxa" w:w="80"/>
            </w:tcMar>
          </w:tcPr>
          <w:p>
            <w:pPr>
              <w:spacing w:after="0" w:line="240"/>
              <w:jc w:val="center"/>
            </w:pPr>
            <w:r>
              <w:rPr>
                <w:rFonts w:ascii="Calibri" w:cs="Calibri" w:eastAsia="Calibri" w:hAnsi="Calibri"/>
                <w:b w:val="false"/>
                <w:bCs w:val="false"/>
                <w:sz w:val="18"/>
                <w:szCs w:val="18"/>
              </w:rPr>
              <w:t xml:space="preserve">15 %</w:t>
            </w:r>
          </w:p>
        </w:tc>
        <w:tc>
          <w:tcPr>
            <w:tcW w:type="dxa" w:w="1300"/>
            <w:shd w:fill="F2F5FB" w:color="auto" w:val="clear"/>
            <w:tcMar>
              <w:top w:type="dxa" w:w="40"/>
              <w:left w:type="dxa" w:w="80"/>
              <w:bottom w:type="dxa" w:w="40"/>
              <w:right w:type="dxa" w:w="80"/>
            </w:tcMar>
          </w:tcPr>
          <w:p>
            <w:pPr>
              <w:spacing w:after="0" w:line="240"/>
              <w:jc w:val="center"/>
            </w:pPr>
            <w:r>
              <w:rPr>
                <w:rFonts w:ascii="Calibri" w:cs="Calibri" w:eastAsia="Calibri" w:hAnsi="Calibri"/>
                <w:b w:val="false"/>
                <w:bCs w:val="false"/>
                <w:sz w:val="18"/>
                <w:szCs w:val="18"/>
              </w:rPr>
              <w:t xml:space="preserve">10 %</w:t>
            </w:r>
          </w:p>
        </w:tc>
        <w:tc>
          <w:tcPr>
            <w:tcW w:type="dxa" w:w="1400"/>
            <w:shd w:fill="F2F5FB" w:color="auto" w:val="clear"/>
            <w:tcMar>
              <w:top w:type="dxa" w:w="40"/>
              <w:left w:type="dxa" w:w="80"/>
              <w:bottom w:type="dxa" w:w="40"/>
              <w:right w:type="dxa" w:w="80"/>
            </w:tcMar>
          </w:tcPr>
          <w:p>
            <w:pPr>
              <w:spacing w:after="0" w:line="240"/>
              <w:jc w:val="center"/>
            </w:pPr>
            <w:r>
              <w:rPr>
                <w:rFonts w:ascii="Calibri" w:cs="Calibri" w:eastAsia="Calibri" w:hAnsi="Calibri"/>
                <w:b w:val="false"/>
                <w:bCs w:val="false"/>
                <w:sz w:val="18"/>
                <w:szCs w:val="18"/>
              </w:rPr>
              <w:t xml:space="preserve">−5 pt</w:t>
            </w:r>
          </w:p>
        </w:tc>
      </w:tr>
      <w:tr>
        <w:trPr>
          <w:cantSplit/>
        </w:trPr>
        <w:tc>
          <w:tcPr>
            <w:tcW w:type="dxa" w:w="5638"/>
            <w:tcMar>
              <w:top w:type="dxa" w:w="40"/>
              <w:left w:type="dxa" w:w="80"/>
              <w:bottom w:type="dxa" w:w="40"/>
              <w:right w:type="dxa" w:w="80"/>
            </w:tcMar>
          </w:tcPr>
          <w:p>
            <w:pPr>
              <w:spacing w:after="0" w:line="240"/>
            </w:pPr>
            <w:r>
              <w:rPr>
                <w:rFonts w:ascii="Calibri" w:cs="Calibri" w:eastAsia="Calibri" w:hAnsi="Calibri"/>
                <w:b/>
                <w:bCs/>
                <w:sz w:val="18"/>
                <w:szCs w:val="18"/>
              </w:rPr>
              <w:t xml:space="preserve">D4C7 — Quotité de désengagement vs équilibre</w:t>
            </w:r>
          </w:p>
        </w:tc>
        <w:tc>
          <w:tcPr>
            <w:tcW w:type="dxa" w:w="1300"/>
            <w:tcMar>
              <w:top w:type="dxa" w:w="40"/>
              <w:left w:type="dxa" w:w="80"/>
              <w:bottom w:type="dxa" w:w="40"/>
              <w:right w:type="dxa" w:w="80"/>
            </w:tcMar>
          </w:tcPr>
          <w:p>
            <w:pPr>
              <w:spacing w:after="0" w:line="240"/>
              <w:jc w:val="center"/>
            </w:pPr>
            <w:r>
              <w:rPr>
                <w:rFonts w:ascii="Calibri" w:cs="Calibri" w:eastAsia="Calibri" w:hAnsi="Calibri"/>
                <w:b w:val="false"/>
                <w:bCs w:val="false"/>
                <w:sz w:val="18"/>
                <w:szCs w:val="18"/>
              </w:rPr>
              <w:t xml:space="preserve">5 %</w:t>
            </w:r>
          </w:p>
        </w:tc>
        <w:tc>
          <w:tcPr>
            <w:tcW w:type="dxa" w:w="1300"/>
            <w:tcMar>
              <w:top w:type="dxa" w:w="40"/>
              <w:left w:type="dxa" w:w="80"/>
              <w:bottom w:type="dxa" w:w="40"/>
              <w:right w:type="dxa" w:w="80"/>
            </w:tcMar>
          </w:tcPr>
          <w:p>
            <w:pPr>
              <w:spacing w:after="0" w:line="240"/>
              <w:jc w:val="center"/>
            </w:pPr>
            <w:r>
              <w:rPr>
                <w:rFonts w:ascii="Calibri" w:cs="Calibri" w:eastAsia="Calibri" w:hAnsi="Calibri"/>
                <w:b w:val="false"/>
                <w:bCs w:val="false"/>
                <w:sz w:val="18"/>
                <w:szCs w:val="18"/>
              </w:rPr>
              <w:t xml:space="preserve">5 %</w:t>
            </w:r>
          </w:p>
        </w:tc>
        <w:tc>
          <w:tcPr>
            <w:tcW w:type="dxa" w:w="1400"/>
            <w:tcMar>
              <w:top w:type="dxa" w:w="40"/>
              <w:left w:type="dxa" w:w="80"/>
              <w:bottom w:type="dxa" w:w="40"/>
              <w:right w:type="dxa" w:w="80"/>
            </w:tcMar>
          </w:tcPr>
          <w:p>
            <w:pPr>
              <w:spacing w:after="0" w:line="240"/>
              <w:jc w:val="center"/>
            </w:pPr>
            <w:r>
              <w:rPr>
                <w:rFonts w:ascii="Calibri" w:cs="Calibri" w:eastAsia="Calibri" w:hAnsi="Calibri"/>
                <w:b w:val="false"/>
                <w:bCs w:val="false"/>
                <w:sz w:val="18"/>
                <w:szCs w:val="18"/>
              </w:rPr>
              <w:t xml:space="preserve">=</w:t>
            </w:r>
          </w:p>
        </w:tc>
      </w:tr>
      <w:tr>
        <w:trPr>
          <w:cantSplit/>
        </w:trPr>
        <w:tc>
          <w:tcPr>
            <w:tcW w:type="dxa" w:w="5638"/>
            <w:shd w:fill="F2F5FB" w:color="auto" w:val="clear"/>
            <w:tcMar>
              <w:top w:type="dxa" w:w="40"/>
              <w:left w:type="dxa" w:w="80"/>
              <w:bottom w:type="dxa" w:w="40"/>
              <w:right w:type="dxa" w:w="80"/>
            </w:tcMar>
          </w:tcPr>
          <w:p>
            <w:pPr>
              <w:spacing w:after="0" w:line="240"/>
            </w:pPr>
            <w:r>
              <w:rPr>
                <w:rFonts w:ascii="Calibri" w:cs="Calibri" w:eastAsia="Calibri" w:hAnsi="Calibri"/>
                <w:b/>
                <w:bCs/>
                <w:sz w:val="18"/>
                <w:szCs w:val="18"/>
              </w:rPr>
              <w:t xml:space="preserve">D4C8 — Déblocages vs avancement certifié</w:t>
            </w:r>
          </w:p>
        </w:tc>
        <w:tc>
          <w:tcPr>
            <w:tcW w:type="dxa" w:w="1300"/>
            <w:shd w:fill="F2F5FB" w:color="auto" w:val="clear"/>
            <w:tcMar>
              <w:top w:type="dxa" w:w="40"/>
              <w:left w:type="dxa" w:w="80"/>
              <w:bottom w:type="dxa" w:w="40"/>
              <w:right w:type="dxa" w:w="80"/>
            </w:tcMar>
          </w:tcPr>
          <w:p>
            <w:pPr>
              <w:spacing w:after="0" w:line="240"/>
              <w:jc w:val="center"/>
            </w:pPr>
            <w:r>
              <w:rPr>
                <w:rFonts w:ascii="Calibri" w:cs="Calibri" w:eastAsia="Calibri" w:hAnsi="Calibri"/>
                <w:b w:val="false"/>
                <w:bCs w:val="false"/>
                <w:color w:val="2E7D32"/>
                <w:sz w:val="18"/>
                <w:szCs w:val="18"/>
              </w:rPr>
              <w:t xml:space="preserve">nouveau</w:t>
            </w:r>
          </w:p>
        </w:tc>
        <w:tc>
          <w:tcPr>
            <w:tcW w:type="dxa" w:w="1300"/>
            <w:shd w:fill="F2F5FB" w:color="auto" w:val="clear"/>
            <w:tcMar>
              <w:top w:type="dxa" w:w="40"/>
              <w:left w:type="dxa" w:w="80"/>
              <w:bottom w:type="dxa" w:w="40"/>
              <w:right w:type="dxa" w:w="80"/>
            </w:tcMar>
          </w:tcPr>
          <w:p>
            <w:pPr>
              <w:spacing w:after="0" w:line="240"/>
              <w:jc w:val="center"/>
            </w:pPr>
            <w:r>
              <w:rPr>
                <w:rFonts w:ascii="Calibri" w:cs="Calibri" w:eastAsia="Calibri" w:hAnsi="Calibri"/>
                <w:b w:val="false"/>
                <w:bCs w:val="false"/>
                <w:sz w:val="18"/>
                <w:szCs w:val="18"/>
              </w:rPr>
              <w:t xml:space="preserve">10 %</w:t>
            </w:r>
          </w:p>
        </w:tc>
        <w:tc>
          <w:tcPr>
            <w:tcW w:type="dxa" w:w="1400"/>
            <w:shd w:fill="F2F5FB" w:color="auto" w:val="clear"/>
            <w:tcMar>
              <w:top w:type="dxa" w:w="40"/>
              <w:left w:type="dxa" w:w="80"/>
              <w:bottom w:type="dxa" w:w="40"/>
              <w:right w:type="dxa" w:w="80"/>
            </w:tcMar>
          </w:tcPr>
          <w:p>
            <w:pPr>
              <w:spacing w:after="0" w:line="240"/>
              <w:jc w:val="center"/>
            </w:pPr>
            <w:r>
              <w:rPr>
                <w:rFonts w:ascii="Calibri" w:cs="Calibri" w:eastAsia="Calibri" w:hAnsi="Calibri"/>
                <w:b w:val="false"/>
                <w:bCs w:val="false"/>
                <w:sz w:val="18"/>
                <w:szCs w:val="18"/>
              </w:rPr>
              <w:t xml:space="preserve">+10 %</w:t>
            </w:r>
          </w:p>
        </w:tc>
      </w:tr>
      <w:tr>
        <w:trPr>
          <w:cantSplit/>
        </w:trPr>
        <w:tc>
          <w:tcPr>
            <w:tcW w:type="dxa" w:w="5638"/>
            <w:tcMar>
              <w:top w:type="dxa" w:w="40"/>
              <w:left w:type="dxa" w:w="80"/>
              <w:bottom w:type="dxa" w:w="40"/>
              <w:right w:type="dxa" w:w="80"/>
            </w:tcMar>
          </w:tcPr>
          <w:p>
            <w:pPr>
              <w:spacing w:after="0" w:line="240"/>
            </w:pPr>
            <w:r>
              <w:rPr>
                <w:rFonts w:ascii="Calibri" w:cs="Calibri" w:eastAsia="Calibri" w:hAnsi="Calibri"/>
                <w:b/>
                <w:bCs/>
                <w:sz w:val="18"/>
                <w:szCs w:val="18"/>
              </w:rPr>
              <w:t xml:space="preserve">D4C9 — Dépassement du coût à terminaison</w:t>
            </w:r>
          </w:p>
        </w:tc>
        <w:tc>
          <w:tcPr>
            <w:tcW w:type="dxa" w:w="1300"/>
            <w:tcMar>
              <w:top w:type="dxa" w:w="40"/>
              <w:left w:type="dxa" w:w="80"/>
              <w:bottom w:type="dxa" w:w="40"/>
              <w:right w:type="dxa" w:w="80"/>
            </w:tcMar>
          </w:tcPr>
          <w:p>
            <w:pPr>
              <w:spacing w:after="0" w:line="240"/>
              <w:jc w:val="center"/>
            </w:pPr>
            <w:r>
              <w:rPr>
                <w:rFonts w:ascii="Calibri" w:cs="Calibri" w:eastAsia="Calibri" w:hAnsi="Calibri"/>
                <w:b w:val="false"/>
                <w:bCs w:val="false"/>
                <w:color w:val="2E7D32"/>
                <w:sz w:val="18"/>
                <w:szCs w:val="18"/>
              </w:rPr>
              <w:t xml:space="preserve">nouveau</w:t>
            </w:r>
          </w:p>
        </w:tc>
        <w:tc>
          <w:tcPr>
            <w:tcW w:type="dxa" w:w="1300"/>
            <w:tcMar>
              <w:top w:type="dxa" w:w="40"/>
              <w:left w:type="dxa" w:w="80"/>
              <w:bottom w:type="dxa" w:w="40"/>
              <w:right w:type="dxa" w:w="80"/>
            </w:tcMar>
          </w:tcPr>
          <w:p>
            <w:pPr>
              <w:spacing w:after="0" w:line="240"/>
              <w:jc w:val="center"/>
            </w:pPr>
            <w:r>
              <w:rPr>
                <w:rFonts w:ascii="Calibri" w:cs="Calibri" w:eastAsia="Calibri" w:hAnsi="Calibri"/>
                <w:b w:val="false"/>
                <w:bCs w:val="false"/>
                <w:sz w:val="18"/>
                <w:szCs w:val="18"/>
              </w:rPr>
              <w:t xml:space="preserve">10 %</w:t>
            </w:r>
          </w:p>
        </w:tc>
        <w:tc>
          <w:tcPr>
            <w:tcW w:type="dxa" w:w="1400"/>
            <w:tcMar>
              <w:top w:type="dxa" w:w="40"/>
              <w:left w:type="dxa" w:w="80"/>
              <w:bottom w:type="dxa" w:w="40"/>
              <w:right w:type="dxa" w:w="80"/>
            </w:tcMar>
          </w:tcPr>
          <w:p>
            <w:pPr>
              <w:spacing w:after="0" w:line="240"/>
              <w:jc w:val="center"/>
            </w:pPr>
            <w:r>
              <w:rPr>
                <w:rFonts w:ascii="Calibri" w:cs="Calibri" w:eastAsia="Calibri" w:hAnsi="Calibri"/>
                <w:b w:val="false"/>
                <w:bCs w:val="false"/>
                <w:sz w:val="18"/>
                <w:szCs w:val="18"/>
              </w:rPr>
              <w:t xml:space="preserve">+10 %</w:t>
            </w:r>
          </w:p>
        </w:tc>
      </w:tr>
    </w:tbl>
    <w:p>
      <w:pPr>
        <w:pStyle w:val="Heading2"/>
        <w:keepNext/>
      </w:pPr>
      <w:r>
        <w:t xml:space="preserve">Alertes ajoutées</w:t>
      </w:r>
    </w:p>
    <w:tbl>
      <w:tblPr>
        <w:tblW w:type="dxa" w:w="9638"/>
        <w:tblBorders>
          <w:top w:val="single" w:color="AEB6C6" w:sz="2"/>
          <w:left w:val="single" w:color="AEB6C6" w:sz="2"/>
          <w:bottom w:val="single" w:color="AEB6C6" w:sz="2"/>
          <w:right w:val="single" w:color="AEB6C6" w:sz="2"/>
          <w:insideH w:val="single" w:color="D0D6E2" w:sz="1"/>
          <w:insideV w:val="single" w:color="D0D6E2" w:sz="1"/>
        </w:tblBorders>
      </w:tblPr>
      <w:tblGrid>
        <w:gridCol w:w="2800"/>
        <w:gridCol w:w="4838"/>
        <w:gridCol w:w="900"/>
        <w:gridCol w:w="1100"/>
      </w:tblGrid>
      <w:tr>
        <w:trPr>
          <w:cantSplit/>
          <w:tblHeader/>
        </w:trPr>
        <w:tc>
          <w:tcPr>
            <w:tcW w:type="dxa" w:w="28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Alerte</w:t>
            </w:r>
          </w:p>
        </w:tc>
        <w:tc>
          <w:tcPr>
            <w:tcW w:type="dxa" w:w="4838"/>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Déclenchement</w:t>
            </w:r>
          </w:p>
        </w:tc>
        <w:tc>
          <w:tcPr>
            <w:tcW w:type="dxa" w:w="9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Malus</w:t>
            </w:r>
          </w:p>
        </w:tc>
        <w:tc>
          <w:tcPr>
            <w:tcW w:type="dxa" w:w="11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Comité</w:t>
            </w:r>
          </w:p>
        </w:tc>
      </w:tr>
      <w:tr>
        <w:trPr>
          <w:cantSplit/>
        </w:trPr>
        <w:tc>
          <w:tcPr>
            <w:tcW w:type="dxa" w:w="2800"/>
            <w:tcMar>
              <w:top w:type="dxa" w:w="40"/>
              <w:left w:type="dxa" w:w="80"/>
              <w:bottom w:type="dxa" w:w="40"/>
              <w:right w:type="dxa" w:w="80"/>
            </w:tcMar>
          </w:tcPr>
          <w:p>
            <w:pPr>
              <w:spacing w:after="0" w:line="240"/>
            </w:pPr>
            <w:r>
              <w:rPr>
                <w:rFonts w:ascii="Calibri" w:cs="Calibri" w:eastAsia="Calibri" w:hAnsi="Calibri"/>
                <w:b/>
                <w:bCs/>
                <w:sz w:val="18"/>
                <w:szCs w:val="18"/>
              </w:rPr>
              <w:t xml:space="preserve">Composante commerciale ou hôtelière sans preneur engagé</w:t>
            </w:r>
          </w:p>
        </w:tc>
        <w:tc>
          <w:tcPr>
            <w:tcW w:type="dxa" w:w="4838"/>
            <w:tcMar>
              <w:top w:type="dxa" w:w="40"/>
              <w:left w:type="dxa" w:w="80"/>
              <w:bottom w:type="dxa" w:w="40"/>
              <w:right w:type="dxa" w:w="80"/>
            </w:tcMar>
          </w:tcPr>
          <w:p>
            <w:pPr>
              <w:spacing w:after="0" w:line="240"/>
            </w:pPr>
            <w:r>
              <w:rPr>
                <w:rFonts w:ascii="Calibri" w:cs="Calibri" w:eastAsia="Calibri" w:hAnsi="Calibri"/>
                <w:b w:val="false"/>
                <w:bCs w:val="false"/>
                <w:sz w:val="18"/>
                <w:szCs w:val="18"/>
              </w:rPr>
              <w:t xml:space="preserve">Une composante significative (hôtel, commerces, bureaux) n'a ni acquéreur, ni opérateur, ni preneur engagé.</w:t>
            </w:r>
          </w:p>
        </w:tc>
        <w:tc>
          <w:tcPr>
            <w:tcW w:type="dxa" w:w="900"/>
            <w:tcMar>
              <w:top w:type="dxa" w:w="40"/>
              <w:left w:type="dxa" w:w="80"/>
              <w:bottom w:type="dxa" w:w="40"/>
              <w:right w:type="dxa" w:w="80"/>
            </w:tcMar>
          </w:tcPr>
          <w:p>
            <w:pPr>
              <w:spacing w:after="0" w:line="240"/>
              <w:jc w:val="center"/>
            </w:pPr>
            <w:r>
              <w:rPr>
                <w:rFonts w:ascii="Calibri" w:cs="Calibri" w:eastAsia="Calibri" w:hAnsi="Calibri"/>
                <w:b w:val="false"/>
                <w:bCs w:val="false"/>
                <w:sz w:val="18"/>
                <w:szCs w:val="18"/>
              </w:rPr>
              <w:t xml:space="preserve">10</w:t>
            </w:r>
          </w:p>
        </w:tc>
        <w:tc>
          <w:tcPr>
            <w:tcW w:type="dxa" w:w="1100"/>
            <w:tcMar>
              <w:top w:type="dxa" w:w="40"/>
              <w:left w:type="dxa" w:w="80"/>
              <w:bottom w:type="dxa" w:w="40"/>
              <w:right w:type="dxa" w:w="80"/>
            </w:tcMar>
          </w:tcPr>
          <w:p>
            <w:pPr>
              <w:spacing w:after="0" w:line="240"/>
              <w:jc w:val="center"/>
            </w:pPr>
            <w:r>
              <w:rPr>
                <w:rFonts w:ascii="Calibri" w:cs="Calibri" w:eastAsia="Calibri" w:hAnsi="Calibri"/>
                <w:b w:val="false"/>
                <w:bCs w:val="false"/>
                <w:sz w:val="18"/>
                <w:szCs w:val="18"/>
              </w:rPr>
              <w:t xml:space="preserve">—</w:t>
            </w:r>
          </w:p>
        </w:tc>
      </w:tr>
      <w:tr>
        <w:trPr>
          <w:cantSplit/>
        </w:trPr>
        <w:tc>
          <w:tcPr>
            <w:tcW w:type="dxa" w:w="2800"/>
            <w:shd w:fill="F2F5FB" w:color="auto" w:val="clear"/>
            <w:tcMar>
              <w:top w:type="dxa" w:w="40"/>
              <w:left w:type="dxa" w:w="80"/>
              <w:bottom w:type="dxa" w:w="40"/>
              <w:right w:type="dxa" w:w="80"/>
            </w:tcMar>
          </w:tcPr>
          <w:p>
            <w:pPr>
              <w:spacing w:after="0" w:line="240"/>
            </w:pPr>
            <w:r>
              <w:rPr>
                <w:rFonts w:ascii="Calibri" w:cs="Calibri" w:eastAsia="Calibri" w:hAnsi="Calibri"/>
                <w:b/>
                <w:bCs/>
                <w:sz w:val="18"/>
                <w:szCs w:val="18"/>
              </w:rPr>
              <w:t xml:space="preserve">Équipement exigé en retard (conditionne la réception)</w:t>
            </w:r>
          </w:p>
        </w:tc>
        <w:tc>
          <w:tcPr>
            <w:tcW w:type="dxa" w:w="4838"/>
            <w:shd w:fill="F2F5FB" w:color="auto" w:val="clear"/>
            <w:tcMar>
              <w:top w:type="dxa" w:w="40"/>
              <w:left w:type="dxa" w:w="80"/>
              <w:bottom w:type="dxa" w:w="40"/>
              <w:right w:type="dxa" w:w="80"/>
            </w:tcMar>
          </w:tcPr>
          <w:p>
            <w:pPr>
              <w:spacing w:after="0" w:line="240"/>
            </w:pPr>
            <w:r>
              <w:rPr>
                <w:rFonts w:ascii="Calibri" w:cs="Calibri" w:eastAsia="Calibri" w:hAnsi="Calibri"/>
                <w:b w:val="false"/>
                <w:bCs w:val="false"/>
                <w:sz w:val="18"/>
                <w:szCs w:val="18"/>
              </w:rPr>
              <w:t xml:space="preserve">Un équipement exigé (mosquée, école, voirie…) conditionnant la réception est en retard : risque de blocage de la livraison, des actes et des mainlevées.</w:t>
            </w:r>
          </w:p>
        </w:tc>
        <w:tc>
          <w:tcPr>
            <w:tcW w:type="dxa" w:w="900"/>
            <w:shd w:fill="F2F5FB" w:color="auto" w:val="clear"/>
            <w:tcMar>
              <w:top w:type="dxa" w:w="40"/>
              <w:left w:type="dxa" w:w="80"/>
              <w:bottom w:type="dxa" w:w="40"/>
              <w:right w:type="dxa" w:w="80"/>
            </w:tcMar>
          </w:tcPr>
          <w:p>
            <w:pPr>
              <w:spacing w:after="0" w:line="240"/>
              <w:jc w:val="center"/>
            </w:pPr>
            <w:r>
              <w:rPr>
                <w:rFonts w:ascii="Calibri" w:cs="Calibri" w:eastAsia="Calibri" w:hAnsi="Calibri"/>
                <w:b w:val="false"/>
                <w:bCs w:val="false"/>
                <w:sz w:val="18"/>
                <w:szCs w:val="18"/>
              </w:rPr>
              <w:t xml:space="preserve">15</w:t>
            </w:r>
          </w:p>
        </w:tc>
        <w:tc>
          <w:tcPr>
            <w:tcW w:type="dxa" w:w="1100"/>
            <w:shd w:fill="F2F5FB" w:color="auto" w:val="clear"/>
            <w:tcMar>
              <w:top w:type="dxa" w:w="40"/>
              <w:left w:type="dxa" w:w="80"/>
              <w:bottom w:type="dxa" w:w="40"/>
              <w:right w:type="dxa" w:w="80"/>
            </w:tcMar>
          </w:tcPr>
          <w:p>
            <w:pPr>
              <w:spacing w:after="0" w:line="240"/>
              <w:jc w:val="center"/>
            </w:pPr>
            <w:r>
              <w:rPr>
                <w:rFonts w:ascii="Calibri" w:cs="Calibri" w:eastAsia="Calibri" w:hAnsi="Calibri"/>
                <w:b w:val="false"/>
                <w:bCs w:val="false"/>
                <w:sz w:val="18"/>
                <w:szCs w:val="18"/>
              </w:rPr>
              <w:t xml:space="preserve">Oui</w:t>
            </w:r>
          </w:p>
        </w:tc>
      </w:tr>
      <w:tr>
        <w:trPr>
          <w:cantSplit/>
        </w:trPr>
        <w:tc>
          <w:tcPr>
            <w:tcW w:type="dxa" w:w="2800"/>
            <w:tcMar>
              <w:top w:type="dxa" w:w="40"/>
              <w:left w:type="dxa" w:w="80"/>
              <w:bottom w:type="dxa" w:w="40"/>
              <w:right w:type="dxa" w:w="80"/>
            </w:tcMar>
          </w:tcPr>
          <w:p>
            <w:pPr>
              <w:spacing w:after="0" w:line="240"/>
            </w:pPr>
            <w:r>
              <w:rPr>
                <w:rFonts w:ascii="Calibri" w:cs="Calibri" w:eastAsia="Calibri" w:hAnsi="Calibri"/>
                <w:b/>
                <w:bCs/>
                <w:sz w:val="18"/>
                <w:szCs w:val="18"/>
              </w:rPr>
              <w:t xml:space="preserve">Plan de tirage en retard sur le calendrier</w:t>
            </w:r>
          </w:p>
        </w:tc>
        <w:tc>
          <w:tcPr>
            <w:tcW w:type="dxa" w:w="4838"/>
            <w:tcMar>
              <w:top w:type="dxa" w:w="40"/>
              <w:left w:type="dxa" w:w="80"/>
              <w:bottom w:type="dxa" w:w="40"/>
              <w:right w:type="dxa" w:w="80"/>
            </w:tcMar>
          </w:tcPr>
          <w:p>
            <w:pPr>
              <w:spacing w:after="0" w:line="240"/>
            </w:pPr>
            <w:r>
              <w:rPr>
                <w:rFonts w:ascii="Calibri" w:cs="Calibri" w:eastAsia="Calibri" w:hAnsi="Calibri"/>
                <w:b w:val="false"/>
                <w:bCs w:val="false"/>
                <w:sz w:val="18"/>
                <w:szCs w:val="18"/>
              </w:rPr>
              <w:t xml:space="preserve">Au moins 25 % du montant prévu à date n'a pas été débloqué : signe d'un chantier en retard ou d'un besoin mal calibré.</w:t>
            </w:r>
          </w:p>
        </w:tc>
        <w:tc>
          <w:tcPr>
            <w:tcW w:type="dxa" w:w="900"/>
            <w:tcMar>
              <w:top w:type="dxa" w:w="40"/>
              <w:left w:type="dxa" w:w="80"/>
              <w:bottom w:type="dxa" w:w="40"/>
              <w:right w:type="dxa" w:w="80"/>
            </w:tcMar>
          </w:tcPr>
          <w:p>
            <w:pPr>
              <w:spacing w:after="0" w:line="240"/>
              <w:jc w:val="center"/>
            </w:pPr>
            <w:r>
              <w:rPr>
                <w:rFonts w:ascii="Calibri" w:cs="Calibri" w:eastAsia="Calibri" w:hAnsi="Calibri"/>
                <w:b w:val="false"/>
                <w:bCs w:val="false"/>
                <w:sz w:val="18"/>
                <w:szCs w:val="18"/>
              </w:rPr>
              <w:t xml:space="preserve">5</w:t>
            </w:r>
          </w:p>
        </w:tc>
        <w:tc>
          <w:tcPr>
            <w:tcW w:type="dxa" w:w="1100"/>
            <w:tcMar>
              <w:top w:type="dxa" w:w="40"/>
              <w:left w:type="dxa" w:w="80"/>
              <w:bottom w:type="dxa" w:w="40"/>
              <w:right w:type="dxa" w:w="80"/>
            </w:tcMar>
          </w:tcPr>
          <w:p>
            <w:pPr>
              <w:spacing w:after="0" w:line="240"/>
              <w:jc w:val="center"/>
            </w:pPr>
            <w:r>
              <w:rPr>
                <w:rFonts w:ascii="Calibri" w:cs="Calibri" w:eastAsia="Calibri" w:hAnsi="Calibri"/>
                <w:b w:val="false"/>
                <w:bCs w:val="false"/>
                <w:sz w:val="18"/>
                <w:szCs w:val="18"/>
              </w:rPr>
              <w:t xml:space="preserve">—</w:t>
            </w:r>
          </w:p>
        </w:tc>
      </w:tr>
      <w:tr>
        <w:trPr>
          <w:cantSplit/>
        </w:trPr>
        <w:tc>
          <w:tcPr>
            <w:tcW w:type="dxa" w:w="2800"/>
            <w:shd w:fill="F2F5FB" w:color="auto" w:val="clear"/>
            <w:tcMar>
              <w:top w:type="dxa" w:w="40"/>
              <w:left w:type="dxa" w:w="80"/>
              <w:bottom w:type="dxa" w:w="40"/>
              <w:right w:type="dxa" w:w="80"/>
            </w:tcMar>
          </w:tcPr>
          <w:p>
            <w:pPr>
              <w:spacing w:after="0" w:line="240"/>
            </w:pPr>
            <w:r>
              <w:rPr>
                <w:rFonts w:ascii="Calibri" w:cs="Calibri" w:eastAsia="Calibri" w:hAnsi="Calibri"/>
                <w:b/>
                <w:bCs/>
                <w:sz w:val="18"/>
                <w:szCs w:val="18"/>
              </w:rPr>
              <w:t xml:space="preserve">Déblocages en avance sur l'avancement des travaux</w:t>
            </w:r>
          </w:p>
        </w:tc>
        <w:tc>
          <w:tcPr>
            <w:tcW w:type="dxa" w:w="4838"/>
            <w:shd w:fill="F2F5FB" w:color="auto" w:val="clear"/>
            <w:tcMar>
              <w:top w:type="dxa" w:w="40"/>
              <w:left w:type="dxa" w:w="80"/>
              <w:bottom w:type="dxa" w:w="40"/>
              <w:right w:type="dxa" w:w="80"/>
            </w:tcMar>
          </w:tcPr>
          <w:p>
            <w:pPr>
              <w:spacing w:after="0" w:line="240"/>
            </w:pPr>
            <w:r>
              <w:rPr>
                <w:rFonts w:ascii="Calibri" w:cs="Calibri" w:eastAsia="Calibri" w:hAnsi="Calibri"/>
                <w:b w:val="false"/>
                <w:bCs w:val="false"/>
                <w:sz w:val="18"/>
                <w:szCs w:val="18"/>
              </w:rPr>
              <w:t xml:space="preserve">Le cumul débloqué dépasse de 15 % ou plus ce que justifie l'avancement certifié : l'encours devance la valeur créée.</w:t>
            </w:r>
          </w:p>
        </w:tc>
        <w:tc>
          <w:tcPr>
            <w:tcW w:type="dxa" w:w="900"/>
            <w:shd w:fill="F2F5FB" w:color="auto" w:val="clear"/>
            <w:tcMar>
              <w:top w:type="dxa" w:w="40"/>
              <w:left w:type="dxa" w:w="80"/>
              <w:bottom w:type="dxa" w:w="40"/>
              <w:right w:type="dxa" w:w="80"/>
            </w:tcMar>
          </w:tcPr>
          <w:p>
            <w:pPr>
              <w:spacing w:after="0" w:line="240"/>
              <w:jc w:val="center"/>
            </w:pPr>
            <w:r>
              <w:rPr>
                <w:rFonts w:ascii="Calibri" w:cs="Calibri" w:eastAsia="Calibri" w:hAnsi="Calibri"/>
                <w:b w:val="false"/>
                <w:bCs w:val="false"/>
                <w:sz w:val="18"/>
                <w:szCs w:val="18"/>
              </w:rPr>
              <w:t xml:space="preserve">15</w:t>
            </w:r>
          </w:p>
        </w:tc>
        <w:tc>
          <w:tcPr>
            <w:tcW w:type="dxa" w:w="1100"/>
            <w:shd w:fill="F2F5FB" w:color="auto" w:val="clear"/>
            <w:tcMar>
              <w:top w:type="dxa" w:w="40"/>
              <w:left w:type="dxa" w:w="80"/>
              <w:bottom w:type="dxa" w:w="40"/>
              <w:right w:type="dxa" w:w="80"/>
            </w:tcMar>
          </w:tcPr>
          <w:p>
            <w:pPr>
              <w:spacing w:after="0" w:line="240"/>
              <w:jc w:val="center"/>
            </w:pPr>
            <w:r>
              <w:rPr>
                <w:rFonts w:ascii="Calibri" w:cs="Calibri" w:eastAsia="Calibri" w:hAnsi="Calibri"/>
                <w:b w:val="false"/>
                <w:bCs w:val="false"/>
                <w:sz w:val="18"/>
                <w:szCs w:val="18"/>
              </w:rPr>
              <w:t xml:space="preserve">Oui</w:t>
            </w:r>
          </w:p>
        </w:tc>
      </w:tr>
      <w:tr>
        <w:trPr>
          <w:cantSplit/>
        </w:trPr>
        <w:tc>
          <w:tcPr>
            <w:tcW w:type="dxa" w:w="2800"/>
            <w:tcMar>
              <w:top w:type="dxa" w:w="40"/>
              <w:left w:type="dxa" w:w="80"/>
              <w:bottom w:type="dxa" w:w="40"/>
              <w:right w:type="dxa" w:w="80"/>
            </w:tcMar>
          </w:tcPr>
          <w:p>
            <w:pPr>
              <w:spacing w:after="0" w:line="240"/>
            </w:pPr>
            <w:r>
              <w:rPr>
                <w:rFonts w:ascii="Calibri" w:cs="Calibri" w:eastAsia="Calibri" w:hAnsi="Calibri"/>
                <w:b/>
                <w:bCs/>
                <w:sz w:val="18"/>
                <w:szCs w:val="18"/>
              </w:rPr>
              <w:t xml:space="preserve">Tranche financée dépendante d'ouvrages communs non financés</w:t>
            </w:r>
          </w:p>
        </w:tc>
        <w:tc>
          <w:tcPr>
            <w:tcW w:type="dxa" w:w="4838"/>
            <w:tcMar>
              <w:top w:type="dxa" w:w="40"/>
              <w:left w:type="dxa" w:w="80"/>
              <w:bottom w:type="dxa" w:w="40"/>
              <w:right w:type="dxa" w:w="80"/>
            </w:tcMar>
          </w:tcPr>
          <w:p>
            <w:pPr>
              <w:spacing w:after="0" w:line="240"/>
            </w:pPr>
            <w:r>
              <w:rPr>
                <w:rFonts w:ascii="Calibri" w:cs="Calibri" w:eastAsia="Calibri" w:hAnsi="Calibri"/>
                <w:b w:val="false"/>
                <w:bCs w:val="false"/>
                <w:sz w:val="18"/>
                <w:szCs w:val="18"/>
              </w:rPr>
              <w:t xml:space="preserve">La banque finance une tranche qui ne peut être achevée, livrée ou vendue sans des ouvrages communs (accès, VRD, raccordements) qui ne sont ni réalisés ni financés.</w:t>
            </w:r>
          </w:p>
        </w:tc>
        <w:tc>
          <w:tcPr>
            <w:tcW w:type="dxa" w:w="900"/>
            <w:tcMar>
              <w:top w:type="dxa" w:w="40"/>
              <w:left w:type="dxa" w:w="80"/>
              <w:bottom w:type="dxa" w:w="40"/>
              <w:right w:type="dxa" w:w="80"/>
            </w:tcMar>
          </w:tcPr>
          <w:p>
            <w:pPr>
              <w:spacing w:after="0" w:line="240"/>
              <w:jc w:val="center"/>
            </w:pPr>
            <w:r>
              <w:rPr>
                <w:rFonts w:ascii="Calibri" w:cs="Calibri" w:eastAsia="Calibri" w:hAnsi="Calibri"/>
                <w:b w:val="false"/>
                <w:bCs w:val="false"/>
                <w:sz w:val="18"/>
                <w:szCs w:val="18"/>
              </w:rPr>
              <w:t xml:space="preserve">15</w:t>
            </w:r>
          </w:p>
        </w:tc>
        <w:tc>
          <w:tcPr>
            <w:tcW w:type="dxa" w:w="1100"/>
            <w:tcMar>
              <w:top w:type="dxa" w:w="40"/>
              <w:left w:type="dxa" w:w="80"/>
              <w:bottom w:type="dxa" w:w="40"/>
              <w:right w:type="dxa" w:w="80"/>
            </w:tcMar>
          </w:tcPr>
          <w:p>
            <w:pPr>
              <w:spacing w:after="0" w:line="240"/>
              <w:jc w:val="center"/>
            </w:pPr>
            <w:r>
              <w:rPr>
                <w:rFonts w:ascii="Calibri" w:cs="Calibri" w:eastAsia="Calibri" w:hAnsi="Calibri"/>
                <w:b w:val="false"/>
                <w:bCs w:val="false"/>
                <w:sz w:val="18"/>
                <w:szCs w:val="18"/>
              </w:rPr>
              <w:t xml:space="preserve">Oui</w:t>
            </w:r>
          </w:p>
        </w:tc>
      </w:tr>
    </w:tbl>
    <w:p>
      <w:pPr>
        <w:spacing w:after="120" w:before="100" w:line="276"/>
      </w:pPr>
      <w:r>
        <w:rPr>
          <w:rFonts w:ascii="Calibri" w:cs="Calibri" w:eastAsia="Calibri" w:hAnsi="Calibri"/>
          <w:i/>
          <w:iCs/>
          <w:sz w:val="19"/>
          <w:szCs w:val="19"/>
        </w:rPr>
        <w:t xml:space="preserve">Vérification : le moteur de l'application et l'outil Excel reproduisent les 26 cas de référence, dont 6 nouveaux cas v5 (tranche dépendante, tirages en avance, mosquée en retard, programme mixte, marché en surstock avec désistements et plan de tirage en retard, données v5 absentes).</w:t>
      </w:r>
    </w:p>
    <w:p>
      <w:r>
        <w:br w:type="page"/>
      </w:r>
    </w:p>
    <w:p>
      <w:pPr>
        <w:pStyle w:val="Heading1"/>
      </w:pPr>
      <w:r>
        <w:t xml:space="preserve">10. Impact simulé sur le portefeuille</w:t>
      </w:r>
    </w:p>
    <w:p>
      <w:pPr>
        <w:spacing w:after="120" w:before="0" w:line="276"/>
      </w:pPr>
      <w:r>
        <w:rPr>
          <w:rFonts w:ascii="Calibri" w:cs="Calibri" w:eastAsia="Calibri" w:hAnsi="Calibri"/>
          <w:sz w:val="21"/>
          <w:szCs w:val="21"/>
        </w:rPr>
        <w:t xml:space="preserve">Les 10 projets de promotion de la base ont été recalculés hors ligne, avec le moteur de l'application, sur leurs données actuelles et leur classe réglementaire : en v4 ; en v5 sans les nouvelles données (situation au lendemain de la publication) ; en v5 avec des données v5 « saines » (programme entier, marché équilibré, entreprise qualifiée, aucun équipement exigé, tirages en phase, désistements 5 %, dépassement 2 %). Aucun score n'a été enregistré.</w:t>
      </w:r>
    </w:p>
    <w:tbl>
      <w:tblPr>
        <w:tblW w:type="dxa" w:w="9638"/>
        <w:tblBorders>
          <w:top w:val="single" w:color="AEB6C6" w:sz="2"/>
          <w:left w:val="single" w:color="AEB6C6" w:sz="2"/>
          <w:bottom w:val="single" w:color="AEB6C6" w:sz="2"/>
          <w:right w:val="single" w:color="AEB6C6" w:sz="2"/>
          <w:insideH w:val="single" w:color="D0D6E2" w:sz="1"/>
          <w:insideV w:val="single" w:color="D0D6E2" w:sz="1"/>
        </w:tblBorders>
      </w:tblPr>
      <w:tblGrid>
        <w:gridCol w:w="2900"/>
        <w:gridCol w:w="1300"/>
        <w:gridCol w:w="1800"/>
        <w:gridCol w:w="1838"/>
        <w:gridCol w:w="1800"/>
      </w:tblGrid>
      <w:tr>
        <w:trPr>
          <w:cantSplit/>
          <w:tblHeader/>
        </w:trPr>
        <w:tc>
          <w:tcPr>
            <w:tcW w:type="dxa" w:w="29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Projet</w:t>
            </w:r>
          </w:p>
        </w:tc>
        <w:tc>
          <w:tcPr>
            <w:tcW w:type="dxa" w:w="13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Classe</w:t>
            </w:r>
          </w:p>
        </w:tc>
        <w:tc>
          <w:tcPr>
            <w:tcW w:type="dxa" w:w="18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v4</w:t>
            </w:r>
          </w:p>
        </w:tc>
        <w:tc>
          <w:tcPr>
            <w:tcW w:type="dxa" w:w="1838"/>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v5 sans données v5</w:t>
            </w:r>
          </w:p>
        </w:tc>
        <w:tc>
          <w:tcPr>
            <w:tcW w:type="dxa" w:w="18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v5 données saines</w:t>
            </w:r>
          </w:p>
        </w:tc>
      </w:tr>
      <w:tr>
        <w:trPr>
          <w:cantSplit/>
        </w:trPr>
        <w:tc>
          <w:tcPr>
            <w:tcW w:type="dxa" w:w="2900"/>
            <w:tcMar>
              <w:top w:type="dxa" w:w="40"/>
              <w:left w:type="dxa" w:w="80"/>
              <w:bottom w:type="dxa" w:w="40"/>
              <w:right w:type="dxa" w:w="80"/>
            </w:tcMar>
          </w:tcPr>
          <w:p>
            <w:pPr>
              <w:spacing w:after="0" w:line="240"/>
            </w:pPr>
            <w:r>
              <w:rPr>
                <w:rFonts w:ascii="Calibri" w:cs="Calibri" w:eastAsia="Calibri" w:hAnsi="Calibri"/>
                <w:b/>
                <w:bCs/>
                <w:sz w:val="17"/>
                <w:szCs w:val="17"/>
              </w:rPr>
              <w:t xml:space="preserve">PI-2026-001</w:t>
            </w:r>
          </w:p>
          <w:p>
            <w:pPr>
              <w:spacing w:after="0" w:line="240"/>
            </w:pPr>
            <w:r>
              <w:rPr>
                <w:rFonts w:ascii="Calibri" w:cs="Calibri" w:eastAsia="Calibri" w:hAnsi="Calibri"/>
                <w:color w:val="595959"/>
                <w:sz w:val="16"/>
                <w:szCs w:val="16"/>
              </w:rPr>
              <w:t xml:space="preserve">Résidence Les Jardins de l'Atlas</w:t>
            </w:r>
          </w:p>
        </w:tc>
        <w:tc>
          <w:tcPr>
            <w:tcW w:type="dxa" w:w="1300"/>
            <w:tcMar>
              <w:top w:type="dxa" w:w="40"/>
              <w:left w:type="dxa" w:w="80"/>
              <w:bottom w:type="dxa" w:w="40"/>
              <w:right w:type="dxa" w:w="80"/>
            </w:tcMar>
          </w:tcPr>
          <w:p>
            <w:pPr>
              <w:spacing w:after="0" w:line="240"/>
            </w:pPr>
            <w:r>
              <w:rPr>
                <w:rFonts w:ascii="Calibri" w:cs="Calibri" w:eastAsia="Calibri" w:hAnsi="Calibri"/>
                <w:sz w:val="16"/>
                <w:szCs w:val="16"/>
              </w:rPr>
              <w:t xml:space="preserve">SAIN</w:t>
            </w:r>
          </w:p>
        </w:tc>
        <w:tc>
          <w:tcPr>
            <w:tcW w:type="dxa" w:w="1800"/>
            <w:tcMar>
              <w:top w:type="dxa" w:w="40"/>
              <w:left w:type="dxa" w:w="80"/>
              <w:bottom w:type="dxa" w:w="40"/>
              <w:right w:type="dxa" w:w="80"/>
            </w:tcMar>
          </w:tcPr>
          <w:p>
            <w:pPr>
              <w:spacing w:after="0" w:line="240"/>
            </w:pPr>
            <w:r>
              <w:rPr>
                <w:rFonts w:ascii="Calibri" w:cs="Calibri" w:eastAsia="Calibri" w:hAnsi="Calibri"/>
                <w:b/>
                <w:bCs/>
                <w:sz w:val="18"/>
                <w:szCs w:val="18"/>
              </w:rPr>
              <w:t xml:space="preserve">92,89</w:t>
            </w:r>
            <w:r>
              <w:rPr>
                <w:rFonts w:ascii="Calibri" w:cs="Calibri" w:eastAsia="Calibri" w:hAnsi="Calibri"/>
                <w:color w:val="2E7D32"/>
                <w:sz w:val="16"/>
                <w:szCs w:val="16"/>
              </w:rPr>
              <w:t xml:space="preserve">  GO</w:t>
            </w:r>
          </w:p>
        </w:tc>
        <w:tc>
          <w:tcPr>
            <w:tcW w:type="dxa" w:w="1838"/>
            <w:tcMar>
              <w:top w:type="dxa" w:w="40"/>
              <w:left w:type="dxa" w:w="80"/>
              <w:bottom w:type="dxa" w:w="40"/>
              <w:right w:type="dxa" w:w="80"/>
            </w:tcMar>
          </w:tcPr>
          <w:p>
            <w:pPr>
              <w:spacing w:after="0" w:line="240"/>
            </w:pPr>
            <w:r>
              <w:rPr>
                <w:rFonts w:ascii="Calibri" w:cs="Calibri" w:eastAsia="Calibri" w:hAnsi="Calibri"/>
                <w:b/>
                <w:bCs/>
                <w:sz w:val="18"/>
                <w:szCs w:val="18"/>
              </w:rPr>
              <w:t xml:space="preserve">81,26</w:t>
            </w:r>
            <w:r>
              <w:rPr>
                <w:rFonts w:ascii="Calibri" w:cs="Calibri" w:eastAsia="Calibri" w:hAnsi="Calibri"/>
                <w:color w:val="2E7D32"/>
                <w:sz w:val="16"/>
                <w:szCs w:val="16"/>
              </w:rPr>
              <w:t xml:space="preserve">  GO</w:t>
            </w:r>
          </w:p>
        </w:tc>
        <w:tc>
          <w:tcPr>
            <w:tcW w:type="dxa" w:w="1800"/>
            <w:tcMar>
              <w:top w:type="dxa" w:w="40"/>
              <w:left w:type="dxa" w:w="80"/>
              <w:bottom w:type="dxa" w:w="40"/>
              <w:right w:type="dxa" w:w="80"/>
            </w:tcMar>
          </w:tcPr>
          <w:p>
            <w:pPr>
              <w:spacing w:after="0" w:line="240"/>
            </w:pPr>
            <w:r>
              <w:rPr>
                <w:rFonts w:ascii="Calibri" w:cs="Calibri" w:eastAsia="Calibri" w:hAnsi="Calibri"/>
                <w:b/>
                <w:bCs/>
                <w:sz w:val="18"/>
                <w:szCs w:val="18"/>
              </w:rPr>
              <w:t xml:space="preserve">93,16</w:t>
            </w:r>
            <w:r>
              <w:rPr>
                <w:rFonts w:ascii="Calibri" w:cs="Calibri" w:eastAsia="Calibri" w:hAnsi="Calibri"/>
                <w:color w:val="2E7D32"/>
                <w:sz w:val="16"/>
                <w:szCs w:val="16"/>
              </w:rPr>
              <w:t xml:space="preserve">  GO</w:t>
            </w:r>
          </w:p>
        </w:tc>
      </w:tr>
      <w:tr>
        <w:trPr>
          <w:cantSplit/>
        </w:trPr>
        <w:tc>
          <w:tcPr>
            <w:tcW w:type="dxa" w:w="2900"/>
            <w:shd w:fill="F2F5FB" w:color="auto" w:val="clear"/>
            <w:tcMar>
              <w:top w:type="dxa" w:w="40"/>
              <w:left w:type="dxa" w:w="80"/>
              <w:bottom w:type="dxa" w:w="40"/>
              <w:right w:type="dxa" w:w="80"/>
            </w:tcMar>
          </w:tcPr>
          <w:p>
            <w:pPr>
              <w:spacing w:after="0" w:line="240"/>
            </w:pPr>
            <w:r>
              <w:rPr>
                <w:rFonts w:ascii="Calibri" w:cs="Calibri" w:eastAsia="Calibri" w:hAnsi="Calibri"/>
                <w:b/>
                <w:bCs/>
                <w:sz w:val="17"/>
                <w:szCs w:val="17"/>
              </w:rPr>
              <w:t xml:space="preserve">PI-2026-002</w:t>
            </w:r>
          </w:p>
          <w:p>
            <w:pPr>
              <w:spacing w:after="0" w:line="240"/>
            </w:pPr>
            <w:r>
              <w:rPr>
                <w:rFonts w:ascii="Calibri" w:cs="Calibri" w:eastAsia="Calibri" w:hAnsi="Calibri"/>
                <w:color w:val="595959"/>
                <w:sz w:val="16"/>
                <w:szCs w:val="16"/>
              </w:rPr>
              <w:t xml:space="preserve">Résidence Annour</w:t>
            </w:r>
          </w:p>
        </w:tc>
        <w:tc>
          <w:tcPr>
            <w:tcW w:type="dxa" w:w="1300"/>
            <w:shd w:fill="F2F5FB" w:color="auto" w:val="clear"/>
            <w:tcMar>
              <w:top w:type="dxa" w:w="40"/>
              <w:left w:type="dxa" w:w="80"/>
              <w:bottom w:type="dxa" w:w="40"/>
              <w:right w:type="dxa" w:w="80"/>
            </w:tcMar>
          </w:tcPr>
          <w:p>
            <w:pPr>
              <w:spacing w:after="0" w:line="240"/>
            </w:pPr>
            <w:r>
              <w:rPr>
                <w:rFonts w:ascii="Calibri" w:cs="Calibri" w:eastAsia="Calibri" w:hAnsi="Calibri"/>
                <w:sz w:val="16"/>
                <w:szCs w:val="16"/>
              </w:rPr>
              <w:t xml:space="preserve">PRE_DOUTEUX</w:t>
            </w:r>
          </w:p>
        </w:tc>
        <w:tc>
          <w:tcPr>
            <w:tcW w:type="dxa" w:w="1800"/>
            <w:shd w:fill="F2F5FB" w:color="auto" w:val="clear"/>
            <w:tcMar>
              <w:top w:type="dxa" w:w="40"/>
              <w:left w:type="dxa" w:w="80"/>
              <w:bottom w:type="dxa" w:w="40"/>
              <w:right w:type="dxa" w:w="80"/>
            </w:tcMar>
          </w:tcPr>
          <w:p>
            <w:pPr>
              <w:spacing w:after="0" w:line="240"/>
            </w:pPr>
            <w:r>
              <w:rPr>
                <w:rFonts w:ascii="Calibri" w:cs="Calibri" w:eastAsia="Calibri" w:hAnsi="Calibri"/>
                <w:b/>
                <w:bCs/>
                <w:sz w:val="18"/>
                <w:szCs w:val="18"/>
              </w:rPr>
              <w:t xml:space="preserve">0</w:t>
            </w:r>
            <w:r>
              <w:rPr>
                <w:rFonts w:ascii="Calibri" w:cs="Calibri" w:eastAsia="Calibri" w:hAnsi="Calibri"/>
                <w:color w:val="C00000"/>
                <w:sz w:val="16"/>
                <w:szCs w:val="16"/>
              </w:rPr>
              <w:t xml:space="preserve">  NO_GO</w:t>
            </w:r>
          </w:p>
        </w:tc>
        <w:tc>
          <w:tcPr>
            <w:tcW w:type="dxa" w:w="1838"/>
            <w:shd w:fill="F2F5FB" w:color="auto" w:val="clear"/>
            <w:tcMar>
              <w:top w:type="dxa" w:w="40"/>
              <w:left w:type="dxa" w:w="80"/>
              <w:bottom w:type="dxa" w:w="40"/>
              <w:right w:type="dxa" w:w="80"/>
            </w:tcMar>
          </w:tcPr>
          <w:p>
            <w:pPr>
              <w:spacing w:after="0" w:line="240"/>
            </w:pPr>
            <w:r>
              <w:rPr>
                <w:rFonts w:ascii="Calibri" w:cs="Calibri" w:eastAsia="Calibri" w:hAnsi="Calibri"/>
                <w:b/>
                <w:bCs/>
                <w:sz w:val="18"/>
                <w:szCs w:val="18"/>
              </w:rPr>
              <w:t xml:space="preserve">0</w:t>
            </w:r>
            <w:r>
              <w:rPr>
                <w:rFonts w:ascii="Calibri" w:cs="Calibri" w:eastAsia="Calibri" w:hAnsi="Calibri"/>
                <w:color w:val="C00000"/>
                <w:sz w:val="16"/>
                <w:szCs w:val="16"/>
              </w:rPr>
              <w:t xml:space="preserve">  NO_GO</w:t>
            </w:r>
          </w:p>
        </w:tc>
        <w:tc>
          <w:tcPr>
            <w:tcW w:type="dxa" w:w="1800"/>
            <w:shd w:fill="F2F5FB" w:color="auto" w:val="clear"/>
            <w:tcMar>
              <w:top w:type="dxa" w:w="40"/>
              <w:left w:type="dxa" w:w="80"/>
              <w:bottom w:type="dxa" w:w="40"/>
              <w:right w:type="dxa" w:w="80"/>
            </w:tcMar>
          </w:tcPr>
          <w:p>
            <w:pPr>
              <w:spacing w:after="0" w:line="240"/>
            </w:pPr>
            <w:r>
              <w:rPr>
                <w:rFonts w:ascii="Calibri" w:cs="Calibri" w:eastAsia="Calibri" w:hAnsi="Calibri"/>
                <w:b/>
                <w:bCs/>
                <w:sz w:val="18"/>
                <w:szCs w:val="18"/>
              </w:rPr>
              <w:t xml:space="preserve">0</w:t>
            </w:r>
            <w:r>
              <w:rPr>
                <w:rFonts w:ascii="Calibri" w:cs="Calibri" w:eastAsia="Calibri" w:hAnsi="Calibri"/>
                <w:color w:val="C00000"/>
                <w:sz w:val="16"/>
                <w:szCs w:val="16"/>
              </w:rPr>
              <w:t xml:space="preserve">  NO_GO</w:t>
            </w:r>
          </w:p>
        </w:tc>
      </w:tr>
      <w:tr>
        <w:trPr>
          <w:cantSplit/>
        </w:trPr>
        <w:tc>
          <w:tcPr>
            <w:tcW w:type="dxa" w:w="2900"/>
            <w:tcMar>
              <w:top w:type="dxa" w:w="40"/>
              <w:left w:type="dxa" w:w="80"/>
              <w:bottom w:type="dxa" w:w="40"/>
              <w:right w:type="dxa" w:w="80"/>
            </w:tcMar>
          </w:tcPr>
          <w:p>
            <w:pPr>
              <w:spacing w:after="0" w:line="240"/>
            </w:pPr>
            <w:r>
              <w:rPr>
                <w:rFonts w:ascii="Calibri" w:cs="Calibri" w:eastAsia="Calibri" w:hAnsi="Calibri"/>
                <w:b/>
                <w:bCs/>
                <w:sz w:val="17"/>
                <w:szCs w:val="17"/>
              </w:rPr>
              <w:t xml:space="preserve">PI-2026-101</w:t>
            </w:r>
          </w:p>
          <w:p>
            <w:pPr>
              <w:spacing w:after="0" w:line="240"/>
            </w:pPr>
            <w:r>
              <w:rPr>
                <w:rFonts w:ascii="Calibri" w:cs="Calibri" w:eastAsia="Calibri" w:hAnsi="Calibri"/>
                <w:color w:val="595959"/>
                <w:sz w:val="16"/>
                <w:szCs w:val="16"/>
              </w:rPr>
              <w:t xml:space="preserve">Tranche Verdure</w:t>
            </w:r>
          </w:p>
        </w:tc>
        <w:tc>
          <w:tcPr>
            <w:tcW w:type="dxa" w:w="1300"/>
            <w:tcMar>
              <w:top w:type="dxa" w:w="40"/>
              <w:left w:type="dxa" w:w="80"/>
              <w:bottom w:type="dxa" w:w="40"/>
              <w:right w:type="dxa" w:w="80"/>
            </w:tcMar>
          </w:tcPr>
          <w:p>
            <w:pPr>
              <w:spacing w:after="0" w:line="240"/>
            </w:pPr>
            <w:r>
              <w:rPr>
                <w:rFonts w:ascii="Calibri" w:cs="Calibri" w:eastAsia="Calibri" w:hAnsi="Calibri"/>
                <w:sz w:val="16"/>
                <w:szCs w:val="16"/>
              </w:rPr>
              <w:t xml:space="preserve">SAIN</w:t>
            </w:r>
          </w:p>
        </w:tc>
        <w:tc>
          <w:tcPr>
            <w:tcW w:type="dxa" w:w="1800"/>
            <w:tcMar>
              <w:top w:type="dxa" w:w="40"/>
              <w:left w:type="dxa" w:w="80"/>
              <w:bottom w:type="dxa" w:w="40"/>
              <w:right w:type="dxa" w:w="80"/>
            </w:tcMar>
          </w:tcPr>
          <w:p>
            <w:pPr>
              <w:spacing w:after="0" w:line="240"/>
            </w:pPr>
            <w:r>
              <w:rPr>
                <w:rFonts w:ascii="Calibri" w:cs="Calibri" w:eastAsia="Calibri" w:hAnsi="Calibri"/>
                <w:b/>
                <w:bCs/>
                <w:sz w:val="18"/>
                <w:szCs w:val="18"/>
              </w:rPr>
              <w:t xml:space="preserve">80,61</w:t>
            </w:r>
            <w:r>
              <w:rPr>
                <w:rFonts w:ascii="Calibri" w:cs="Calibri" w:eastAsia="Calibri" w:hAnsi="Calibri"/>
                <w:color w:val="2E7D32"/>
                <w:sz w:val="16"/>
                <w:szCs w:val="16"/>
              </w:rPr>
              <w:t xml:space="preserve">  GO</w:t>
            </w:r>
          </w:p>
        </w:tc>
        <w:tc>
          <w:tcPr>
            <w:tcW w:type="dxa" w:w="1838"/>
            <w:tcMar>
              <w:top w:type="dxa" w:w="40"/>
              <w:left w:type="dxa" w:w="80"/>
              <w:bottom w:type="dxa" w:w="40"/>
              <w:right w:type="dxa" w:w="80"/>
            </w:tcMar>
          </w:tcPr>
          <w:p>
            <w:pPr>
              <w:spacing w:after="0" w:line="240"/>
            </w:pPr>
            <w:r>
              <w:rPr>
                <w:rFonts w:ascii="Calibri" w:cs="Calibri" w:eastAsia="Calibri" w:hAnsi="Calibri"/>
                <w:b/>
                <w:bCs/>
                <w:sz w:val="18"/>
                <w:szCs w:val="18"/>
              </w:rPr>
              <w:t xml:space="preserve">71,36</w:t>
            </w:r>
            <w:r>
              <w:rPr>
                <w:rFonts w:ascii="Calibri" w:cs="Calibri" w:eastAsia="Calibri" w:hAnsi="Calibri"/>
                <w:color w:val="5F8D2B"/>
                <w:sz w:val="16"/>
                <w:szCs w:val="16"/>
              </w:rPr>
              <w:t xml:space="preserve">  GO sous conditions</w:t>
            </w:r>
          </w:p>
        </w:tc>
        <w:tc>
          <w:tcPr>
            <w:tcW w:type="dxa" w:w="1800"/>
            <w:tcMar>
              <w:top w:type="dxa" w:w="40"/>
              <w:left w:type="dxa" w:w="80"/>
              <w:bottom w:type="dxa" w:w="40"/>
              <w:right w:type="dxa" w:w="80"/>
            </w:tcMar>
          </w:tcPr>
          <w:p>
            <w:pPr>
              <w:spacing w:after="0" w:line="240"/>
            </w:pPr>
            <w:r>
              <w:rPr>
                <w:rFonts w:ascii="Calibri" w:cs="Calibri" w:eastAsia="Calibri" w:hAnsi="Calibri"/>
                <w:b/>
                <w:bCs/>
                <w:sz w:val="18"/>
                <w:szCs w:val="18"/>
              </w:rPr>
              <w:t xml:space="preserve">83,26</w:t>
            </w:r>
            <w:r>
              <w:rPr>
                <w:rFonts w:ascii="Calibri" w:cs="Calibri" w:eastAsia="Calibri" w:hAnsi="Calibri"/>
                <w:color w:val="2E7D32"/>
                <w:sz w:val="16"/>
                <w:szCs w:val="16"/>
              </w:rPr>
              <w:t xml:space="preserve">  GO</w:t>
            </w:r>
          </w:p>
        </w:tc>
      </w:tr>
      <w:tr>
        <w:trPr>
          <w:cantSplit/>
        </w:trPr>
        <w:tc>
          <w:tcPr>
            <w:tcW w:type="dxa" w:w="2900"/>
            <w:shd w:fill="F2F5FB" w:color="auto" w:val="clear"/>
            <w:tcMar>
              <w:top w:type="dxa" w:w="40"/>
              <w:left w:type="dxa" w:w="80"/>
              <w:bottom w:type="dxa" w:w="40"/>
              <w:right w:type="dxa" w:w="80"/>
            </w:tcMar>
          </w:tcPr>
          <w:p>
            <w:pPr>
              <w:spacing w:after="0" w:line="240"/>
            </w:pPr>
            <w:r>
              <w:rPr>
                <w:rFonts w:ascii="Calibri" w:cs="Calibri" w:eastAsia="Calibri" w:hAnsi="Calibri"/>
                <w:b/>
                <w:bCs/>
                <w:sz w:val="17"/>
                <w:szCs w:val="17"/>
              </w:rPr>
              <w:t xml:space="preserve">PI-2026-102</w:t>
            </w:r>
          </w:p>
          <w:p>
            <w:pPr>
              <w:spacing w:after="0" w:line="240"/>
            </w:pPr>
            <w:r>
              <w:rPr>
                <w:rFonts w:ascii="Calibri" w:cs="Calibri" w:eastAsia="Calibri" w:hAnsi="Calibri"/>
                <w:color w:val="595959"/>
                <w:sz w:val="16"/>
                <w:szCs w:val="16"/>
              </w:rPr>
              <w:t xml:space="preserve">Les Oliviers</w:t>
            </w:r>
          </w:p>
        </w:tc>
        <w:tc>
          <w:tcPr>
            <w:tcW w:type="dxa" w:w="1300"/>
            <w:shd w:fill="F2F5FB" w:color="auto" w:val="clear"/>
            <w:tcMar>
              <w:top w:type="dxa" w:w="40"/>
              <w:left w:type="dxa" w:w="80"/>
              <w:bottom w:type="dxa" w:w="40"/>
              <w:right w:type="dxa" w:w="80"/>
            </w:tcMar>
          </w:tcPr>
          <w:p>
            <w:pPr>
              <w:spacing w:after="0" w:line="240"/>
            </w:pPr>
            <w:r>
              <w:rPr>
                <w:rFonts w:ascii="Calibri" w:cs="Calibri" w:eastAsia="Calibri" w:hAnsi="Calibri"/>
                <w:sz w:val="16"/>
                <w:szCs w:val="16"/>
              </w:rPr>
              <w:t xml:space="preserve">PRE_DOUTEUX</w:t>
            </w:r>
          </w:p>
        </w:tc>
        <w:tc>
          <w:tcPr>
            <w:tcW w:type="dxa" w:w="1800"/>
            <w:shd w:fill="F2F5FB" w:color="auto" w:val="clear"/>
            <w:tcMar>
              <w:top w:type="dxa" w:w="40"/>
              <w:left w:type="dxa" w:w="80"/>
              <w:bottom w:type="dxa" w:w="40"/>
              <w:right w:type="dxa" w:w="80"/>
            </w:tcMar>
          </w:tcPr>
          <w:p>
            <w:pPr>
              <w:spacing w:after="0" w:line="240"/>
            </w:pPr>
            <w:r>
              <w:rPr>
                <w:rFonts w:ascii="Calibri" w:cs="Calibri" w:eastAsia="Calibri" w:hAnsi="Calibri"/>
                <w:b/>
                <w:bCs/>
                <w:sz w:val="18"/>
                <w:szCs w:val="18"/>
              </w:rPr>
              <w:t xml:space="preserve">54,73</w:t>
            </w:r>
            <w:r>
              <w:rPr>
                <w:rFonts w:ascii="Calibri" w:cs="Calibri" w:eastAsia="Calibri" w:hAnsi="Calibri"/>
                <w:color w:val="C00000"/>
                <w:sz w:val="16"/>
                <w:szCs w:val="16"/>
              </w:rPr>
              <w:t xml:space="preserve">  NO_GO</w:t>
            </w:r>
          </w:p>
        </w:tc>
        <w:tc>
          <w:tcPr>
            <w:tcW w:type="dxa" w:w="1838"/>
            <w:shd w:fill="F2F5FB" w:color="auto" w:val="clear"/>
            <w:tcMar>
              <w:top w:type="dxa" w:w="40"/>
              <w:left w:type="dxa" w:w="80"/>
              <w:bottom w:type="dxa" w:w="40"/>
              <w:right w:type="dxa" w:w="80"/>
            </w:tcMar>
          </w:tcPr>
          <w:p>
            <w:pPr>
              <w:spacing w:after="0" w:line="240"/>
            </w:pPr>
            <w:r>
              <w:rPr>
                <w:rFonts w:ascii="Calibri" w:cs="Calibri" w:eastAsia="Calibri" w:hAnsi="Calibri"/>
                <w:b/>
                <w:bCs/>
                <w:sz w:val="18"/>
                <w:szCs w:val="18"/>
              </w:rPr>
              <w:t xml:space="preserve">48,45</w:t>
            </w:r>
            <w:r>
              <w:rPr>
                <w:rFonts w:ascii="Calibri" w:cs="Calibri" w:eastAsia="Calibri" w:hAnsi="Calibri"/>
                <w:color w:val="C00000"/>
                <w:sz w:val="16"/>
                <w:szCs w:val="16"/>
              </w:rPr>
              <w:t xml:space="preserve">  NO_GO</w:t>
            </w:r>
          </w:p>
        </w:tc>
        <w:tc>
          <w:tcPr>
            <w:tcW w:type="dxa" w:w="1800"/>
            <w:shd w:fill="F2F5FB" w:color="auto" w:val="clear"/>
            <w:tcMar>
              <w:top w:type="dxa" w:w="40"/>
              <w:left w:type="dxa" w:w="80"/>
              <w:bottom w:type="dxa" w:w="40"/>
              <w:right w:type="dxa" w:w="80"/>
            </w:tcMar>
          </w:tcPr>
          <w:p>
            <w:pPr>
              <w:spacing w:after="0" w:line="240"/>
            </w:pPr>
            <w:r>
              <w:rPr>
                <w:rFonts w:ascii="Calibri" w:cs="Calibri" w:eastAsia="Calibri" w:hAnsi="Calibri"/>
                <w:b/>
                <w:bCs/>
                <w:sz w:val="18"/>
                <w:szCs w:val="18"/>
              </w:rPr>
              <w:t xml:space="preserve">56,53</w:t>
            </w:r>
            <w:r>
              <w:rPr>
                <w:rFonts w:ascii="Calibri" w:cs="Calibri" w:eastAsia="Calibri" w:hAnsi="Calibri"/>
                <w:color w:val="C00000"/>
                <w:sz w:val="16"/>
                <w:szCs w:val="16"/>
              </w:rPr>
              <w:t xml:space="preserve">  NO_GO</w:t>
            </w:r>
          </w:p>
        </w:tc>
      </w:tr>
      <w:tr>
        <w:trPr>
          <w:cantSplit/>
        </w:trPr>
        <w:tc>
          <w:tcPr>
            <w:tcW w:type="dxa" w:w="2900"/>
            <w:tcMar>
              <w:top w:type="dxa" w:w="40"/>
              <w:left w:type="dxa" w:w="80"/>
              <w:bottom w:type="dxa" w:w="40"/>
              <w:right w:type="dxa" w:w="80"/>
            </w:tcMar>
          </w:tcPr>
          <w:p>
            <w:pPr>
              <w:spacing w:after="0" w:line="240"/>
            </w:pPr>
            <w:r>
              <w:rPr>
                <w:rFonts w:ascii="Calibri" w:cs="Calibri" w:eastAsia="Calibri" w:hAnsi="Calibri"/>
                <w:b/>
                <w:bCs/>
                <w:sz w:val="17"/>
                <w:szCs w:val="17"/>
              </w:rPr>
              <w:t xml:space="preserve">PI-2026-104</w:t>
            </w:r>
          </w:p>
          <w:p>
            <w:pPr>
              <w:spacing w:after="0" w:line="240"/>
            </w:pPr>
            <w:r>
              <w:rPr>
                <w:rFonts w:ascii="Calibri" w:cs="Calibri" w:eastAsia="Calibri" w:hAnsi="Calibri"/>
                <w:color w:val="595959"/>
                <w:sz w:val="16"/>
                <w:szCs w:val="16"/>
              </w:rPr>
              <w:t xml:space="preserve">Riad El Fath</w:t>
            </w:r>
          </w:p>
        </w:tc>
        <w:tc>
          <w:tcPr>
            <w:tcW w:type="dxa" w:w="1300"/>
            <w:tcMar>
              <w:top w:type="dxa" w:w="40"/>
              <w:left w:type="dxa" w:w="80"/>
              <w:bottom w:type="dxa" w:w="40"/>
              <w:right w:type="dxa" w:w="80"/>
            </w:tcMar>
          </w:tcPr>
          <w:p>
            <w:pPr>
              <w:spacing w:after="0" w:line="240"/>
            </w:pPr>
            <w:r>
              <w:rPr>
                <w:rFonts w:ascii="Calibri" w:cs="Calibri" w:eastAsia="Calibri" w:hAnsi="Calibri"/>
                <w:sz w:val="16"/>
                <w:szCs w:val="16"/>
              </w:rPr>
              <w:t xml:space="preserve">SENSIBLE</w:t>
            </w:r>
          </w:p>
        </w:tc>
        <w:tc>
          <w:tcPr>
            <w:tcW w:type="dxa" w:w="1800"/>
            <w:tcMar>
              <w:top w:type="dxa" w:w="40"/>
              <w:left w:type="dxa" w:w="80"/>
              <w:bottom w:type="dxa" w:w="40"/>
              <w:right w:type="dxa" w:w="80"/>
            </w:tcMar>
          </w:tcPr>
          <w:p>
            <w:pPr>
              <w:spacing w:after="0" w:line="240"/>
            </w:pPr>
            <w:r>
              <w:rPr>
                <w:rFonts w:ascii="Calibri" w:cs="Calibri" w:eastAsia="Calibri" w:hAnsi="Calibri"/>
                <w:b/>
                <w:bCs/>
                <w:sz w:val="18"/>
                <w:szCs w:val="18"/>
              </w:rPr>
              <w:t xml:space="preserve">63,85</w:t>
            </w:r>
            <w:r>
              <w:rPr>
                <w:rFonts w:ascii="Calibri" w:cs="Calibri" w:eastAsia="Calibri" w:hAnsi="Calibri"/>
                <w:color w:val="B45F06"/>
                <w:sz w:val="16"/>
                <w:szCs w:val="16"/>
              </w:rPr>
              <w:t xml:space="preserve">  Watch list</w:t>
            </w:r>
          </w:p>
        </w:tc>
        <w:tc>
          <w:tcPr>
            <w:tcW w:type="dxa" w:w="1838"/>
            <w:tcMar>
              <w:top w:type="dxa" w:w="40"/>
              <w:left w:type="dxa" w:w="80"/>
              <w:bottom w:type="dxa" w:w="40"/>
              <w:right w:type="dxa" w:w="80"/>
            </w:tcMar>
          </w:tcPr>
          <w:p>
            <w:pPr>
              <w:spacing w:after="0" w:line="240"/>
            </w:pPr>
            <w:r>
              <w:rPr>
                <w:rFonts w:ascii="Calibri" w:cs="Calibri" w:eastAsia="Calibri" w:hAnsi="Calibri"/>
                <w:b/>
                <w:bCs/>
                <w:sz w:val="18"/>
                <w:szCs w:val="18"/>
              </w:rPr>
              <w:t xml:space="preserve">56,52</w:t>
            </w:r>
            <w:r>
              <w:rPr>
                <w:rFonts w:ascii="Calibri" w:cs="Calibri" w:eastAsia="Calibri" w:hAnsi="Calibri"/>
                <w:color w:val="B45F06"/>
                <w:sz w:val="16"/>
                <w:szCs w:val="16"/>
              </w:rPr>
              <w:t xml:space="preserve">  Watch list</w:t>
            </w:r>
          </w:p>
        </w:tc>
        <w:tc>
          <w:tcPr>
            <w:tcW w:type="dxa" w:w="1800"/>
            <w:tcMar>
              <w:top w:type="dxa" w:w="40"/>
              <w:left w:type="dxa" w:w="80"/>
              <w:bottom w:type="dxa" w:w="40"/>
              <w:right w:type="dxa" w:w="80"/>
            </w:tcMar>
          </w:tcPr>
          <w:p>
            <w:pPr>
              <w:spacing w:after="0" w:line="240"/>
            </w:pPr>
            <w:r>
              <w:rPr>
                <w:rFonts w:ascii="Calibri" w:cs="Calibri" w:eastAsia="Calibri" w:hAnsi="Calibri"/>
                <w:b/>
                <w:bCs/>
                <w:sz w:val="18"/>
                <w:szCs w:val="18"/>
              </w:rPr>
              <w:t xml:space="preserve">65,94</w:t>
            </w:r>
            <w:r>
              <w:rPr>
                <w:rFonts w:ascii="Calibri" w:cs="Calibri" w:eastAsia="Calibri" w:hAnsi="Calibri"/>
                <w:color w:val="5F8D2B"/>
                <w:sz w:val="16"/>
                <w:szCs w:val="16"/>
              </w:rPr>
              <w:t xml:space="preserve">  GO sous conditions</w:t>
            </w:r>
          </w:p>
        </w:tc>
      </w:tr>
      <w:tr>
        <w:trPr>
          <w:cantSplit/>
        </w:trPr>
        <w:tc>
          <w:tcPr>
            <w:tcW w:type="dxa" w:w="2900"/>
            <w:shd w:fill="F2F5FB" w:color="auto" w:val="clear"/>
            <w:tcMar>
              <w:top w:type="dxa" w:w="40"/>
              <w:left w:type="dxa" w:w="80"/>
              <w:bottom w:type="dxa" w:w="40"/>
              <w:right w:type="dxa" w:w="80"/>
            </w:tcMar>
          </w:tcPr>
          <w:p>
            <w:pPr>
              <w:spacing w:after="0" w:line="240"/>
            </w:pPr>
            <w:r>
              <w:rPr>
                <w:rFonts w:ascii="Calibri" w:cs="Calibri" w:eastAsia="Calibri" w:hAnsi="Calibri"/>
                <w:b/>
                <w:bCs/>
                <w:sz w:val="17"/>
                <w:szCs w:val="17"/>
              </w:rPr>
              <w:t xml:space="preserve">PI-2026-105</w:t>
            </w:r>
          </w:p>
          <w:p>
            <w:pPr>
              <w:spacing w:after="0" w:line="240"/>
            </w:pPr>
            <w:r>
              <w:rPr>
                <w:rFonts w:ascii="Calibri" w:cs="Calibri" w:eastAsia="Calibri" w:hAnsi="Calibri"/>
                <w:color w:val="595959"/>
                <w:sz w:val="16"/>
                <w:szCs w:val="16"/>
              </w:rPr>
              <w:t xml:space="preserve">Cèdres Business</w:t>
            </w:r>
          </w:p>
        </w:tc>
        <w:tc>
          <w:tcPr>
            <w:tcW w:type="dxa" w:w="1300"/>
            <w:shd w:fill="F2F5FB" w:color="auto" w:val="clear"/>
            <w:tcMar>
              <w:top w:type="dxa" w:w="40"/>
              <w:left w:type="dxa" w:w="80"/>
              <w:bottom w:type="dxa" w:w="40"/>
              <w:right w:type="dxa" w:w="80"/>
            </w:tcMar>
          </w:tcPr>
          <w:p>
            <w:pPr>
              <w:spacing w:after="0" w:line="240"/>
            </w:pPr>
            <w:r>
              <w:rPr>
                <w:rFonts w:ascii="Calibri" w:cs="Calibri" w:eastAsia="Calibri" w:hAnsi="Calibri"/>
                <w:sz w:val="16"/>
                <w:szCs w:val="16"/>
              </w:rPr>
              <w:t xml:space="preserve">SAIN</w:t>
            </w:r>
          </w:p>
        </w:tc>
        <w:tc>
          <w:tcPr>
            <w:tcW w:type="dxa" w:w="1800"/>
            <w:shd w:fill="F2F5FB" w:color="auto" w:val="clear"/>
            <w:tcMar>
              <w:top w:type="dxa" w:w="40"/>
              <w:left w:type="dxa" w:w="80"/>
              <w:bottom w:type="dxa" w:w="40"/>
              <w:right w:type="dxa" w:w="80"/>
            </w:tcMar>
          </w:tcPr>
          <w:p>
            <w:pPr>
              <w:spacing w:after="0" w:line="240"/>
            </w:pPr>
            <w:r>
              <w:rPr>
                <w:rFonts w:ascii="Calibri" w:cs="Calibri" w:eastAsia="Calibri" w:hAnsi="Calibri"/>
                <w:b/>
                <w:bCs/>
                <w:sz w:val="18"/>
                <w:szCs w:val="18"/>
              </w:rPr>
              <w:t xml:space="preserve">74,16</w:t>
            </w:r>
            <w:r>
              <w:rPr>
                <w:rFonts w:ascii="Calibri" w:cs="Calibri" w:eastAsia="Calibri" w:hAnsi="Calibri"/>
                <w:color w:val="5F8D2B"/>
                <w:sz w:val="16"/>
                <w:szCs w:val="16"/>
              </w:rPr>
              <w:t xml:space="preserve">  GO sous conditions</w:t>
            </w:r>
          </w:p>
        </w:tc>
        <w:tc>
          <w:tcPr>
            <w:tcW w:type="dxa" w:w="1838"/>
            <w:shd w:fill="F2F5FB" w:color="auto" w:val="clear"/>
            <w:tcMar>
              <w:top w:type="dxa" w:w="40"/>
              <w:left w:type="dxa" w:w="80"/>
              <w:bottom w:type="dxa" w:w="40"/>
              <w:right w:type="dxa" w:w="80"/>
            </w:tcMar>
          </w:tcPr>
          <w:p>
            <w:pPr>
              <w:spacing w:after="0" w:line="240"/>
            </w:pPr>
            <w:r>
              <w:rPr>
                <w:rFonts w:ascii="Calibri" w:cs="Calibri" w:eastAsia="Calibri" w:hAnsi="Calibri"/>
                <w:b/>
                <w:bCs/>
                <w:sz w:val="18"/>
                <w:szCs w:val="18"/>
              </w:rPr>
              <w:t xml:space="preserve">65,65</w:t>
            </w:r>
            <w:r>
              <w:rPr>
                <w:rFonts w:ascii="Calibri" w:cs="Calibri" w:eastAsia="Calibri" w:hAnsi="Calibri"/>
                <w:color w:val="5F8D2B"/>
                <w:sz w:val="16"/>
                <w:szCs w:val="16"/>
              </w:rPr>
              <w:t xml:space="preserve">  GO sous conditions</w:t>
            </w:r>
          </w:p>
        </w:tc>
        <w:tc>
          <w:tcPr>
            <w:tcW w:type="dxa" w:w="1800"/>
            <w:shd w:fill="F2F5FB" w:color="auto" w:val="clear"/>
            <w:tcMar>
              <w:top w:type="dxa" w:w="40"/>
              <w:left w:type="dxa" w:w="80"/>
              <w:bottom w:type="dxa" w:w="40"/>
              <w:right w:type="dxa" w:w="80"/>
            </w:tcMar>
          </w:tcPr>
          <w:p>
            <w:pPr>
              <w:spacing w:after="0" w:line="240"/>
            </w:pPr>
            <w:r>
              <w:rPr>
                <w:rFonts w:ascii="Calibri" w:cs="Calibri" w:eastAsia="Calibri" w:hAnsi="Calibri"/>
                <w:b/>
                <w:bCs/>
                <w:sz w:val="18"/>
                <w:szCs w:val="18"/>
              </w:rPr>
              <w:t xml:space="preserve">76,6</w:t>
            </w:r>
            <w:r>
              <w:rPr>
                <w:rFonts w:ascii="Calibri" w:cs="Calibri" w:eastAsia="Calibri" w:hAnsi="Calibri"/>
                <w:color w:val="2E7D32"/>
                <w:sz w:val="16"/>
                <w:szCs w:val="16"/>
              </w:rPr>
              <w:t xml:space="preserve">  GO</w:t>
            </w:r>
          </w:p>
        </w:tc>
      </w:tr>
      <w:tr>
        <w:trPr>
          <w:cantSplit/>
        </w:trPr>
        <w:tc>
          <w:tcPr>
            <w:tcW w:type="dxa" w:w="2900"/>
            <w:tcMar>
              <w:top w:type="dxa" w:w="40"/>
              <w:left w:type="dxa" w:w="80"/>
              <w:bottom w:type="dxa" w:w="40"/>
              <w:right w:type="dxa" w:w="80"/>
            </w:tcMar>
          </w:tcPr>
          <w:p>
            <w:pPr>
              <w:spacing w:after="0" w:line="240"/>
            </w:pPr>
            <w:r>
              <w:rPr>
                <w:rFonts w:ascii="Calibri" w:cs="Calibri" w:eastAsia="Calibri" w:hAnsi="Calibri"/>
                <w:b/>
                <w:bCs/>
                <w:sz w:val="17"/>
                <w:szCs w:val="17"/>
              </w:rPr>
              <w:t xml:space="preserve">PI-2026-106</w:t>
            </w:r>
          </w:p>
          <w:p>
            <w:pPr>
              <w:spacing w:after="0" w:line="240"/>
            </w:pPr>
            <w:r>
              <w:rPr>
                <w:rFonts w:ascii="Calibri" w:cs="Calibri" w:eastAsia="Calibri" w:hAnsi="Calibri"/>
                <w:color w:val="595959"/>
                <w:sz w:val="16"/>
                <w:szCs w:val="16"/>
              </w:rPr>
              <w:t xml:space="preserve">Ocean View</w:t>
            </w:r>
          </w:p>
        </w:tc>
        <w:tc>
          <w:tcPr>
            <w:tcW w:type="dxa" w:w="1300"/>
            <w:tcMar>
              <w:top w:type="dxa" w:w="40"/>
              <w:left w:type="dxa" w:w="80"/>
              <w:bottom w:type="dxa" w:w="40"/>
              <w:right w:type="dxa" w:w="80"/>
            </w:tcMar>
          </w:tcPr>
          <w:p>
            <w:pPr>
              <w:spacing w:after="0" w:line="240"/>
            </w:pPr>
            <w:r>
              <w:rPr>
                <w:rFonts w:ascii="Calibri" w:cs="Calibri" w:eastAsia="Calibri" w:hAnsi="Calibri"/>
                <w:sz w:val="16"/>
                <w:szCs w:val="16"/>
              </w:rPr>
              <w:t xml:space="preserve">SENSIBLE</w:t>
            </w:r>
          </w:p>
        </w:tc>
        <w:tc>
          <w:tcPr>
            <w:tcW w:type="dxa" w:w="1800"/>
            <w:tcMar>
              <w:top w:type="dxa" w:w="40"/>
              <w:left w:type="dxa" w:w="80"/>
              <w:bottom w:type="dxa" w:w="40"/>
              <w:right w:type="dxa" w:w="80"/>
            </w:tcMar>
          </w:tcPr>
          <w:p>
            <w:pPr>
              <w:spacing w:after="0" w:line="240"/>
            </w:pPr>
            <w:r>
              <w:rPr>
                <w:rFonts w:ascii="Calibri" w:cs="Calibri" w:eastAsia="Calibri" w:hAnsi="Calibri"/>
                <w:b/>
                <w:bCs/>
                <w:sz w:val="18"/>
                <w:szCs w:val="18"/>
              </w:rPr>
              <w:t xml:space="preserve">72,55</w:t>
            </w:r>
            <w:r>
              <w:rPr>
                <w:rFonts w:ascii="Calibri" w:cs="Calibri" w:eastAsia="Calibri" w:hAnsi="Calibri"/>
                <w:color w:val="5F8D2B"/>
                <w:sz w:val="16"/>
                <w:szCs w:val="16"/>
              </w:rPr>
              <w:t xml:space="preserve">  GO sous conditions</w:t>
            </w:r>
          </w:p>
        </w:tc>
        <w:tc>
          <w:tcPr>
            <w:tcW w:type="dxa" w:w="1838"/>
            <w:tcMar>
              <w:top w:type="dxa" w:w="40"/>
              <w:left w:type="dxa" w:w="80"/>
              <w:bottom w:type="dxa" w:w="40"/>
              <w:right w:type="dxa" w:w="80"/>
            </w:tcMar>
          </w:tcPr>
          <w:p>
            <w:pPr>
              <w:spacing w:after="0" w:line="240"/>
            </w:pPr>
            <w:r>
              <w:rPr>
                <w:rFonts w:ascii="Calibri" w:cs="Calibri" w:eastAsia="Calibri" w:hAnsi="Calibri"/>
                <w:b/>
                <w:bCs/>
                <w:sz w:val="18"/>
                <w:szCs w:val="18"/>
              </w:rPr>
              <w:t xml:space="preserve">64,22</w:t>
            </w:r>
            <w:r>
              <w:rPr>
                <w:rFonts w:ascii="Calibri" w:cs="Calibri" w:eastAsia="Calibri" w:hAnsi="Calibri"/>
                <w:color w:val="B45F06"/>
                <w:sz w:val="16"/>
                <w:szCs w:val="16"/>
              </w:rPr>
              <w:t xml:space="preserve">  Watch list</w:t>
            </w:r>
          </w:p>
        </w:tc>
        <w:tc>
          <w:tcPr>
            <w:tcW w:type="dxa" w:w="1800"/>
            <w:tcMar>
              <w:top w:type="dxa" w:w="40"/>
              <w:left w:type="dxa" w:w="80"/>
              <w:bottom w:type="dxa" w:w="40"/>
              <w:right w:type="dxa" w:w="80"/>
            </w:tcMar>
          </w:tcPr>
          <w:p>
            <w:pPr>
              <w:spacing w:after="0" w:line="240"/>
            </w:pPr>
            <w:r>
              <w:rPr>
                <w:rFonts w:ascii="Calibri" w:cs="Calibri" w:eastAsia="Calibri" w:hAnsi="Calibri"/>
                <w:b/>
                <w:bCs/>
                <w:sz w:val="18"/>
                <w:szCs w:val="18"/>
              </w:rPr>
              <w:t xml:space="preserve">74,93</w:t>
            </w:r>
            <w:r>
              <w:rPr>
                <w:rFonts w:ascii="Calibri" w:cs="Calibri" w:eastAsia="Calibri" w:hAnsi="Calibri"/>
                <w:color w:val="5F8D2B"/>
                <w:sz w:val="16"/>
                <w:szCs w:val="16"/>
              </w:rPr>
              <w:t xml:space="preserve">  GO sous conditions</w:t>
            </w:r>
          </w:p>
        </w:tc>
      </w:tr>
      <w:tr>
        <w:trPr>
          <w:cantSplit/>
        </w:trPr>
        <w:tc>
          <w:tcPr>
            <w:tcW w:type="dxa" w:w="2900"/>
            <w:shd w:fill="F2F5FB" w:color="auto" w:val="clear"/>
            <w:tcMar>
              <w:top w:type="dxa" w:w="40"/>
              <w:left w:type="dxa" w:w="80"/>
              <w:bottom w:type="dxa" w:w="40"/>
              <w:right w:type="dxa" w:w="80"/>
            </w:tcMar>
          </w:tcPr>
          <w:p>
            <w:pPr>
              <w:spacing w:after="0" w:line="240"/>
            </w:pPr>
            <w:r>
              <w:rPr>
                <w:rFonts w:ascii="Calibri" w:cs="Calibri" w:eastAsia="Calibri" w:hAnsi="Calibri"/>
                <w:b/>
                <w:bCs/>
                <w:sz w:val="17"/>
                <w:szCs w:val="17"/>
              </w:rPr>
              <w:t xml:space="preserve">PI-2026-108</w:t>
            </w:r>
          </w:p>
          <w:p>
            <w:pPr>
              <w:spacing w:after="0" w:line="240"/>
            </w:pPr>
            <w:r>
              <w:rPr>
                <w:rFonts w:ascii="Calibri" w:cs="Calibri" w:eastAsia="Calibri" w:hAnsi="Calibri"/>
                <w:color w:val="595959"/>
                <w:sz w:val="16"/>
                <w:szCs w:val="16"/>
              </w:rPr>
              <w:t xml:space="preserve">Médina Lofts</w:t>
            </w:r>
          </w:p>
        </w:tc>
        <w:tc>
          <w:tcPr>
            <w:tcW w:type="dxa" w:w="1300"/>
            <w:shd w:fill="F2F5FB" w:color="auto" w:val="clear"/>
            <w:tcMar>
              <w:top w:type="dxa" w:w="40"/>
              <w:left w:type="dxa" w:w="80"/>
              <w:bottom w:type="dxa" w:w="40"/>
              <w:right w:type="dxa" w:w="80"/>
            </w:tcMar>
          </w:tcPr>
          <w:p>
            <w:pPr>
              <w:spacing w:after="0" w:line="240"/>
            </w:pPr>
            <w:r>
              <w:rPr>
                <w:rFonts w:ascii="Calibri" w:cs="Calibri" w:eastAsia="Calibri" w:hAnsi="Calibri"/>
                <w:sz w:val="16"/>
                <w:szCs w:val="16"/>
              </w:rPr>
              <w:t xml:space="preserve">CTX</w:t>
            </w:r>
          </w:p>
        </w:tc>
        <w:tc>
          <w:tcPr>
            <w:tcW w:type="dxa" w:w="1800"/>
            <w:shd w:fill="F2F5FB" w:color="auto" w:val="clear"/>
            <w:tcMar>
              <w:top w:type="dxa" w:w="40"/>
              <w:left w:type="dxa" w:w="80"/>
              <w:bottom w:type="dxa" w:w="40"/>
              <w:right w:type="dxa" w:w="80"/>
            </w:tcMar>
          </w:tcPr>
          <w:p>
            <w:pPr>
              <w:spacing w:after="0" w:line="240"/>
            </w:pPr>
            <w:r>
              <w:rPr>
                <w:rFonts w:ascii="Calibri" w:cs="Calibri" w:eastAsia="Calibri" w:hAnsi="Calibri"/>
                <w:b/>
                <w:bCs/>
                <w:sz w:val="18"/>
                <w:szCs w:val="18"/>
              </w:rPr>
              <w:t xml:space="preserve">0</w:t>
            </w:r>
            <w:r>
              <w:rPr>
                <w:rFonts w:ascii="Calibri" w:cs="Calibri" w:eastAsia="Calibri" w:hAnsi="Calibri"/>
                <w:color w:val="C00000"/>
                <w:sz w:val="16"/>
                <w:szCs w:val="16"/>
              </w:rPr>
              <w:t xml:space="preserve">  NO_GO</w:t>
            </w:r>
          </w:p>
        </w:tc>
        <w:tc>
          <w:tcPr>
            <w:tcW w:type="dxa" w:w="1838"/>
            <w:shd w:fill="F2F5FB" w:color="auto" w:val="clear"/>
            <w:tcMar>
              <w:top w:type="dxa" w:w="40"/>
              <w:left w:type="dxa" w:w="80"/>
              <w:bottom w:type="dxa" w:w="40"/>
              <w:right w:type="dxa" w:w="80"/>
            </w:tcMar>
          </w:tcPr>
          <w:p>
            <w:pPr>
              <w:spacing w:after="0" w:line="240"/>
            </w:pPr>
            <w:r>
              <w:rPr>
                <w:rFonts w:ascii="Calibri" w:cs="Calibri" w:eastAsia="Calibri" w:hAnsi="Calibri"/>
                <w:b/>
                <w:bCs/>
                <w:sz w:val="18"/>
                <w:szCs w:val="18"/>
              </w:rPr>
              <w:t xml:space="preserve">0</w:t>
            </w:r>
            <w:r>
              <w:rPr>
                <w:rFonts w:ascii="Calibri" w:cs="Calibri" w:eastAsia="Calibri" w:hAnsi="Calibri"/>
                <w:color w:val="C00000"/>
                <w:sz w:val="16"/>
                <w:szCs w:val="16"/>
              </w:rPr>
              <w:t xml:space="preserve">  NO_GO</w:t>
            </w:r>
          </w:p>
        </w:tc>
        <w:tc>
          <w:tcPr>
            <w:tcW w:type="dxa" w:w="1800"/>
            <w:shd w:fill="F2F5FB" w:color="auto" w:val="clear"/>
            <w:tcMar>
              <w:top w:type="dxa" w:w="40"/>
              <w:left w:type="dxa" w:w="80"/>
              <w:bottom w:type="dxa" w:w="40"/>
              <w:right w:type="dxa" w:w="80"/>
            </w:tcMar>
          </w:tcPr>
          <w:p>
            <w:pPr>
              <w:spacing w:after="0" w:line="240"/>
            </w:pPr>
            <w:r>
              <w:rPr>
                <w:rFonts w:ascii="Calibri" w:cs="Calibri" w:eastAsia="Calibri" w:hAnsi="Calibri"/>
                <w:b/>
                <w:bCs/>
                <w:sz w:val="18"/>
                <w:szCs w:val="18"/>
              </w:rPr>
              <w:t xml:space="preserve">0</w:t>
            </w:r>
            <w:r>
              <w:rPr>
                <w:rFonts w:ascii="Calibri" w:cs="Calibri" w:eastAsia="Calibri" w:hAnsi="Calibri"/>
                <w:color w:val="C00000"/>
                <w:sz w:val="16"/>
                <w:szCs w:val="16"/>
              </w:rPr>
              <w:t xml:space="preserve">  NO_GO</w:t>
            </w:r>
          </w:p>
        </w:tc>
      </w:tr>
      <w:tr>
        <w:trPr>
          <w:cantSplit/>
        </w:trPr>
        <w:tc>
          <w:tcPr>
            <w:tcW w:type="dxa" w:w="2900"/>
            <w:tcMar>
              <w:top w:type="dxa" w:w="40"/>
              <w:left w:type="dxa" w:w="80"/>
              <w:bottom w:type="dxa" w:w="40"/>
              <w:right w:type="dxa" w:w="80"/>
            </w:tcMar>
          </w:tcPr>
          <w:p>
            <w:pPr>
              <w:spacing w:after="0" w:line="240"/>
            </w:pPr>
            <w:r>
              <w:rPr>
                <w:rFonts w:ascii="Calibri" w:cs="Calibri" w:eastAsia="Calibri" w:hAnsi="Calibri"/>
                <w:b/>
                <w:bCs/>
                <w:sz w:val="17"/>
                <w:szCs w:val="17"/>
              </w:rPr>
              <w:t xml:space="preserve">PI-2026-109</w:t>
            </w:r>
          </w:p>
          <w:p>
            <w:pPr>
              <w:spacing w:after="0" w:line="240"/>
            </w:pPr>
            <w:r>
              <w:rPr>
                <w:rFonts w:ascii="Calibri" w:cs="Calibri" w:eastAsia="Calibri" w:hAnsi="Calibri"/>
                <w:color w:val="595959"/>
                <w:sz w:val="16"/>
                <w:szCs w:val="16"/>
              </w:rPr>
              <w:t xml:space="preserve">Green Valley</w:t>
            </w:r>
          </w:p>
        </w:tc>
        <w:tc>
          <w:tcPr>
            <w:tcW w:type="dxa" w:w="1300"/>
            <w:tcMar>
              <w:top w:type="dxa" w:w="40"/>
              <w:left w:type="dxa" w:w="80"/>
              <w:bottom w:type="dxa" w:w="40"/>
              <w:right w:type="dxa" w:w="80"/>
            </w:tcMar>
          </w:tcPr>
          <w:p>
            <w:pPr>
              <w:spacing w:after="0" w:line="240"/>
            </w:pPr>
            <w:r>
              <w:rPr>
                <w:rFonts w:ascii="Calibri" w:cs="Calibri" w:eastAsia="Calibri" w:hAnsi="Calibri"/>
                <w:sz w:val="16"/>
                <w:szCs w:val="16"/>
              </w:rPr>
              <w:t xml:space="preserve">SAIN</w:t>
            </w:r>
          </w:p>
        </w:tc>
        <w:tc>
          <w:tcPr>
            <w:tcW w:type="dxa" w:w="1800"/>
            <w:tcMar>
              <w:top w:type="dxa" w:w="40"/>
              <w:left w:type="dxa" w:w="80"/>
              <w:bottom w:type="dxa" w:w="40"/>
              <w:right w:type="dxa" w:w="80"/>
            </w:tcMar>
          </w:tcPr>
          <w:p>
            <w:pPr>
              <w:spacing w:after="0" w:line="240"/>
            </w:pPr>
            <w:r>
              <w:rPr>
                <w:rFonts w:ascii="Calibri" w:cs="Calibri" w:eastAsia="Calibri" w:hAnsi="Calibri"/>
                <w:b/>
                <w:bCs/>
                <w:sz w:val="18"/>
                <w:szCs w:val="18"/>
              </w:rPr>
              <w:t xml:space="preserve">76,58</w:t>
            </w:r>
            <w:r>
              <w:rPr>
                <w:rFonts w:ascii="Calibri" w:cs="Calibri" w:eastAsia="Calibri" w:hAnsi="Calibri"/>
                <w:color w:val="2E7D32"/>
                <w:sz w:val="16"/>
                <w:szCs w:val="16"/>
              </w:rPr>
              <w:t xml:space="preserve">  GO</w:t>
            </w:r>
          </w:p>
        </w:tc>
        <w:tc>
          <w:tcPr>
            <w:tcW w:type="dxa" w:w="1838"/>
            <w:tcMar>
              <w:top w:type="dxa" w:w="40"/>
              <w:left w:type="dxa" w:w="80"/>
              <w:bottom w:type="dxa" w:w="40"/>
              <w:right w:type="dxa" w:w="80"/>
            </w:tcMar>
          </w:tcPr>
          <w:p>
            <w:pPr>
              <w:spacing w:after="0" w:line="240"/>
            </w:pPr>
            <w:r>
              <w:rPr>
                <w:rFonts w:ascii="Calibri" w:cs="Calibri" w:eastAsia="Calibri" w:hAnsi="Calibri"/>
                <w:b/>
                <w:bCs/>
                <w:sz w:val="18"/>
                <w:szCs w:val="18"/>
              </w:rPr>
              <w:t xml:space="preserve">67,79</w:t>
            </w:r>
            <w:r>
              <w:rPr>
                <w:rFonts w:ascii="Calibri" w:cs="Calibri" w:eastAsia="Calibri" w:hAnsi="Calibri"/>
                <w:color w:val="5F8D2B"/>
                <w:sz w:val="16"/>
                <w:szCs w:val="16"/>
              </w:rPr>
              <w:t xml:space="preserve">  GO sous conditions</w:t>
            </w:r>
          </w:p>
        </w:tc>
        <w:tc>
          <w:tcPr>
            <w:tcW w:type="dxa" w:w="1800"/>
            <w:tcMar>
              <w:top w:type="dxa" w:w="40"/>
              <w:left w:type="dxa" w:w="80"/>
              <w:bottom w:type="dxa" w:w="40"/>
              <w:right w:type="dxa" w:w="80"/>
            </w:tcMar>
          </w:tcPr>
          <w:p>
            <w:pPr>
              <w:spacing w:after="0" w:line="240"/>
            </w:pPr>
            <w:r>
              <w:rPr>
                <w:rFonts w:ascii="Calibri" w:cs="Calibri" w:eastAsia="Calibri" w:hAnsi="Calibri"/>
                <w:b/>
                <w:bCs/>
                <w:sz w:val="18"/>
                <w:szCs w:val="18"/>
              </w:rPr>
              <w:t xml:space="preserve">79,1</w:t>
            </w:r>
            <w:r>
              <w:rPr>
                <w:rFonts w:ascii="Calibri" w:cs="Calibri" w:eastAsia="Calibri" w:hAnsi="Calibri"/>
                <w:color w:val="2E7D32"/>
                <w:sz w:val="16"/>
                <w:szCs w:val="16"/>
              </w:rPr>
              <w:t xml:space="preserve">  GO</w:t>
            </w:r>
          </w:p>
        </w:tc>
      </w:tr>
      <w:tr>
        <w:trPr>
          <w:cantSplit/>
        </w:trPr>
        <w:tc>
          <w:tcPr>
            <w:tcW w:type="dxa" w:w="2900"/>
            <w:shd w:fill="F2F5FB" w:color="auto" w:val="clear"/>
            <w:tcMar>
              <w:top w:type="dxa" w:w="40"/>
              <w:left w:type="dxa" w:w="80"/>
              <w:bottom w:type="dxa" w:w="40"/>
              <w:right w:type="dxa" w:w="80"/>
            </w:tcMar>
          </w:tcPr>
          <w:p>
            <w:pPr>
              <w:spacing w:after="0" w:line="240"/>
            </w:pPr>
            <w:r>
              <w:rPr>
                <w:rFonts w:ascii="Calibri" w:cs="Calibri" w:eastAsia="Calibri" w:hAnsi="Calibri"/>
                <w:b/>
                <w:bCs/>
                <w:sz w:val="17"/>
                <w:szCs w:val="17"/>
              </w:rPr>
              <w:t xml:space="preserve">PI-2026-110</w:t>
            </w:r>
          </w:p>
          <w:p>
            <w:pPr>
              <w:spacing w:after="0" w:line="240"/>
            </w:pPr>
            <w:r>
              <w:rPr>
                <w:rFonts w:ascii="Calibri" w:cs="Calibri" w:eastAsia="Calibri" w:hAnsi="Calibri"/>
                <w:color w:val="595959"/>
                <w:sz w:val="16"/>
                <w:szCs w:val="16"/>
              </w:rPr>
              <w:t xml:space="preserve">Zénith Towers</w:t>
            </w:r>
          </w:p>
        </w:tc>
        <w:tc>
          <w:tcPr>
            <w:tcW w:type="dxa" w:w="1300"/>
            <w:shd w:fill="F2F5FB" w:color="auto" w:val="clear"/>
            <w:tcMar>
              <w:top w:type="dxa" w:w="40"/>
              <w:left w:type="dxa" w:w="80"/>
              <w:bottom w:type="dxa" w:w="40"/>
              <w:right w:type="dxa" w:w="80"/>
            </w:tcMar>
          </w:tcPr>
          <w:p>
            <w:pPr>
              <w:spacing w:after="0" w:line="240"/>
            </w:pPr>
            <w:r>
              <w:rPr>
                <w:rFonts w:ascii="Calibri" w:cs="Calibri" w:eastAsia="Calibri" w:hAnsi="Calibri"/>
                <w:sz w:val="16"/>
                <w:szCs w:val="16"/>
              </w:rPr>
              <w:t xml:space="preserve">SENSIBLE</w:t>
            </w:r>
          </w:p>
        </w:tc>
        <w:tc>
          <w:tcPr>
            <w:tcW w:type="dxa" w:w="1800"/>
            <w:shd w:fill="F2F5FB" w:color="auto" w:val="clear"/>
            <w:tcMar>
              <w:top w:type="dxa" w:w="40"/>
              <w:left w:type="dxa" w:w="80"/>
              <w:bottom w:type="dxa" w:w="40"/>
              <w:right w:type="dxa" w:w="80"/>
            </w:tcMar>
          </w:tcPr>
          <w:p>
            <w:pPr>
              <w:spacing w:after="0" w:line="240"/>
            </w:pPr>
            <w:r>
              <w:rPr>
                <w:rFonts w:ascii="Calibri" w:cs="Calibri" w:eastAsia="Calibri" w:hAnsi="Calibri"/>
                <w:b/>
                <w:bCs/>
                <w:sz w:val="18"/>
                <w:szCs w:val="18"/>
              </w:rPr>
              <w:t xml:space="preserve">72,55</w:t>
            </w:r>
            <w:r>
              <w:rPr>
                <w:rFonts w:ascii="Calibri" w:cs="Calibri" w:eastAsia="Calibri" w:hAnsi="Calibri"/>
                <w:color w:val="5F8D2B"/>
                <w:sz w:val="16"/>
                <w:szCs w:val="16"/>
              </w:rPr>
              <w:t xml:space="preserve">  GO sous conditions</w:t>
            </w:r>
          </w:p>
        </w:tc>
        <w:tc>
          <w:tcPr>
            <w:tcW w:type="dxa" w:w="1838"/>
            <w:shd w:fill="F2F5FB" w:color="auto" w:val="clear"/>
            <w:tcMar>
              <w:top w:type="dxa" w:w="40"/>
              <w:left w:type="dxa" w:w="80"/>
              <w:bottom w:type="dxa" w:w="40"/>
              <w:right w:type="dxa" w:w="80"/>
            </w:tcMar>
          </w:tcPr>
          <w:p>
            <w:pPr>
              <w:spacing w:after="0" w:line="240"/>
            </w:pPr>
            <w:r>
              <w:rPr>
                <w:rFonts w:ascii="Calibri" w:cs="Calibri" w:eastAsia="Calibri" w:hAnsi="Calibri"/>
                <w:b/>
                <w:bCs/>
                <w:sz w:val="18"/>
                <w:szCs w:val="18"/>
              </w:rPr>
              <w:t xml:space="preserve">64,22</w:t>
            </w:r>
            <w:r>
              <w:rPr>
                <w:rFonts w:ascii="Calibri" w:cs="Calibri" w:eastAsia="Calibri" w:hAnsi="Calibri"/>
                <w:color w:val="B45F06"/>
                <w:sz w:val="16"/>
                <w:szCs w:val="16"/>
              </w:rPr>
              <w:t xml:space="preserve">  Watch list</w:t>
            </w:r>
          </w:p>
        </w:tc>
        <w:tc>
          <w:tcPr>
            <w:tcW w:type="dxa" w:w="1800"/>
            <w:shd w:fill="F2F5FB" w:color="auto" w:val="clear"/>
            <w:tcMar>
              <w:top w:type="dxa" w:w="40"/>
              <w:left w:type="dxa" w:w="80"/>
              <w:bottom w:type="dxa" w:w="40"/>
              <w:right w:type="dxa" w:w="80"/>
            </w:tcMar>
          </w:tcPr>
          <w:p>
            <w:pPr>
              <w:spacing w:after="0" w:line="240"/>
            </w:pPr>
            <w:r>
              <w:rPr>
                <w:rFonts w:ascii="Calibri" w:cs="Calibri" w:eastAsia="Calibri" w:hAnsi="Calibri"/>
                <w:b/>
                <w:bCs/>
                <w:sz w:val="18"/>
                <w:szCs w:val="18"/>
              </w:rPr>
              <w:t xml:space="preserve">74,93</w:t>
            </w:r>
            <w:r>
              <w:rPr>
                <w:rFonts w:ascii="Calibri" w:cs="Calibri" w:eastAsia="Calibri" w:hAnsi="Calibri"/>
                <w:color w:val="5F8D2B"/>
                <w:sz w:val="16"/>
                <w:szCs w:val="16"/>
              </w:rPr>
              <w:t xml:space="preserve">  GO sous conditions</w:t>
            </w:r>
          </w:p>
        </w:tc>
      </w:tr>
    </w:tbl>
    <w:p>
      <w:pPr>
        <w:spacing w:after="60" w:before="0" w:line="276"/>
      </w:pPr>
      <w:r>
        <w:rPr>
          <w:rFonts w:ascii="Calibri" w:cs="Calibri" w:eastAsia="Calibri" w:hAnsi="Calibri"/>
          <w:sz w:val="21"/>
          <w:szCs w:val="21"/>
        </w:rPr>
        <w:t xml:space="preserve"/>
      </w:r>
    </w:p>
    <w:p>
      <w:pPr>
        <w:pStyle w:val="Heading2"/>
        <w:keepNext/>
      </w:pPr>
      <w:r>
        <w:t xml:space="preserve">Lecture</w:t>
      </w:r>
    </w:p>
    <w:p>
      <w:pPr>
        <w:pStyle w:val="ListParagraph"/>
        <w:numPr>
          <w:ilvl w:val="0"/>
          <w:numId w:val="2"/>
        </w:numPr>
        <w:spacing w:after="60" w:line="276"/>
      </w:pPr>
      <w:r>
        <w:rPr>
          <w:rFonts w:ascii="Calibri" w:cs="Calibri" w:eastAsia="Calibri" w:hAnsi="Calibri"/>
          <w:sz w:val="21"/>
          <w:szCs w:val="21"/>
        </w:rPr>
        <w:t xml:space="preserve">Sans les données v5, les scores perdent en moyenne 8,6 points (hors dossiers à 0) et 4 décisions se dégradent. Ce n'est pas un risque nouveau, c'est l'effet voulu de la règle « donnée absente = note plancher ».</w:t>
      </w:r>
    </w:p>
    <w:p>
      <w:pPr>
        <w:pStyle w:val="ListParagraph"/>
        <w:numPr>
          <w:ilvl w:val="0"/>
          <w:numId w:val="2"/>
        </w:numPr>
        <w:spacing w:after="60" w:line="276"/>
      </w:pPr>
      <w:r>
        <w:rPr>
          <w:rFonts w:ascii="Calibri" w:cs="Calibri" w:eastAsia="Calibri" w:hAnsi="Calibri"/>
          <w:sz w:val="21"/>
          <w:szCs w:val="21"/>
        </w:rPr>
        <w:t xml:space="preserve">Avec des données v5 saines, les scores varient de 2,1 point en moyenne ; 2 décision(s) change(nt) (PI-2026-104 : Watch list → GO sous conditions ; PI-2026-105 : GO sous conditions → GO), sous l'effet du rééquilibrage des poids au sein des domaines.</w:t>
      </w:r>
    </w:p>
    <w:p>
      <w:pPr>
        <w:pStyle w:val="ListParagraph"/>
        <w:numPr>
          <w:ilvl w:val="0"/>
          <w:numId w:val="2"/>
        </w:numPr>
        <w:spacing w:after="60" w:line="276"/>
      </w:pPr>
      <w:r>
        <w:rPr>
          <w:rFonts w:ascii="Calibri" w:cs="Calibri" w:eastAsia="Calibri" w:hAnsi="Calibri"/>
          <w:sz w:val="21"/>
          <w:szCs w:val="21"/>
        </w:rPr>
        <w:t xml:space="preserve">Les dossiers en contentieux ou en défaut avéré restent à NO_GO : les verrous de décision sont inchangés.</w:t>
      </w:r>
    </w:p>
    <w:p>
      <w:pPr>
        <w:pStyle w:val="ListParagraph"/>
        <w:numPr>
          <w:ilvl w:val="0"/>
          <w:numId w:val="2"/>
        </w:numPr>
        <w:spacing w:after="60" w:line="276"/>
      </w:pPr>
      <w:r>
        <w:rPr>
          <w:rFonts w:ascii="Calibri" w:cs="Calibri" w:eastAsia="Calibri" w:hAnsi="Calibri"/>
          <w:sz w:val="21"/>
          <w:szCs w:val="21"/>
        </w:rPr>
        <w:t xml:space="preserve">Les dossiers de démonstration partagent les mêmes données de base ; l'impact sur un portefeuille réel dépendra des données v5 effectivement saisies.</w:t>
      </w:r>
    </w:p>
    <w:p>
      <w:r>
        <w:br w:type="page"/>
      </w:r>
    </w:p>
    <w:p>
      <w:pPr>
        <w:pStyle w:val="Heading1"/>
      </w:pPr>
      <w:r>
        <w:t xml:space="preserve">11. Mise en œuvre</w:t>
      </w:r>
    </w:p>
    <w:p>
      <w:pPr>
        <w:pStyle w:val="Heading2"/>
        <w:keepNext/>
      </w:pPr>
      <w:r>
        <w:t xml:space="preserve">Réalisé</w:t>
      </w:r>
    </w:p>
    <w:p>
      <w:pPr>
        <w:pStyle w:val="ListParagraph"/>
        <w:numPr>
          <w:ilvl w:val="0"/>
          <w:numId w:val="2"/>
        </w:numPr>
        <w:spacing w:after="60" w:line="276"/>
      </w:pPr>
      <w:r>
        <w:rPr>
          <w:rFonts w:ascii="Calibri" w:cs="Calibri" w:eastAsia="Calibri" w:hAnsi="Calibri"/>
          <w:sz w:val="21"/>
          <w:szCs w:val="21"/>
        </w:rPr>
        <w:t xml:space="preserve">Base de données : migration v5 appliquée (tranche financée, facilité rattachée à une tranche, registre des équipements, type de lot « Hôtel », déclaration des équipements), inscrite dans l'historique des migrations.</w:t>
      </w:r>
    </w:p>
    <w:p>
      <w:pPr>
        <w:pStyle w:val="ListParagraph"/>
        <w:numPr>
          <w:ilvl w:val="0"/>
          <w:numId w:val="2"/>
        </w:numPr>
        <w:spacing w:after="60" w:line="276"/>
      </w:pPr>
      <w:r>
        <w:rPr>
          <w:rFonts w:ascii="Calibri" w:cs="Calibri" w:eastAsia="Calibri" w:hAnsi="Calibri"/>
          <w:sz w:val="21"/>
          <w:szCs w:val="21"/>
        </w:rPr>
        <w:t xml:space="preserve">Modèle : version v5.0.0 publiée (ver_5), contrôlée identique à l'instantané du dépôt ; v4 retirée. Les calculs v4 existants conservent leur version.</w:t>
      </w:r>
    </w:p>
    <w:p>
      <w:pPr>
        <w:pStyle w:val="ListParagraph"/>
        <w:numPr>
          <w:ilvl w:val="0"/>
          <w:numId w:val="2"/>
        </w:numPr>
        <w:spacing w:after="60" w:line="276"/>
      </w:pPr>
      <w:r>
        <w:rPr>
          <w:rFonts w:ascii="Calibri" w:cs="Calibri" w:eastAsia="Calibri" w:hAnsi="Calibri"/>
          <w:sz w:val="21"/>
          <w:szCs w:val="21"/>
        </w:rPr>
        <w:t xml:space="preserve">Écrans : carte « Programme, tranche financée, équipements et déblocages » dans le suivi ; onglet « Programme » de la fiche projet ; étape « Programme » de la saisie ; colonnes d'import ; référentiel « Marché régional » ; trajectoire du score.</w:t>
      </w:r>
    </w:p>
    <w:p>
      <w:pPr>
        <w:pStyle w:val="ListParagraph"/>
        <w:numPr>
          <w:ilvl w:val="0"/>
          <w:numId w:val="2"/>
        </w:numPr>
        <w:spacing w:after="60" w:line="276"/>
      </w:pPr>
      <w:r>
        <w:rPr>
          <w:rFonts w:ascii="Calibri" w:cs="Calibri" w:eastAsia="Calibri" w:hAnsi="Calibri"/>
          <w:sz w:val="21"/>
          <w:szCs w:val="21"/>
        </w:rPr>
        <w:t xml:space="preserve">Synchronisation : les données v5 sont calculées depuis le suivi, sur le périmètre financé ; ce qui est affiché dans la carte est exactement ce qui est reporté dans le score.</w:t>
      </w:r>
    </w:p>
    <w:p>
      <w:pPr>
        <w:pStyle w:val="ListParagraph"/>
        <w:numPr>
          <w:ilvl w:val="0"/>
          <w:numId w:val="2"/>
        </w:numPr>
        <w:spacing w:after="60" w:line="276"/>
      </w:pPr>
      <w:r>
        <w:rPr>
          <w:rFonts w:ascii="Calibri" w:cs="Calibri" w:eastAsia="Calibri" w:hAnsi="Calibri"/>
          <w:sz w:val="21"/>
          <w:szCs w:val="21"/>
        </w:rPr>
        <w:t xml:space="preserve">Contrôles : 361 tests automatiques, dont l'alignement modèle ↔ saisie ↔ validation ↔ import et les 26 cas de référence.</w:t>
      </w:r>
    </w:p>
    <w:p>
      <w:pPr>
        <w:pStyle w:val="ListParagraph"/>
        <w:numPr>
          <w:ilvl w:val="0"/>
          <w:numId w:val="2"/>
        </w:numPr>
        <w:spacing w:after="60" w:line="276"/>
      </w:pPr>
      <w:r>
        <w:rPr>
          <w:rFonts w:ascii="Calibri" w:cs="Calibri" w:eastAsia="Calibri" w:hAnsi="Calibri"/>
          <w:sz w:val="21"/>
          <w:szCs w:val="21"/>
        </w:rPr>
        <w:t xml:space="preserve">Livrables : grilles de scoring v5 (Word), guide du chargé d'affaires et support de formation mis à jour, outil Excel/VBA 5.0 (vérifié sous LibreOffice : formules 26/26, calculateurs v5 10/10, macros et stress conformes).</w:t>
      </w:r>
    </w:p>
    <w:p>
      <w:pPr>
        <w:pStyle w:val="Heading2"/>
        <w:keepNext/>
      </w:pPr>
      <w:r>
        <w:t xml:space="preserve">À faire par la banque, dans cet ordre</w:t>
      </w:r>
    </w:p>
    <w:tbl>
      <w:tblPr>
        <w:tblW w:type="dxa" w:w="9638"/>
        <w:tblBorders>
          <w:top w:val="single" w:color="AEB6C6" w:sz="2"/>
          <w:left w:val="single" w:color="AEB6C6" w:sz="2"/>
          <w:bottom w:val="single" w:color="AEB6C6" w:sz="2"/>
          <w:right w:val="single" w:color="AEB6C6" w:sz="2"/>
          <w:insideH w:val="single" w:color="D0D6E2" w:sz="1"/>
          <w:insideV w:val="single" w:color="D0D6E2" w:sz="1"/>
        </w:tblBorders>
      </w:tblPr>
      <w:tblGrid>
        <w:gridCol w:w="500"/>
        <w:gridCol w:w="7338"/>
        <w:gridCol w:w="1800"/>
      </w:tblGrid>
      <w:tr>
        <w:trPr>
          <w:cantSplit/>
          <w:tblHeader/>
        </w:trPr>
        <w:tc>
          <w:tcPr>
            <w:tcW w:type="dxa" w:w="5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w:t>
            </w:r>
          </w:p>
        </w:tc>
        <w:tc>
          <w:tcPr>
            <w:tcW w:type="dxa" w:w="7338"/>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Action</w:t>
            </w:r>
          </w:p>
        </w:tc>
        <w:tc>
          <w:tcPr>
            <w:tcW w:type="dxa" w:w="18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Responsable</w:t>
            </w:r>
          </w:p>
        </w:tc>
      </w:tr>
      <w:tr>
        <w:trPr>
          <w:cantSplit/>
        </w:trPr>
        <w:tc>
          <w:tcPr>
            <w:tcW w:type="dxa" w:w="500"/>
            <w:tcMar>
              <w:top w:type="dxa" w:w="40"/>
              <w:left w:type="dxa" w:w="80"/>
              <w:bottom w:type="dxa" w:w="40"/>
              <w:right w:type="dxa" w:w="80"/>
            </w:tcMar>
          </w:tcPr>
          <w:p>
            <w:pPr>
              <w:spacing w:after="0" w:line="240"/>
              <w:jc w:val="center"/>
            </w:pPr>
            <w:r>
              <w:rPr>
                <w:rFonts w:ascii="Calibri" w:cs="Calibri" w:eastAsia="Calibri" w:hAnsi="Calibri"/>
                <w:b/>
                <w:bCs/>
                <w:sz w:val="18"/>
                <w:szCs w:val="18"/>
              </w:rPr>
              <w:t xml:space="preserve">1</w:t>
            </w:r>
          </w:p>
        </w:tc>
        <w:tc>
          <w:tcPr>
            <w:tcW w:type="dxa" w:w="7338"/>
            <w:tcMar>
              <w:top w:type="dxa" w:w="40"/>
              <w:left w:type="dxa" w:w="80"/>
              <w:bottom w:type="dxa" w:w="40"/>
              <w:right w:type="dxa" w:w="80"/>
            </w:tcMar>
          </w:tcPr>
          <w:p>
            <w:pPr>
              <w:spacing w:after="0" w:line="240"/>
            </w:pPr>
            <w:r>
              <w:rPr>
                <w:rFonts w:ascii="Calibri" w:cs="Calibri" w:eastAsia="Calibri" w:hAnsi="Calibri"/>
                <w:b w:val="false"/>
                <w:bCs w:val="false"/>
                <w:sz w:val="18"/>
                <w:szCs w:val="18"/>
              </w:rPr>
              <w:t xml:space="preserve">Remplir le référentiel « Marché régional » (12 régions × segments, date d'appréciation) et le revoir au moins une fois par an.</w:t>
            </w:r>
          </w:p>
        </w:tc>
        <w:tc>
          <w:tcPr>
            <w:tcW w:type="dxa" w:w="1800"/>
            <w:tcMar>
              <w:top w:type="dxa" w:w="40"/>
              <w:left w:type="dxa" w:w="80"/>
              <w:bottom w:type="dxa" w:w="40"/>
              <w:right w:type="dxa" w:w="80"/>
            </w:tcMar>
          </w:tcPr>
          <w:p>
            <w:pPr>
              <w:spacing w:after="0" w:line="240"/>
            </w:pPr>
            <w:r>
              <w:rPr>
                <w:rFonts w:ascii="Calibri" w:cs="Calibri" w:eastAsia="Calibri" w:hAnsi="Calibri"/>
                <w:b w:val="false"/>
                <w:bCs w:val="false"/>
                <w:sz w:val="18"/>
                <w:szCs w:val="18"/>
              </w:rPr>
              <w:t xml:space="preserve">Direction des risques</w:t>
            </w:r>
          </w:p>
        </w:tc>
      </w:tr>
      <w:tr>
        <w:trPr>
          <w:cantSplit/>
        </w:trPr>
        <w:tc>
          <w:tcPr>
            <w:tcW w:type="dxa" w:w="500"/>
            <w:shd w:fill="F2F5FB" w:color="auto" w:val="clear"/>
            <w:tcMar>
              <w:top w:type="dxa" w:w="40"/>
              <w:left w:type="dxa" w:w="80"/>
              <w:bottom w:type="dxa" w:w="40"/>
              <w:right w:type="dxa" w:w="80"/>
            </w:tcMar>
          </w:tcPr>
          <w:p>
            <w:pPr>
              <w:spacing w:after="0" w:line="240"/>
              <w:jc w:val="center"/>
            </w:pPr>
            <w:r>
              <w:rPr>
                <w:rFonts w:ascii="Calibri" w:cs="Calibri" w:eastAsia="Calibri" w:hAnsi="Calibri"/>
                <w:b/>
                <w:bCs/>
                <w:sz w:val="18"/>
                <w:szCs w:val="18"/>
              </w:rPr>
              <w:t xml:space="preserve">2</w:t>
            </w:r>
          </w:p>
        </w:tc>
        <w:tc>
          <w:tcPr>
            <w:tcW w:type="dxa" w:w="7338"/>
            <w:shd w:fill="F2F5FB" w:color="auto" w:val="clear"/>
            <w:tcMar>
              <w:top w:type="dxa" w:w="40"/>
              <w:left w:type="dxa" w:w="80"/>
              <w:bottom w:type="dxa" w:w="40"/>
              <w:right w:type="dxa" w:w="80"/>
            </w:tcMar>
          </w:tcPr>
          <w:p>
            <w:pPr>
              <w:spacing w:after="0" w:line="240"/>
            </w:pPr>
            <w:r>
              <w:rPr>
                <w:rFonts w:ascii="Calibri" w:cs="Calibri" w:eastAsia="Calibri" w:hAnsi="Calibri"/>
                <w:b w:val="false"/>
                <w:bCs w:val="false"/>
                <w:sz w:val="18"/>
                <w:szCs w:val="18"/>
              </w:rPr>
              <w:t xml:space="preserve">Pour chaque dossier : cocher la tranche financée et rattacher les facilités ; déclarer les équipements exigés (ou « aucun ») ; renseigner l'entreprise de travaux, le coût à terminaison et, le cas échéant, l'autonomie de la tranche et les composantes sans preneur.</w:t>
            </w:r>
          </w:p>
        </w:tc>
        <w:tc>
          <w:tcPr>
            <w:tcW w:type="dxa" w:w="1800"/>
            <w:shd w:fill="F2F5FB" w:color="auto" w:val="clear"/>
            <w:tcMar>
              <w:top w:type="dxa" w:w="40"/>
              <w:left w:type="dxa" w:w="80"/>
              <w:bottom w:type="dxa" w:w="40"/>
              <w:right w:type="dxa" w:w="80"/>
            </w:tcMar>
          </w:tcPr>
          <w:p>
            <w:pPr>
              <w:spacing w:after="0" w:line="240"/>
            </w:pPr>
            <w:r>
              <w:rPr>
                <w:rFonts w:ascii="Calibri" w:cs="Calibri" w:eastAsia="Calibri" w:hAnsi="Calibri"/>
                <w:b w:val="false"/>
                <w:bCs w:val="false"/>
                <w:sz w:val="18"/>
                <w:szCs w:val="18"/>
              </w:rPr>
              <w:t xml:space="preserve">Chargés d'affaires</w:t>
            </w:r>
          </w:p>
        </w:tc>
      </w:tr>
      <w:tr>
        <w:trPr>
          <w:cantSplit/>
        </w:trPr>
        <w:tc>
          <w:tcPr>
            <w:tcW w:type="dxa" w:w="500"/>
            <w:tcMar>
              <w:top w:type="dxa" w:w="40"/>
              <w:left w:type="dxa" w:w="80"/>
              <w:bottom w:type="dxa" w:w="40"/>
              <w:right w:type="dxa" w:w="80"/>
            </w:tcMar>
          </w:tcPr>
          <w:p>
            <w:pPr>
              <w:spacing w:after="0" w:line="240"/>
              <w:jc w:val="center"/>
            </w:pPr>
            <w:r>
              <w:rPr>
                <w:rFonts w:ascii="Calibri" w:cs="Calibri" w:eastAsia="Calibri" w:hAnsi="Calibri"/>
                <w:b/>
                <w:bCs/>
                <w:sz w:val="18"/>
                <w:szCs w:val="18"/>
              </w:rPr>
              <w:t xml:space="preserve">3</w:t>
            </w:r>
          </w:p>
        </w:tc>
        <w:tc>
          <w:tcPr>
            <w:tcW w:type="dxa" w:w="7338"/>
            <w:tcMar>
              <w:top w:type="dxa" w:w="40"/>
              <w:left w:type="dxa" w:w="80"/>
              <w:bottom w:type="dxa" w:w="40"/>
              <w:right w:type="dxa" w:w="80"/>
            </w:tcMar>
          </w:tcPr>
          <w:p>
            <w:pPr>
              <w:spacing w:after="0" w:line="240"/>
            </w:pPr>
            <w:r>
              <w:rPr>
                <w:rFonts w:ascii="Calibri" w:cs="Calibri" w:eastAsia="Calibri" w:hAnsi="Calibri"/>
                <w:b w:val="false"/>
                <w:bCs w:val="false"/>
                <w:sz w:val="18"/>
                <w:szCs w:val="18"/>
              </w:rPr>
              <w:t xml:space="preserve">« Synchroniser vers le scoring », vérifier la carte Programme, puis re-scorer le dossier.</w:t>
            </w:r>
          </w:p>
        </w:tc>
        <w:tc>
          <w:tcPr>
            <w:tcW w:type="dxa" w:w="1800"/>
            <w:tcMar>
              <w:top w:type="dxa" w:w="40"/>
              <w:left w:type="dxa" w:w="80"/>
              <w:bottom w:type="dxa" w:w="40"/>
              <w:right w:type="dxa" w:w="80"/>
            </w:tcMar>
          </w:tcPr>
          <w:p>
            <w:pPr>
              <w:spacing w:after="0" w:line="240"/>
            </w:pPr>
            <w:r>
              <w:rPr>
                <w:rFonts w:ascii="Calibri" w:cs="Calibri" w:eastAsia="Calibri" w:hAnsi="Calibri"/>
                <w:b w:val="false"/>
                <w:bCs w:val="false"/>
                <w:sz w:val="18"/>
                <w:szCs w:val="18"/>
              </w:rPr>
              <w:t xml:space="preserve">Chargés d'affaires</w:t>
            </w:r>
          </w:p>
        </w:tc>
      </w:tr>
      <w:tr>
        <w:trPr>
          <w:cantSplit/>
        </w:trPr>
        <w:tc>
          <w:tcPr>
            <w:tcW w:type="dxa" w:w="500"/>
            <w:shd w:fill="F2F5FB" w:color="auto" w:val="clear"/>
            <w:tcMar>
              <w:top w:type="dxa" w:w="40"/>
              <w:left w:type="dxa" w:w="80"/>
              <w:bottom w:type="dxa" w:w="40"/>
              <w:right w:type="dxa" w:w="80"/>
            </w:tcMar>
          </w:tcPr>
          <w:p>
            <w:pPr>
              <w:spacing w:after="0" w:line="240"/>
              <w:jc w:val="center"/>
            </w:pPr>
            <w:r>
              <w:rPr>
                <w:rFonts w:ascii="Calibri" w:cs="Calibri" w:eastAsia="Calibri" w:hAnsi="Calibri"/>
                <w:b/>
                <w:bCs/>
                <w:sz w:val="18"/>
                <w:szCs w:val="18"/>
              </w:rPr>
              <w:t xml:space="preserve">4</w:t>
            </w:r>
          </w:p>
        </w:tc>
        <w:tc>
          <w:tcPr>
            <w:tcW w:type="dxa" w:w="7338"/>
            <w:shd w:fill="F2F5FB" w:color="auto" w:val="clear"/>
            <w:tcMar>
              <w:top w:type="dxa" w:w="40"/>
              <w:left w:type="dxa" w:w="80"/>
              <w:bottom w:type="dxa" w:w="40"/>
              <w:right w:type="dxa" w:w="80"/>
            </w:tcMar>
          </w:tcPr>
          <w:p>
            <w:pPr>
              <w:spacing w:after="0" w:line="240"/>
            </w:pPr>
            <w:r>
              <w:rPr>
                <w:rFonts w:ascii="Calibri" w:cs="Calibri" w:eastAsia="Calibri" w:hAnsi="Calibri"/>
                <w:b w:val="false"/>
                <w:bCs w:val="false"/>
                <w:sz w:val="18"/>
                <w:szCs w:val="18"/>
              </w:rPr>
              <w:t xml:space="preserve">Une fois les dossiers renseignés : recalculer le portefeuille (Administration › Modèle).</w:t>
            </w:r>
          </w:p>
        </w:tc>
        <w:tc>
          <w:tcPr>
            <w:tcW w:type="dxa" w:w="1800"/>
            <w:shd w:fill="F2F5FB" w:color="auto" w:val="clear"/>
            <w:tcMar>
              <w:top w:type="dxa" w:w="40"/>
              <w:left w:type="dxa" w:w="80"/>
              <w:bottom w:type="dxa" w:w="40"/>
              <w:right w:type="dxa" w:w="80"/>
            </w:tcMar>
          </w:tcPr>
          <w:p>
            <w:pPr>
              <w:spacing w:after="0" w:line="240"/>
            </w:pPr>
            <w:r>
              <w:rPr>
                <w:rFonts w:ascii="Calibri" w:cs="Calibri" w:eastAsia="Calibri" w:hAnsi="Calibri"/>
                <w:b w:val="false"/>
                <w:bCs w:val="false"/>
                <w:sz w:val="18"/>
                <w:szCs w:val="18"/>
              </w:rPr>
              <w:t xml:space="preserve">Direction des risques</w:t>
            </w:r>
          </w:p>
        </w:tc>
      </w:tr>
      <w:tr>
        <w:trPr>
          <w:cantSplit/>
        </w:trPr>
        <w:tc>
          <w:tcPr>
            <w:tcW w:type="dxa" w:w="500"/>
            <w:tcMar>
              <w:top w:type="dxa" w:w="40"/>
              <w:left w:type="dxa" w:w="80"/>
              <w:bottom w:type="dxa" w:w="40"/>
              <w:right w:type="dxa" w:w="80"/>
            </w:tcMar>
          </w:tcPr>
          <w:p>
            <w:pPr>
              <w:spacing w:after="0" w:line="240"/>
              <w:jc w:val="center"/>
            </w:pPr>
            <w:r>
              <w:rPr>
                <w:rFonts w:ascii="Calibri" w:cs="Calibri" w:eastAsia="Calibri" w:hAnsi="Calibri"/>
                <w:b/>
                <w:bCs/>
                <w:sz w:val="18"/>
                <w:szCs w:val="18"/>
              </w:rPr>
              <w:t xml:space="preserve">5</w:t>
            </w:r>
          </w:p>
        </w:tc>
        <w:tc>
          <w:tcPr>
            <w:tcW w:type="dxa" w:w="7338"/>
            <w:tcMar>
              <w:top w:type="dxa" w:w="40"/>
              <w:left w:type="dxa" w:w="80"/>
              <w:bottom w:type="dxa" w:w="40"/>
              <w:right w:type="dxa" w:w="80"/>
            </w:tcMar>
          </w:tcPr>
          <w:p>
            <w:pPr>
              <w:spacing w:after="0" w:line="240"/>
            </w:pPr>
            <w:r>
              <w:rPr>
                <w:rFonts w:ascii="Calibri" w:cs="Calibri" w:eastAsia="Calibri" w:hAnsi="Calibri"/>
                <w:b w:val="false"/>
                <w:bCs w:val="false"/>
                <w:sz w:val="18"/>
                <w:szCs w:val="18"/>
              </w:rPr>
              <w:t xml:space="preserve">Faire valider par le comité des risques les poids et seuils v5 (choix d'expert), puis suivre leur pouvoir de discrimination dans le temps.</w:t>
            </w:r>
          </w:p>
        </w:tc>
        <w:tc>
          <w:tcPr>
            <w:tcW w:type="dxa" w:w="1800"/>
            <w:tcMar>
              <w:top w:type="dxa" w:w="40"/>
              <w:left w:type="dxa" w:w="80"/>
              <w:bottom w:type="dxa" w:w="40"/>
              <w:right w:type="dxa" w:w="80"/>
            </w:tcMar>
          </w:tcPr>
          <w:p>
            <w:pPr>
              <w:spacing w:after="0" w:line="240"/>
            </w:pPr>
            <w:r>
              <w:rPr>
                <w:rFonts w:ascii="Calibri" w:cs="Calibri" w:eastAsia="Calibri" w:hAnsi="Calibri"/>
                <w:b w:val="false"/>
                <w:bCs w:val="false"/>
                <w:sz w:val="18"/>
                <w:szCs w:val="18"/>
              </w:rPr>
              <w:t xml:space="preserve">Comité des risques</w:t>
            </w:r>
          </w:p>
        </w:tc>
      </w:tr>
      <w:tr>
        <w:trPr>
          <w:cantSplit/>
        </w:trPr>
        <w:tc>
          <w:tcPr>
            <w:tcW w:type="dxa" w:w="500"/>
            <w:shd w:fill="F2F5FB" w:color="auto" w:val="clear"/>
            <w:tcMar>
              <w:top w:type="dxa" w:w="40"/>
              <w:left w:type="dxa" w:w="80"/>
              <w:bottom w:type="dxa" w:w="40"/>
              <w:right w:type="dxa" w:w="80"/>
            </w:tcMar>
          </w:tcPr>
          <w:p>
            <w:pPr>
              <w:spacing w:after="0" w:line="240"/>
              <w:jc w:val="center"/>
            </w:pPr>
            <w:r>
              <w:rPr>
                <w:rFonts w:ascii="Calibri" w:cs="Calibri" w:eastAsia="Calibri" w:hAnsi="Calibri"/>
                <w:b/>
                <w:bCs/>
                <w:sz w:val="18"/>
                <w:szCs w:val="18"/>
              </w:rPr>
              <w:t xml:space="preserve">6</w:t>
            </w:r>
          </w:p>
        </w:tc>
        <w:tc>
          <w:tcPr>
            <w:tcW w:type="dxa" w:w="7338"/>
            <w:shd w:fill="F2F5FB" w:color="auto" w:val="clear"/>
            <w:tcMar>
              <w:top w:type="dxa" w:w="40"/>
              <w:left w:type="dxa" w:w="80"/>
              <w:bottom w:type="dxa" w:w="40"/>
              <w:right w:type="dxa" w:w="80"/>
            </w:tcMar>
          </w:tcPr>
          <w:p>
            <w:pPr>
              <w:spacing w:after="0" w:line="240"/>
            </w:pPr>
            <w:r>
              <w:rPr>
                <w:rFonts w:ascii="Calibri" w:cs="Calibri" w:eastAsia="Calibri" w:hAnsi="Calibri"/>
                <w:b w:val="false"/>
                <w:bCs w:val="false"/>
                <w:sz w:val="18"/>
                <w:szCs w:val="18"/>
              </w:rPr>
              <w:t xml:space="preserve">Recette de l'outil Excel 5.0 sous Excel (import des macros, autotests 26/26).</w:t>
            </w:r>
          </w:p>
        </w:tc>
        <w:tc>
          <w:tcPr>
            <w:tcW w:type="dxa" w:w="1800"/>
            <w:shd w:fill="F2F5FB" w:color="auto" w:val="clear"/>
            <w:tcMar>
              <w:top w:type="dxa" w:w="40"/>
              <w:left w:type="dxa" w:w="80"/>
              <w:bottom w:type="dxa" w:w="40"/>
              <w:right w:type="dxa" w:w="80"/>
            </w:tcMar>
          </w:tcPr>
          <w:p>
            <w:pPr>
              <w:spacing w:after="0" w:line="240"/>
            </w:pPr>
            <w:r>
              <w:rPr>
                <w:rFonts w:ascii="Calibri" w:cs="Calibri" w:eastAsia="Calibri" w:hAnsi="Calibri"/>
                <w:b w:val="false"/>
                <w:bCs w:val="false"/>
                <w:sz w:val="18"/>
                <w:szCs w:val="18"/>
              </w:rPr>
              <w:t xml:space="preserve">Direction des risques</w:t>
            </w:r>
          </w:p>
        </w:tc>
      </w:tr>
    </w:tbl>
    <w:p>
      <w:pPr>
        <w:pStyle w:val="Heading2"/>
        <w:keepNext/>
      </w:pPr>
      <w:r>
        <w:t xml:space="preserve">Limites générales</w:t>
      </w:r>
    </w:p>
    <w:p>
      <w:pPr>
        <w:pStyle w:val="ListParagraph"/>
        <w:numPr>
          <w:ilvl w:val="0"/>
          <w:numId w:val="2"/>
        </w:numPr>
        <w:spacing w:after="60" w:line="276"/>
      </w:pPr>
      <w:r>
        <w:rPr>
          <w:rFonts w:ascii="Calibri" w:cs="Calibri" w:eastAsia="Calibri" w:hAnsi="Calibri"/>
          <w:sz w:val="21"/>
          <w:szCs w:val="21"/>
        </w:rPr>
        <w:t xml:space="preserve">Les poids et seuils v5 sont des choix d'expert : aucune calibration statistique n'est possible sans historique de défauts.</w:t>
      </w:r>
    </w:p>
    <w:p>
      <w:pPr>
        <w:pStyle w:val="ListParagraph"/>
        <w:numPr>
          <w:ilvl w:val="0"/>
          <w:numId w:val="2"/>
        </w:numPr>
        <w:spacing w:after="60" w:line="276"/>
      </w:pPr>
      <w:r>
        <w:rPr>
          <w:rFonts w:ascii="Calibri" w:cs="Calibri" w:eastAsia="Calibri" w:hAnsi="Calibri"/>
          <w:sz w:val="21"/>
          <w:szCs w:val="21"/>
        </w:rPr>
        <w:t xml:space="preserve">La PD reste indicative.</w:t>
      </w:r>
    </w:p>
    <w:p>
      <w:pPr>
        <w:pStyle w:val="ListParagraph"/>
        <w:numPr>
          <w:ilvl w:val="0"/>
          <w:numId w:val="2"/>
        </w:numPr>
        <w:spacing w:after="60" w:line="276"/>
      </w:pPr>
      <w:r>
        <w:rPr>
          <w:rFonts w:ascii="Calibri" w:cs="Calibri" w:eastAsia="Calibri" w:hAnsi="Calibri"/>
          <w:sz w:val="21"/>
          <w:szCs w:val="21"/>
        </w:rPr>
        <w:t xml:space="preserve">Le segment reste unique par projet ; la pondération par composante d'un programme mixte est une évolution possible.</w:t>
      </w:r>
    </w:p>
    <w:p>
      <w:r>
        <w:br w:type="page"/>
      </w:r>
    </w:p>
    <w:p>
      <w:pPr>
        <w:pStyle w:val="Heading1"/>
      </w:pPr>
      <w:r>
        <w:t xml:space="preserve">Annexe — Les 12 nouvelles données</w:t>
      </w:r>
    </w:p>
    <w:tbl>
      <w:tblPr>
        <w:tblW w:type="dxa" w:w="9638"/>
        <w:tblBorders>
          <w:top w:val="single" w:color="AEB6C6" w:sz="2"/>
          <w:left w:val="single" w:color="AEB6C6" w:sz="2"/>
          <w:bottom w:val="single" w:color="AEB6C6" w:sz="2"/>
          <w:right w:val="single" w:color="AEB6C6" w:sz="2"/>
          <w:insideH w:val="single" w:color="D0D6E2" w:sz="1"/>
          <w:insideV w:val="single" w:color="D0D6E2" w:sz="1"/>
        </w:tblBorders>
      </w:tblPr>
      <w:tblGrid>
        <w:gridCol w:w="2600"/>
        <w:gridCol w:w="3438"/>
        <w:gridCol w:w="2000"/>
        <w:gridCol w:w="1600"/>
      </w:tblGrid>
      <w:tr>
        <w:trPr>
          <w:cantSplit/>
          <w:tblHeader/>
        </w:trPr>
        <w:tc>
          <w:tcPr>
            <w:tcW w:type="dxa" w:w="26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Clé technique</w:t>
            </w:r>
          </w:p>
        </w:tc>
        <w:tc>
          <w:tcPr>
            <w:tcW w:type="dxa" w:w="3438"/>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Donnée</w:t>
            </w:r>
          </w:p>
        </w:tc>
        <w:tc>
          <w:tcPr>
            <w:tcW w:type="dxa" w:w="20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Source</w:t>
            </w:r>
          </w:p>
        </w:tc>
        <w:tc>
          <w:tcPr>
            <w:tcW w:type="dxa" w:w="1600"/>
            <w:shd w:fill="2E5496" w:color="auto" w:val="clear"/>
            <w:tcMar>
              <w:top w:type="dxa" w:w="40"/>
              <w:left w:type="dxa" w:w="80"/>
              <w:bottom w:type="dxa" w:w="40"/>
              <w:right w:type="dxa" w:w="80"/>
            </w:tcMar>
          </w:tcPr>
          <w:p>
            <w:pPr>
              <w:spacing w:after="0" w:line="240"/>
            </w:pPr>
            <w:r>
              <w:rPr>
                <w:rFonts w:ascii="Calibri" w:cs="Calibri" w:eastAsia="Calibri" w:hAnsi="Calibri"/>
                <w:b/>
                <w:bCs/>
                <w:color w:val="FFFFFF"/>
                <w:sz w:val="18"/>
                <w:szCs w:val="18"/>
              </w:rPr>
              <w:t xml:space="preserve">Alimentation</w:t>
            </w:r>
          </w:p>
        </w:tc>
      </w:tr>
      <w:tr>
        <w:trPr>
          <w:cantSplit/>
        </w:trPr>
        <w:tc>
          <w:tcPr>
            <w:tcW w:type="dxa" w:w="2600"/>
            <w:tcMar>
              <w:top w:type="dxa" w:w="40"/>
              <w:left w:type="dxa" w:w="80"/>
              <w:bottom w:type="dxa" w:w="40"/>
              <w:right w:type="dxa" w:w="80"/>
            </w:tcMar>
          </w:tcPr>
          <w:p>
            <w:pPr>
              <w:spacing w:after="0" w:line="240"/>
            </w:pPr>
            <w:r>
              <w:rPr>
                <w:rFonts w:ascii="Calibri" w:cs="Calibri" w:eastAsia="Calibri" w:hAnsi="Calibri"/>
                <w:b w:val="false"/>
                <w:bCs w:val="false"/>
                <w:sz w:val="18"/>
                <w:szCs w:val="18"/>
              </w:rPr>
              <w:t xml:space="preserve">regional_market_tension</w:t>
            </w:r>
          </w:p>
        </w:tc>
        <w:tc>
          <w:tcPr>
            <w:tcW w:type="dxa" w:w="3438"/>
            <w:tcMar>
              <w:top w:type="dxa" w:w="40"/>
              <w:left w:type="dxa" w:w="80"/>
              <w:bottom w:type="dxa" w:w="40"/>
              <w:right w:type="dxa" w:w="80"/>
            </w:tcMar>
          </w:tcPr>
          <w:p>
            <w:pPr>
              <w:spacing w:after="0" w:line="240"/>
            </w:pPr>
            <w:r>
              <w:rPr>
                <w:rFonts w:ascii="Calibri" w:cs="Calibri" w:eastAsia="Calibri" w:hAnsi="Calibri"/>
                <w:b w:val="false"/>
                <w:bCs w:val="false"/>
                <w:sz w:val="18"/>
                <w:szCs w:val="18"/>
              </w:rPr>
              <w:t xml:space="preserve">D2C9 — Tension du marché régional</w:t>
            </w:r>
          </w:p>
        </w:tc>
        <w:tc>
          <w:tcPr>
            <w:tcW w:type="dxa" w:w="2000"/>
            <w:tcMar>
              <w:top w:type="dxa" w:w="40"/>
              <w:left w:type="dxa" w:w="80"/>
              <w:bottom w:type="dxa" w:w="40"/>
              <w:right w:type="dxa" w:w="80"/>
            </w:tcMar>
          </w:tcPr>
          <w:p>
            <w:pPr>
              <w:spacing w:after="0" w:line="240"/>
            </w:pPr>
            <w:r>
              <w:rPr>
                <w:rFonts w:ascii="Calibri" w:cs="Calibri" w:eastAsia="Calibri" w:hAnsi="Calibri"/>
                <w:b w:val="false"/>
                <w:bCs w:val="false"/>
                <w:sz w:val="18"/>
                <w:szCs w:val="18"/>
              </w:rPr>
              <w:t xml:space="preserve">Référentiel « Marché régional »</w:t>
            </w:r>
          </w:p>
        </w:tc>
        <w:tc>
          <w:tcPr>
            <w:tcW w:type="dxa" w:w="1600"/>
            <w:tcMar>
              <w:top w:type="dxa" w:w="40"/>
              <w:left w:type="dxa" w:w="80"/>
              <w:bottom w:type="dxa" w:w="40"/>
              <w:right w:type="dxa" w:w="80"/>
            </w:tcMar>
          </w:tcPr>
          <w:p>
            <w:pPr>
              <w:spacing w:after="0" w:line="240"/>
            </w:pPr>
            <w:r>
              <w:rPr>
                <w:rFonts w:ascii="Calibri" w:cs="Calibri" w:eastAsia="Calibri" w:hAnsi="Calibri"/>
                <w:b w:val="false"/>
                <w:bCs w:val="false"/>
                <w:sz w:val="18"/>
                <w:szCs w:val="18"/>
              </w:rPr>
              <w:t xml:space="preserve">Auto (synchronisation) ou saisie</w:t>
            </w:r>
          </w:p>
        </w:tc>
      </w:tr>
      <w:tr>
        <w:trPr>
          <w:cantSplit/>
        </w:trPr>
        <w:tc>
          <w:tcPr>
            <w:tcW w:type="dxa" w:w="2600"/>
            <w:shd w:fill="F2F5FB" w:color="auto" w:val="clear"/>
            <w:tcMar>
              <w:top w:type="dxa" w:w="40"/>
              <w:left w:type="dxa" w:w="80"/>
              <w:bottom w:type="dxa" w:w="40"/>
              <w:right w:type="dxa" w:w="80"/>
            </w:tcMar>
          </w:tcPr>
          <w:p>
            <w:pPr>
              <w:spacing w:after="0" w:line="240"/>
            </w:pPr>
            <w:r>
              <w:rPr>
                <w:rFonts w:ascii="Calibri" w:cs="Calibri" w:eastAsia="Calibri" w:hAnsi="Calibri"/>
                <w:b w:val="false"/>
                <w:bCs w:val="false"/>
                <w:sz w:val="18"/>
                <w:szCs w:val="18"/>
              </w:rPr>
              <w:t xml:space="preserve">contractor_quality</w:t>
            </w:r>
          </w:p>
        </w:tc>
        <w:tc>
          <w:tcPr>
            <w:tcW w:type="dxa" w:w="3438"/>
            <w:shd w:fill="F2F5FB" w:color="auto" w:val="clear"/>
            <w:tcMar>
              <w:top w:type="dxa" w:w="40"/>
              <w:left w:type="dxa" w:w="80"/>
              <w:bottom w:type="dxa" w:w="40"/>
              <w:right w:type="dxa" w:w="80"/>
            </w:tcMar>
          </w:tcPr>
          <w:p>
            <w:pPr>
              <w:spacing w:after="0" w:line="240"/>
            </w:pPr>
            <w:r>
              <w:rPr>
                <w:rFonts w:ascii="Calibri" w:cs="Calibri" w:eastAsia="Calibri" w:hAnsi="Calibri"/>
                <w:b w:val="false"/>
                <w:bCs w:val="false"/>
                <w:sz w:val="18"/>
                <w:szCs w:val="18"/>
              </w:rPr>
              <w:t xml:space="preserve">D2C10 — Entreprise de travaux et garanties de marché</w:t>
            </w:r>
          </w:p>
        </w:tc>
        <w:tc>
          <w:tcPr>
            <w:tcW w:type="dxa" w:w="2000"/>
            <w:shd w:fill="F2F5FB" w:color="auto" w:val="clear"/>
            <w:tcMar>
              <w:top w:type="dxa" w:w="40"/>
              <w:left w:type="dxa" w:w="80"/>
              <w:bottom w:type="dxa" w:w="40"/>
              <w:right w:type="dxa" w:w="80"/>
            </w:tcMar>
          </w:tcPr>
          <w:p>
            <w:pPr>
              <w:spacing w:after="0" w:line="240"/>
            </w:pPr>
            <w:r>
              <w:rPr>
                <w:rFonts w:ascii="Calibri" w:cs="Calibri" w:eastAsia="Calibri" w:hAnsi="Calibri"/>
                <w:b w:val="false"/>
                <w:bCs w:val="false"/>
                <w:sz w:val="18"/>
                <w:szCs w:val="18"/>
              </w:rPr>
              <w:t xml:space="preserve">Marché de travaux</w:t>
            </w:r>
          </w:p>
        </w:tc>
        <w:tc>
          <w:tcPr>
            <w:tcW w:type="dxa" w:w="1600"/>
            <w:shd w:fill="F2F5FB" w:color="auto" w:val="clear"/>
            <w:tcMar>
              <w:top w:type="dxa" w:w="40"/>
              <w:left w:type="dxa" w:w="80"/>
              <w:bottom w:type="dxa" w:w="40"/>
              <w:right w:type="dxa" w:w="80"/>
            </w:tcMar>
          </w:tcPr>
          <w:p>
            <w:pPr>
              <w:spacing w:after="0" w:line="240"/>
            </w:pPr>
            <w:r>
              <w:rPr>
                <w:rFonts w:ascii="Calibri" w:cs="Calibri" w:eastAsia="Calibri" w:hAnsi="Calibri"/>
                <w:b w:val="false"/>
                <w:bCs w:val="false"/>
                <w:sz w:val="18"/>
                <w:szCs w:val="18"/>
              </w:rPr>
              <w:t xml:space="preserve">Saisie</w:t>
            </w:r>
          </w:p>
        </w:tc>
      </w:tr>
      <w:tr>
        <w:trPr>
          <w:cantSplit/>
        </w:trPr>
        <w:tc>
          <w:tcPr>
            <w:tcW w:type="dxa" w:w="2600"/>
            <w:tcMar>
              <w:top w:type="dxa" w:w="40"/>
              <w:left w:type="dxa" w:w="80"/>
              <w:bottom w:type="dxa" w:w="40"/>
              <w:right w:type="dxa" w:w="80"/>
            </w:tcMar>
          </w:tcPr>
          <w:p>
            <w:pPr>
              <w:spacing w:after="0" w:line="240"/>
            </w:pPr>
            <w:r>
              <w:rPr>
                <w:rFonts w:ascii="Calibri" w:cs="Calibri" w:eastAsia="Calibri" w:hAnsi="Calibri"/>
                <w:b w:val="false"/>
                <w:bCs w:val="false"/>
                <w:sz w:val="18"/>
                <w:szCs w:val="18"/>
              </w:rPr>
              <w:t xml:space="preserve">equipment_unbudgeted_pct</w:t>
            </w:r>
          </w:p>
        </w:tc>
        <w:tc>
          <w:tcPr>
            <w:tcW w:type="dxa" w:w="3438"/>
            <w:tcMar>
              <w:top w:type="dxa" w:w="40"/>
              <w:left w:type="dxa" w:w="80"/>
              <w:bottom w:type="dxa" w:w="40"/>
              <w:right w:type="dxa" w:w="80"/>
            </w:tcMar>
          </w:tcPr>
          <w:p>
            <w:pPr>
              <w:spacing w:after="0" w:line="240"/>
            </w:pPr>
            <w:r>
              <w:rPr>
                <w:rFonts w:ascii="Calibri" w:cs="Calibri" w:eastAsia="Calibri" w:hAnsi="Calibri"/>
                <w:b w:val="false"/>
                <w:bCs w:val="false"/>
                <w:sz w:val="18"/>
                <w:szCs w:val="18"/>
              </w:rPr>
              <w:t xml:space="preserve">D2C11 — Équipements exigés non budgétés (% du coût)</w:t>
            </w:r>
          </w:p>
        </w:tc>
        <w:tc>
          <w:tcPr>
            <w:tcW w:type="dxa" w:w="2000"/>
            <w:tcMar>
              <w:top w:type="dxa" w:w="40"/>
              <w:left w:type="dxa" w:w="80"/>
              <w:bottom w:type="dxa" w:w="40"/>
              <w:right w:type="dxa" w:w="80"/>
            </w:tcMar>
          </w:tcPr>
          <w:p>
            <w:pPr>
              <w:spacing w:after="0" w:line="240"/>
            </w:pPr>
            <w:r>
              <w:rPr>
                <w:rFonts w:ascii="Calibri" w:cs="Calibri" w:eastAsia="Calibri" w:hAnsi="Calibri"/>
                <w:b w:val="false"/>
                <w:bCs w:val="false"/>
                <w:sz w:val="18"/>
                <w:szCs w:val="18"/>
              </w:rPr>
              <w:t xml:space="preserve">Registre des équipements</w:t>
            </w:r>
          </w:p>
        </w:tc>
        <w:tc>
          <w:tcPr>
            <w:tcW w:type="dxa" w:w="1600"/>
            <w:tcMar>
              <w:top w:type="dxa" w:w="40"/>
              <w:left w:type="dxa" w:w="80"/>
              <w:bottom w:type="dxa" w:w="40"/>
              <w:right w:type="dxa" w:w="80"/>
            </w:tcMar>
          </w:tcPr>
          <w:p>
            <w:pPr>
              <w:spacing w:after="0" w:line="240"/>
            </w:pPr>
            <w:r>
              <w:rPr>
                <w:rFonts w:ascii="Calibri" w:cs="Calibri" w:eastAsia="Calibri" w:hAnsi="Calibri"/>
                <w:b w:val="false"/>
                <w:bCs w:val="false"/>
                <w:sz w:val="18"/>
                <w:szCs w:val="18"/>
              </w:rPr>
              <w:t xml:space="preserve">Auto</w:t>
            </w:r>
          </w:p>
        </w:tc>
      </w:tr>
      <w:tr>
        <w:trPr>
          <w:cantSplit/>
        </w:trPr>
        <w:tc>
          <w:tcPr>
            <w:tcW w:type="dxa" w:w="2600"/>
            <w:shd w:fill="F2F5FB" w:color="auto" w:val="clear"/>
            <w:tcMar>
              <w:top w:type="dxa" w:w="40"/>
              <w:left w:type="dxa" w:w="80"/>
              <w:bottom w:type="dxa" w:w="40"/>
              <w:right w:type="dxa" w:w="80"/>
            </w:tcMar>
          </w:tcPr>
          <w:p>
            <w:pPr>
              <w:spacing w:after="0" w:line="240"/>
            </w:pPr>
            <w:r>
              <w:rPr>
                <w:rFonts w:ascii="Calibri" w:cs="Calibri" w:eastAsia="Calibri" w:hAnsi="Calibri"/>
                <w:b w:val="false"/>
                <w:bCs w:val="false"/>
                <w:sz w:val="18"/>
                <w:szCs w:val="18"/>
              </w:rPr>
              <w:t xml:space="preserve">tranche_dependency</w:t>
            </w:r>
          </w:p>
        </w:tc>
        <w:tc>
          <w:tcPr>
            <w:tcW w:type="dxa" w:w="3438"/>
            <w:shd w:fill="F2F5FB" w:color="auto" w:val="clear"/>
            <w:tcMar>
              <w:top w:type="dxa" w:w="40"/>
              <w:left w:type="dxa" w:w="80"/>
              <w:bottom w:type="dxa" w:w="40"/>
              <w:right w:type="dxa" w:w="80"/>
            </w:tcMar>
          </w:tcPr>
          <w:p>
            <w:pPr>
              <w:spacing w:after="0" w:line="240"/>
            </w:pPr>
            <w:r>
              <w:rPr>
                <w:rFonts w:ascii="Calibri" w:cs="Calibri" w:eastAsia="Calibri" w:hAnsi="Calibri"/>
                <w:b w:val="false"/>
                <w:bCs w:val="false"/>
                <w:sz w:val="18"/>
                <w:szCs w:val="18"/>
              </w:rPr>
              <w:t xml:space="preserve">D2C12 — Autonomie du périmètre financé (tranche)</w:t>
            </w:r>
          </w:p>
        </w:tc>
        <w:tc>
          <w:tcPr>
            <w:tcW w:type="dxa" w:w="2000"/>
            <w:shd w:fill="F2F5FB" w:color="auto" w:val="clear"/>
            <w:tcMar>
              <w:top w:type="dxa" w:w="40"/>
              <w:left w:type="dxa" w:w="80"/>
              <w:bottom w:type="dxa" w:w="40"/>
              <w:right w:type="dxa" w:w="80"/>
            </w:tcMar>
          </w:tcPr>
          <w:p>
            <w:pPr>
              <w:spacing w:after="0" w:line="240"/>
            </w:pPr>
            <w:r>
              <w:rPr>
                <w:rFonts w:ascii="Calibri" w:cs="Calibri" w:eastAsia="Calibri" w:hAnsi="Calibri"/>
                <w:b w:val="false"/>
                <w:bCs w:val="false"/>
                <w:sz w:val="18"/>
                <w:szCs w:val="18"/>
              </w:rPr>
              <w:t xml:space="preserve">Plan de masse, tranches</w:t>
            </w:r>
          </w:p>
        </w:tc>
        <w:tc>
          <w:tcPr>
            <w:tcW w:type="dxa" w:w="1600"/>
            <w:shd w:fill="F2F5FB" w:color="auto" w:val="clear"/>
            <w:tcMar>
              <w:top w:type="dxa" w:w="40"/>
              <w:left w:type="dxa" w:w="80"/>
              <w:bottom w:type="dxa" w:w="40"/>
              <w:right w:type="dxa" w:w="80"/>
            </w:tcMar>
          </w:tcPr>
          <w:p>
            <w:pPr>
              <w:spacing w:after="0" w:line="240"/>
            </w:pPr>
            <w:r>
              <w:rPr>
                <w:rFonts w:ascii="Calibri" w:cs="Calibri" w:eastAsia="Calibri" w:hAnsi="Calibri"/>
                <w:b w:val="false"/>
                <w:bCs w:val="false"/>
                <w:sz w:val="18"/>
                <w:szCs w:val="18"/>
              </w:rPr>
              <w:t xml:space="preserve">Auto si programme entier, sinon saisie</w:t>
            </w:r>
          </w:p>
        </w:tc>
      </w:tr>
      <w:tr>
        <w:trPr>
          <w:cantSplit/>
        </w:trPr>
        <w:tc>
          <w:tcPr>
            <w:tcW w:type="dxa" w:w="2600"/>
            <w:tcMar>
              <w:top w:type="dxa" w:w="40"/>
              <w:left w:type="dxa" w:w="80"/>
              <w:bottom w:type="dxa" w:w="40"/>
              <w:right w:type="dxa" w:w="80"/>
            </w:tcMar>
          </w:tcPr>
          <w:p>
            <w:pPr>
              <w:spacing w:after="0" w:line="240"/>
            </w:pPr>
            <w:r>
              <w:rPr>
                <w:rFonts w:ascii="Calibri" w:cs="Calibri" w:eastAsia="Calibri" w:hAnsi="Calibri"/>
                <w:b w:val="false"/>
                <w:bCs w:val="false"/>
                <w:sz w:val="18"/>
                <w:szCs w:val="18"/>
              </w:rPr>
              <w:t xml:space="preserve">slow_liquidity_share_pct</w:t>
            </w:r>
          </w:p>
        </w:tc>
        <w:tc>
          <w:tcPr>
            <w:tcW w:type="dxa" w:w="3438"/>
            <w:tcMar>
              <w:top w:type="dxa" w:w="40"/>
              <w:left w:type="dxa" w:w="80"/>
              <w:bottom w:type="dxa" w:w="40"/>
              <w:right w:type="dxa" w:w="80"/>
            </w:tcMar>
          </w:tcPr>
          <w:p>
            <w:pPr>
              <w:spacing w:after="0" w:line="240"/>
            </w:pPr>
            <w:r>
              <w:rPr>
                <w:rFonts w:ascii="Calibri" w:cs="Calibri" w:eastAsia="Calibri" w:hAnsi="Calibri"/>
                <w:b w:val="false"/>
                <w:bCs w:val="false"/>
                <w:sz w:val="18"/>
                <w:szCs w:val="18"/>
              </w:rPr>
              <w:t xml:space="preserve">D3C9 — Part du CA en produits à écoulement lent</w:t>
            </w:r>
          </w:p>
        </w:tc>
        <w:tc>
          <w:tcPr>
            <w:tcW w:type="dxa" w:w="2000"/>
            <w:tcMar>
              <w:top w:type="dxa" w:w="40"/>
              <w:left w:type="dxa" w:w="80"/>
              <w:bottom w:type="dxa" w:w="40"/>
              <w:right w:type="dxa" w:w="80"/>
            </w:tcMar>
          </w:tcPr>
          <w:p>
            <w:pPr>
              <w:spacing w:after="0" w:line="240"/>
            </w:pPr>
            <w:r>
              <w:rPr>
                <w:rFonts w:ascii="Calibri" w:cs="Calibri" w:eastAsia="Calibri" w:hAnsi="Calibri"/>
                <w:b w:val="false"/>
                <w:bCs w:val="false"/>
                <w:sz w:val="18"/>
                <w:szCs w:val="18"/>
              </w:rPr>
              <w:t xml:space="preserve">Lots (type, prix)</w:t>
            </w:r>
          </w:p>
        </w:tc>
        <w:tc>
          <w:tcPr>
            <w:tcW w:type="dxa" w:w="1600"/>
            <w:tcMar>
              <w:top w:type="dxa" w:w="40"/>
              <w:left w:type="dxa" w:w="80"/>
              <w:bottom w:type="dxa" w:w="40"/>
              <w:right w:type="dxa" w:w="80"/>
            </w:tcMar>
          </w:tcPr>
          <w:p>
            <w:pPr>
              <w:spacing w:after="0" w:line="240"/>
            </w:pPr>
            <w:r>
              <w:rPr>
                <w:rFonts w:ascii="Calibri" w:cs="Calibri" w:eastAsia="Calibri" w:hAnsi="Calibri"/>
                <w:b w:val="false"/>
                <w:bCs w:val="false"/>
                <w:sz w:val="18"/>
                <w:szCs w:val="18"/>
              </w:rPr>
              <w:t xml:space="preserve">Auto</w:t>
            </w:r>
          </w:p>
        </w:tc>
      </w:tr>
      <w:tr>
        <w:trPr>
          <w:cantSplit/>
        </w:trPr>
        <w:tc>
          <w:tcPr>
            <w:tcW w:type="dxa" w:w="2600"/>
            <w:shd w:fill="F2F5FB" w:color="auto" w:val="clear"/>
            <w:tcMar>
              <w:top w:type="dxa" w:w="40"/>
              <w:left w:type="dxa" w:w="80"/>
              <w:bottom w:type="dxa" w:w="40"/>
              <w:right w:type="dxa" w:w="80"/>
            </w:tcMar>
          </w:tcPr>
          <w:p>
            <w:pPr>
              <w:spacing w:after="0" w:line="240"/>
            </w:pPr>
            <w:r>
              <w:rPr>
                <w:rFonts w:ascii="Calibri" w:cs="Calibri" w:eastAsia="Calibri" w:hAnsi="Calibri"/>
                <w:b w:val="false"/>
                <w:bCs w:val="false"/>
                <w:sz w:val="18"/>
                <w:szCs w:val="18"/>
              </w:rPr>
              <w:t xml:space="preserve">cancellation_rate_pct</w:t>
            </w:r>
          </w:p>
        </w:tc>
        <w:tc>
          <w:tcPr>
            <w:tcW w:type="dxa" w:w="3438"/>
            <w:shd w:fill="F2F5FB" w:color="auto" w:val="clear"/>
            <w:tcMar>
              <w:top w:type="dxa" w:w="40"/>
              <w:left w:type="dxa" w:w="80"/>
              <w:bottom w:type="dxa" w:w="40"/>
              <w:right w:type="dxa" w:w="80"/>
            </w:tcMar>
          </w:tcPr>
          <w:p>
            <w:pPr>
              <w:spacing w:after="0" w:line="240"/>
            </w:pPr>
            <w:r>
              <w:rPr>
                <w:rFonts w:ascii="Calibri" w:cs="Calibri" w:eastAsia="Calibri" w:hAnsi="Calibri"/>
                <w:b w:val="false"/>
                <w:bCs w:val="false"/>
                <w:sz w:val="18"/>
                <w:szCs w:val="18"/>
              </w:rPr>
              <w:t xml:space="preserve">D3C10 — Taux de désistement des réservations</w:t>
            </w:r>
          </w:p>
        </w:tc>
        <w:tc>
          <w:tcPr>
            <w:tcW w:type="dxa" w:w="2000"/>
            <w:shd w:fill="F2F5FB" w:color="auto" w:val="clear"/>
            <w:tcMar>
              <w:top w:type="dxa" w:w="40"/>
              <w:left w:type="dxa" w:w="80"/>
              <w:bottom w:type="dxa" w:w="40"/>
              <w:right w:type="dxa" w:w="80"/>
            </w:tcMar>
          </w:tcPr>
          <w:p>
            <w:pPr>
              <w:spacing w:after="0" w:line="240"/>
            </w:pPr>
            <w:r>
              <w:rPr>
                <w:rFonts w:ascii="Calibri" w:cs="Calibri" w:eastAsia="Calibri" w:hAnsi="Calibri"/>
                <w:b w:val="false"/>
                <w:bCs w:val="false"/>
                <w:sz w:val="18"/>
                <w:szCs w:val="18"/>
              </w:rPr>
              <w:t xml:space="preserve">Lots (statut)</w:t>
            </w:r>
          </w:p>
        </w:tc>
        <w:tc>
          <w:tcPr>
            <w:tcW w:type="dxa" w:w="1600"/>
            <w:shd w:fill="F2F5FB" w:color="auto" w:val="clear"/>
            <w:tcMar>
              <w:top w:type="dxa" w:w="40"/>
              <w:left w:type="dxa" w:w="80"/>
              <w:bottom w:type="dxa" w:w="40"/>
              <w:right w:type="dxa" w:w="80"/>
            </w:tcMar>
          </w:tcPr>
          <w:p>
            <w:pPr>
              <w:spacing w:after="0" w:line="240"/>
            </w:pPr>
            <w:r>
              <w:rPr>
                <w:rFonts w:ascii="Calibri" w:cs="Calibri" w:eastAsia="Calibri" w:hAnsi="Calibri"/>
                <w:b w:val="false"/>
                <w:bCs w:val="false"/>
                <w:sz w:val="18"/>
                <w:szCs w:val="18"/>
              </w:rPr>
              <w:t xml:space="preserve">Auto</w:t>
            </w:r>
          </w:p>
        </w:tc>
      </w:tr>
      <w:tr>
        <w:trPr>
          <w:cantSplit/>
        </w:trPr>
        <w:tc>
          <w:tcPr>
            <w:tcW w:type="dxa" w:w="2600"/>
            <w:tcMar>
              <w:top w:type="dxa" w:w="40"/>
              <w:left w:type="dxa" w:w="80"/>
              <w:bottom w:type="dxa" w:w="40"/>
              <w:right w:type="dxa" w:w="80"/>
            </w:tcMar>
          </w:tcPr>
          <w:p>
            <w:pPr>
              <w:spacing w:after="0" w:line="240"/>
            </w:pPr>
            <w:r>
              <w:rPr>
                <w:rFonts w:ascii="Calibri" w:cs="Calibri" w:eastAsia="Calibri" w:hAnsi="Calibri"/>
                <w:b w:val="false"/>
                <w:bCs w:val="false"/>
                <w:sz w:val="18"/>
                <w:szCs w:val="18"/>
              </w:rPr>
              <w:t xml:space="preserve">drawdown_vs_progress_pct</w:t>
            </w:r>
          </w:p>
        </w:tc>
        <w:tc>
          <w:tcPr>
            <w:tcW w:type="dxa" w:w="3438"/>
            <w:tcMar>
              <w:top w:type="dxa" w:w="40"/>
              <w:left w:type="dxa" w:w="80"/>
              <w:bottom w:type="dxa" w:w="40"/>
              <w:right w:type="dxa" w:w="80"/>
            </w:tcMar>
          </w:tcPr>
          <w:p>
            <w:pPr>
              <w:spacing w:after="0" w:line="240"/>
            </w:pPr>
            <w:r>
              <w:rPr>
                <w:rFonts w:ascii="Calibri" w:cs="Calibri" w:eastAsia="Calibri" w:hAnsi="Calibri"/>
                <w:b w:val="false"/>
                <w:bCs w:val="false"/>
                <w:sz w:val="18"/>
                <w:szCs w:val="18"/>
              </w:rPr>
              <w:t xml:space="preserve">D4C8 — Déblocages vs avancement certifié</w:t>
            </w:r>
          </w:p>
        </w:tc>
        <w:tc>
          <w:tcPr>
            <w:tcW w:type="dxa" w:w="2000"/>
            <w:tcMar>
              <w:top w:type="dxa" w:w="40"/>
              <w:left w:type="dxa" w:w="80"/>
              <w:bottom w:type="dxa" w:w="40"/>
              <w:right w:type="dxa" w:w="80"/>
            </w:tcMar>
          </w:tcPr>
          <w:p>
            <w:pPr>
              <w:spacing w:after="0" w:line="240"/>
            </w:pPr>
            <w:r>
              <w:rPr>
                <w:rFonts w:ascii="Calibri" w:cs="Calibri" w:eastAsia="Calibri" w:hAnsi="Calibri"/>
                <w:b w:val="false"/>
                <w:bCs w:val="false"/>
                <w:sz w:val="18"/>
                <w:szCs w:val="18"/>
              </w:rPr>
              <w:t xml:space="preserve">Facilités, situations visées</w:t>
            </w:r>
          </w:p>
        </w:tc>
        <w:tc>
          <w:tcPr>
            <w:tcW w:type="dxa" w:w="1600"/>
            <w:tcMar>
              <w:top w:type="dxa" w:w="40"/>
              <w:left w:type="dxa" w:w="80"/>
              <w:bottom w:type="dxa" w:w="40"/>
              <w:right w:type="dxa" w:w="80"/>
            </w:tcMar>
          </w:tcPr>
          <w:p>
            <w:pPr>
              <w:spacing w:after="0" w:line="240"/>
            </w:pPr>
            <w:r>
              <w:rPr>
                <w:rFonts w:ascii="Calibri" w:cs="Calibri" w:eastAsia="Calibri" w:hAnsi="Calibri"/>
                <w:b w:val="false"/>
                <w:bCs w:val="false"/>
                <w:sz w:val="18"/>
                <w:szCs w:val="18"/>
              </w:rPr>
              <w:t xml:space="preserve">Auto</w:t>
            </w:r>
          </w:p>
        </w:tc>
      </w:tr>
      <w:tr>
        <w:trPr>
          <w:cantSplit/>
        </w:trPr>
        <w:tc>
          <w:tcPr>
            <w:tcW w:type="dxa" w:w="2600"/>
            <w:shd w:fill="F2F5FB" w:color="auto" w:val="clear"/>
            <w:tcMar>
              <w:top w:type="dxa" w:w="40"/>
              <w:left w:type="dxa" w:w="80"/>
              <w:bottom w:type="dxa" w:w="40"/>
              <w:right w:type="dxa" w:w="80"/>
            </w:tcMar>
          </w:tcPr>
          <w:p>
            <w:pPr>
              <w:spacing w:after="0" w:line="240"/>
            </w:pPr>
            <w:r>
              <w:rPr>
                <w:rFonts w:ascii="Calibri" w:cs="Calibri" w:eastAsia="Calibri" w:hAnsi="Calibri"/>
                <w:b w:val="false"/>
                <w:bCs w:val="false"/>
                <w:sz w:val="18"/>
                <w:szCs w:val="18"/>
              </w:rPr>
              <w:t xml:space="preserve">cost_overrun_pct</w:t>
            </w:r>
          </w:p>
        </w:tc>
        <w:tc>
          <w:tcPr>
            <w:tcW w:type="dxa" w:w="3438"/>
            <w:shd w:fill="F2F5FB" w:color="auto" w:val="clear"/>
            <w:tcMar>
              <w:top w:type="dxa" w:w="40"/>
              <w:left w:type="dxa" w:w="80"/>
              <w:bottom w:type="dxa" w:w="40"/>
              <w:right w:type="dxa" w:w="80"/>
            </w:tcMar>
          </w:tcPr>
          <w:p>
            <w:pPr>
              <w:spacing w:after="0" w:line="240"/>
            </w:pPr>
            <w:r>
              <w:rPr>
                <w:rFonts w:ascii="Calibri" w:cs="Calibri" w:eastAsia="Calibri" w:hAnsi="Calibri"/>
                <w:b w:val="false"/>
                <w:bCs w:val="false"/>
                <w:sz w:val="18"/>
                <w:szCs w:val="18"/>
              </w:rPr>
              <w:t xml:space="preserve">D4C9 — Dépassement du coût à terminaison</w:t>
            </w:r>
          </w:p>
        </w:tc>
        <w:tc>
          <w:tcPr>
            <w:tcW w:type="dxa" w:w="2000"/>
            <w:shd w:fill="F2F5FB" w:color="auto" w:val="clear"/>
            <w:tcMar>
              <w:top w:type="dxa" w:w="40"/>
              <w:left w:type="dxa" w:w="80"/>
              <w:bottom w:type="dxa" w:w="40"/>
              <w:right w:type="dxa" w:w="80"/>
            </w:tcMar>
          </w:tcPr>
          <w:p>
            <w:pPr>
              <w:spacing w:after="0" w:line="240"/>
            </w:pPr>
            <w:r>
              <w:rPr>
                <w:rFonts w:ascii="Calibri" w:cs="Calibri" w:eastAsia="Calibri" w:hAnsi="Calibri"/>
                <w:b w:val="false"/>
                <w:bCs w:val="false"/>
                <w:sz w:val="18"/>
                <w:szCs w:val="18"/>
              </w:rPr>
              <w:t xml:space="preserve">Coût à terminaison</w:t>
            </w:r>
          </w:p>
        </w:tc>
        <w:tc>
          <w:tcPr>
            <w:tcW w:type="dxa" w:w="1600"/>
            <w:shd w:fill="F2F5FB" w:color="auto" w:val="clear"/>
            <w:tcMar>
              <w:top w:type="dxa" w:w="40"/>
              <w:left w:type="dxa" w:w="80"/>
              <w:bottom w:type="dxa" w:w="40"/>
              <w:right w:type="dxa" w:w="80"/>
            </w:tcMar>
          </w:tcPr>
          <w:p>
            <w:pPr>
              <w:spacing w:after="0" w:line="240"/>
            </w:pPr>
            <w:r>
              <w:rPr>
                <w:rFonts w:ascii="Calibri" w:cs="Calibri" w:eastAsia="Calibri" w:hAnsi="Calibri"/>
                <w:b w:val="false"/>
                <w:bCs w:val="false"/>
                <w:sz w:val="18"/>
                <w:szCs w:val="18"/>
              </w:rPr>
              <w:t xml:space="preserve">Saisie</w:t>
            </w:r>
          </w:p>
        </w:tc>
      </w:tr>
      <w:tr>
        <w:trPr>
          <w:cantSplit/>
        </w:trPr>
        <w:tc>
          <w:tcPr>
            <w:tcW w:type="dxa" w:w="2600"/>
            <w:tcMar>
              <w:top w:type="dxa" w:w="40"/>
              <w:left w:type="dxa" w:w="80"/>
              <w:bottom w:type="dxa" w:w="40"/>
              <w:right w:type="dxa" w:w="80"/>
            </w:tcMar>
          </w:tcPr>
          <w:p>
            <w:pPr>
              <w:spacing w:after="0" w:line="240"/>
            </w:pPr>
            <w:r>
              <w:rPr>
                <w:rFonts w:ascii="Calibri" w:cs="Calibri" w:eastAsia="Calibri" w:hAnsi="Calibri"/>
                <w:b w:val="false"/>
                <w:bCs w:val="false"/>
                <w:sz w:val="18"/>
                <w:szCs w:val="18"/>
              </w:rPr>
              <w:t xml:space="preserve">drawdown_ahead_of_works</w:t>
            </w:r>
          </w:p>
        </w:tc>
        <w:tc>
          <w:tcPr>
            <w:tcW w:type="dxa" w:w="3438"/>
            <w:tcMar>
              <w:top w:type="dxa" w:w="40"/>
              <w:left w:type="dxa" w:w="80"/>
              <w:bottom w:type="dxa" w:w="40"/>
              <w:right w:type="dxa" w:w="80"/>
            </w:tcMar>
          </w:tcPr>
          <w:p>
            <w:pPr>
              <w:spacing w:after="0" w:line="240"/>
            </w:pPr>
            <w:r>
              <w:rPr>
                <w:rFonts w:ascii="Calibri" w:cs="Calibri" w:eastAsia="Calibri" w:hAnsi="Calibri"/>
                <w:b w:val="false"/>
                <w:bCs w:val="false"/>
                <w:sz w:val="18"/>
                <w:szCs w:val="18"/>
              </w:rPr>
              <w:t xml:space="preserve">RF_TIRAGE_AVANCE — Déblocages en avance sur l'avancement des travaux</w:t>
            </w:r>
          </w:p>
        </w:tc>
        <w:tc>
          <w:tcPr>
            <w:tcW w:type="dxa" w:w="2000"/>
            <w:tcMar>
              <w:top w:type="dxa" w:w="40"/>
              <w:left w:type="dxa" w:w="80"/>
              <w:bottom w:type="dxa" w:w="40"/>
              <w:right w:type="dxa" w:w="80"/>
            </w:tcMar>
          </w:tcPr>
          <w:p>
            <w:pPr>
              <w:spacing w:after="0" w:line="240"/>
            </w:pPr>
            <w:r>
              <w:rPr>
                <w:rFonts w:ascii="Calibri" w:cs="Calibri" w:eastAsia="Calibri" w:hAnsi="Calibri"/>
                <w:b w:val="false"/>
                <w:bCs w:val="false"/>
                <w:sz w:val="18"/>
                <w:szCs w:val="18"/>
              </w:rPr>
              <w:t xml:space="preserve">Facilités, situations visées</w:t>
            </w:r>
          </w:p>
        </w:tc>
        <w:tc>
          <w:tcPr>
            <w:tcW w:type="dxa" w:w="1600"/>
            <w:tcMar>
              <w:top w:type="dxa" w:w="40"/>
              <w:left w:type="dxa" w:w="80"/>
              <w:bottom w:type="dxa" w:w="40"/>
              <w:right w:type="dxa" w:w="80"/>
            </w:tcMar>
          </w:tcPr>
          <w:p>
            <w:pPr>
              <w:spacing w:after="0" w:line="240"/>
            </w:pPr>
            <w:r>
              <w:rPr>
                <w:rFonts w:ascii="Calibri" w:cs="Calibri" w:eastAsia="Calibri" w:hAnsi="Calibri"/>
                <w:b w:val="false"/>
                <w:bCs w:val="false"/>
                <w:sz w:val="18"/>
                <w:szCs w:val="18"/>
              </w:rPr>
              <w:t xml:space="preserve">Auto</w:t>
            </w:r>
          </w:p>
        </w:tc>
      </w:tr>
      <w:tr>
        <w:trPr>
          <w:cantSplit/>
        </w:trPr>
        <w:tc>
          <w:tcPr>
            <w:tcW w:type="dxa" w:w="2600"/>
            <w:shd w:fill="F2F5FB" w:color="auto" w:val="clear"/>
            <w:tcMar>
              <w:top w:type="dxa" w:w="40"/>
              <w:left w:type="dxa" w:w="80"/>
              <w:bottom w:type="dxa" w:w="40"/>
              <w:right w:type="dxa" w:w="80"/>
            </w:tcMar>
          </w:tcPr>
          <w:p>
            <w:pPr>
              <w:spacing w:after="0" w:line="240"/>
            </w:pPr>
            <w:r>
              <w:rPr>
                <w:rFonts w:ascii="Calibri" w:cs="Calibri" w:eastAsia="Calibri" w:hAnsi="Calibri"/>
                <w:b w:val="false"/>
                <w:bCs w:val="false"/>
                <w:sz w:val="18"/>
                <w:szCs w:val="18"/>
              </w:rPr>
              <w:t xml:space="preserve">drawdown_schedule_late</w:t>
            </w:r>
          </w:p>
        </w:tc>
        <w:tc>
          <w:tcPr>
            <w:tcW w:type="dxa" w:w="3438"/>
            <w:shd w:fill="F2F5FB" w:color="auto" w:val="clear"/>
            <w:tcMar>
              <w:top w:type="dxa" w:w="40"/>
              <w:left w:type="dxa" w:w="80"/>
              <w:bottom w:type="dxa" w:w="40"/>
              <w:right w:type="dxa" w:w="80"/>
            </w:tcMar>
          </w:tcPr>
          <w:p>
            <w:pPr>
              <w:spacing w:after="0" w:line="240"/>
            </w:pPr>
            <w:r>
              <w:rPr>
                <w:rFonts w:ascii="Calibri" w:cs="Calibri" w:eastAsia="Calibri" w:hAnsi="Calibri"/>
                <w:b w:val="false"/>
                <w:bCs w:val="false"/>
                <w:sz w:val="18"/>
                <w:szCs w:val="18"/>
              </w:rPr>
              <w:t xml:space="preserve">RF_PLAN_TIRAGE_RETARD — Plan de tirage en retard sur le calendrier</w:t>
            </w:r>
          </w:p>
        </w:tc>
        <w:tc>
          <w:tcPr>
            <w:tcW w:type="dxa" w:w="2000"/>
            <w:shd w:fill="F2F5FB" w:color="auto" w:val="clear"/>
            <w:tcMar>
              <w:top w:type="dxa" w:w="40"/>
              <w:left w:type="dxa" w:w="80"/>
              <w:bottom w:type="dxa" w:w="40"/>
              <w:right w:type="dxa" w:w="80"/>
            </w:tcMar>
          </w:tcPr>
          <w:p>
            <w:pPr>
              <w:spacing w:after="0" w:line="240"/>
            </w:pPr>
            <w:r>
              <w:rPr>
                <w:rFonts w:ascii="Calibri" w:cs="Calibri" w:eastAsia="Calibri" w:hAnsi="Calibri"/>
                <w:b w:val="false"/>
                <w:bCs w:val="false"/>
                <w:sz w:val="18"/>
                <w:szCs w:val="18"/>
              </w:rPr>
              <w:t xml:space="preserve">Planning des déblocages</w:t>
            </w:r>
          </w:p>
        </w:tc>
        <w:tc>
          <w:tcPr>
            <w:tcW w:type="dxa" w:w="1600"/>
            <w:shd w:fill="F2F5FB" w:color="auto" w:val="clear"/>
            <w:tcMar>
              <w:top w:type="dxa" w:w="40"/>
              <w:left w:type="dxa" w:w="80"/>
              <w:bottom w:type="dxa" w:w="40"/>
              <w:right w:type="dxa" w:w="80"/>
            </w:tcMar>
          </w:tcPr>
          <w:p>
            <w:pPr>
              <w:spacing w:after="0" w:line="240"/>
            </w:pPr>
            <w:r>
              <w:rPr>
                <w:rFonts w:ascii="Calibri" w:cs="Calibri" w:eastAsia="Calibri" w:hAnsi="Calibri"/>
                <w:b w:val="false"/>
                <w:bCs w:val="false"/>
                <w:sz w:val="18"/>
                <w:szCs w:val="18"/>
              </w:rPr>
              <w:t xml:space="preserve">Auto</w:t>
            </w:r>
          </w:p>
        </w:tc>
      </w:tr>
      <w:tr>
        <w:trPr>
          <w:cantSplit/>
        </w:trPr>
        <w:tc>
          <w:tcPr>
            <w:tcW w:type="dxa" w:w="2600"/>
            <w:tcMar>
              <w:top w:type="dxa" w:w="40"/>
              <w:left w:type="dxa" w:w="80"/>
              <w:bottom w:type="dxa" w:w="40"/>
              <w:right w:type="dxa" w:w="80"/>
            </w:tcMar>
          </w:tcPr>
          <w:p>
            <w:pPr>
              <w:spacing w:after="0" w:line="240"/>
            </w:pPr>
            <w:r>
              <w:rPr>
                <w:rFonts w:ascii="Calibri" w:cs="Calibri" w:eastAsia="Calibri" w:hAnsi="Calibri"/>
                <w:b w:val="false"/>
                <w:bCs w:val="false"/>
                <w:sz w:val="18"/>
                <w:szCs w:val="18"/>
              </w:rPr>
              <w:t xml:space="preserve">equipment_delivery_at_risk</w:t>
            </w:r>
          </w:p>
        </w:tc>
        <w:tc>
          <w:tcPr>
            <w:tcW w:type="dxa" w:w="3438"/>
            <w:tcMar>
              <w:top w:type="dxa" w:w="40"/>
              <w:left w:type="dxa" w:w="80"/>
              <w:bottom w:type="dxa" w:w="40"/>
              <w:right w:type="dxa" w:w="80"/>
            </w:tcMar>
          </w:tcPr>
          <w:p>
            <w:pPr>
              <w:spacing w:after="0" w:line="240"/>
            </w:pPr>
            <w:r>
              <w:rPr>
                <w:rFonts w:ascii="Calibri" w:cs="Calibri" w:eastAsia="Calibri" w:hAnsi="Calibri"/>
                <w:b w:val="false"/>
                <w:bCs w:val="false"/>
                <w:sz w:val="18"/>
                <w:szCs w:val="18"/>
              </w:rPr>
              <w:t xml:space="preserve">RF_EQUIPEMENT_RECEPTION — Équipement exigé en retard (conditionne la réception)</w:t>
            </w:r>
          </w:p>
        </w:tc>
        <w:tc>
          <w:tcPr>
            <w:tcW w:type="dxa" w:w="2000"/>
            <w:tcMar>
              <w:top w:type="dxa" w:w="40"/>
              <w:left w:type="dxa" w:w="80"/>
              <w:bottom w:type="dxa" w:w="40"/>
              <w:right w:type="dxa" w:w="80"/>
            </w:tcMar>
          </w:tcPr>
          <w:p>
            <w:pPr>
              <w:spacing w:after="0" w:line="240"/>
            </w:pPr>
            <w:r>
              <w:rPr>
                <w:rFonts w:ascii="Calibri" w:cs="Calibri" w:eastAsia="Calibri" w:hAnsi="Calibri"/>
                <w:b w:val="false"/>
                <w:bCs w:val="false"/>
                <w:sz w:val="18"/>
                <w:szCs w:val="18"/>
              </w:rPr>
              <w:t xml:space="preserve">Registre des équipements</w:t>
            </w:r>
          </w:p>
        </w:tc>
        <w:tc>
          <w:tcPr>
            <w:tcW w:type="dxa" w:w="1600"/>
            <w:tcMar>
              <w:top w:type="dxa" w:w="40"/>
              <w:left w:type="dxa" w:w="80"/>
              <w:bottom w:type="dxa" w:w="40"/>
              <w:right w:type="dxa" w:w="80"/>
            </w:tcMar>
          </w:tcPr>
          <w:p>
            <w:pPr>
              <w:spacing w:after="0" w:line="240"/>
            </w:pPr>
            <w:r>
              <w:rPr>
                <w:rFonts w:ascii="Calibri" w:cs="Calibri" w:eastAsia="Calibri" w:hAnsi="Calibri"/>
                <w:b w:val="false"/>
                <w:bCs w:val="false"/>
                <w:sz w:val="18"/>
                <w:szCs w:val="18"/>
              </w:rPr>
              <w:t xml:space="preserve">Auto</w:t>
            </w:r>
          </w:p>
        </w:tc>
      </w:tr>
      <w:tr>
        <w:trPr>
          <w:cantSplit/>
        </w:trPr>
        <w:tc>
          <w:tcPr>
            <w:tcW w:type="dxa" w:w="2600"/>
            <w:shd w:fill="F2F5FB" w:color="auto" w:val="clear"/>
            <w:tcMar>
              <w:top w:type="dxa" w:w="40"/>
              <w:left w:type="dxa" w:w="80"/>
              <w:bottom w:type="dxa" w:w="40"/>
              <w:right w:type="dxa" w:w="80"/>
            </w:tcMar>
          </w:tcPr>
          <w:p>
            <w:pPr>
              <w:spacing w:after="0" w:line="240"/>
            </w:pPr>
            <w:r>
              <w:rPr>
                <w:rFonts w:ascii="Calibri" w:cs="Calibri" w:eastAsia="Calibri" w:hAnsi="Calibri"/>
                <w:b w:val="false"/>
                <w:bCs w:val="false"/>
                <w:sz w:val="18"/>
                <w:szCs w:val="18"/>
              </w:rPr>
              <w:t xml:space="preserve">component_exit_unsecured</w:t>
            </w:r>
          </w:p>
        </w:tc>
        <w:tc>
          <w:tcPr>
            <w:tcW w:type="dxa" w:w="3438"/>
            <w:shd w:fill="F2F5FB" w:color="auto" w:val="clear"/>
            <w:tcMar>
              <w:top w:type="dxa" w:w="40"/>
              <w:left w:type="dxa" w:w="80"/>
              <w:bottom w:type="dxa" w:w="40"/>
              <w:right w:type="dxa" w:w="80"/>
            </w:tcMar>
          </w:tcPr>
          <w:p>
            <w:pPr>
              <w:spacing w:after="0" w:line="240"/>
            </w:pPr>
            <w:r>
              <w:rPr>
                <w:rFonts w:ascii="Calibri" w:cs="Calibri" w:eastAsia="Calibri" w:hAnsi="Calibri"/>
                <w:b w:val="false"/>
                <w:bCs w:val="false"/>
                <w:sz w:val="18"/>
                <w:szCs w:val="18"/>
              </w:rPr>
              <w:t xml:space="preserve">RF_COMPOSANTE_SANS_PRENEUR — Composante commerciale ou hôtelière sans preneur engagé</w:t>
            </w:r>
          </w:p>
        </w:tc>
        <w:tc>
          <w:tcPr>
            <w:tcW w:type="dxa" w:w="2000"/>
            <w:shd w:fill="F2F5FB" w:color="auto" w:val="clear"/>
            <w:tcMar>
              <w:top w:type="dxa" w:w="40"/>
              <w:left w:type="dxa" w:w="80"/>
              <w:bottom w:type="dxa" w:w="40"/>
              <w:right w:type="dxa" w:w="80"/>
            </w:tcMar>
          </w:tcPr>
          <w:p>
            <w:pPr>
              <w:spacing w:after="0" w:line="240"/>
            </w:pPr>
            <w:r>
              <w:rPr>
                <w:rFonts w:ascii="Calibri" w:cs="Calibri" w:eastAsia="Calibri" w:hAnsi="Calibri"/>
                <w:b w:val="false"/>
                <w:bCs w:val="false"/>
                <w:sz w:val="18"/>
                <w:szCs w:val="18"/>
              </w:rPr>
              <w:t xml:space="preserve">Engagements d'opérateurs / preneurs</w:t>
            </w:r>
          </w:p>
        </w:tc>
        <w:tc>
          <w:tcPr>
            <w:tcW w:type="dxa" w:w="1600"/>
            <w:shd w:fill="F2F5FB" w:color="auto" w:val="clear"/>
            <w:tcMar>
              <w:top w:type="dxa" w:w="40"/>
              <w:left w:type="dxa" w:w="80"/>
              <w:bottom w:type="dxa" w:w="40"/>
              <w:right w:type="dxa" w:w="80"/>
            </w:tcMar>
          </w:tcPr>
          <w:p>
            <w:pPr>
              <w:spacing w:after="0" w:line="240"/>
            </w:pPr>
            <w:r>
              <w:rPr>
                <w:rFonts w:ascii="Calibri" w:cs="Calibri" w:eastAsia="Calibri" w:hAnsi="Calibri"/>
                <w:b w:val="false"/>
                <w:bCs w:val="false"/>
                <w:sz w:val="18"/>
                <w:szCs w:val="18"/>
              </w:rPr>
              <w:t xml:space="preserve">Saisie</w:t>
            </w:r>
          </w:p>
        </w:tc>
      </w:tr>
    </w:tbl>
    <w:p>
      <w:pPr>
        <w:spacing w:after="120" w:before="100" w:line="276"/>
      </w:pPr>
      <w:r>
        <w:rPr>
          <w:rFonts w:ascii="Calibri" w:cs="Calibri" w:eastAsia="Calibri" w:hAnsi="Calibri"/>
          <w:i/>
          <w:iCs/>
          <w:sz w:val="19"/>
          <w:szCs w:val="19"/>
        </w:rPr>
        <w:t xml:space="preserve">Toutes ces données sont saisissables dans l'étape « Programme » de la saisie et importables (colonnes du modèle d'import). Une valeur saisie prime sur la valeur calculée.</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Page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E1F2" w:sz="4" w:space="4"/>
      </w:pBdr>
      <w:spacing w:after="0"/>
      <w:jc w:val="right"/>
    </w:pPr>
    <w:r>
      <w:rPr>
        <w:rFonts w:ascii="Calibri" w:cs="Calibri" w:eastAsia="Calibri" w:hAnsi="Calibri"/>
        <w:color w:val="595959"/>
        <w:sz w:val="15"/>
        <w:szCs w:val="15"/>
      </w:rPr>
      <w:t xml:space="preserve">Diagnostic du modèle de scoring — PI_PROMOTION v5.0.0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9E1F2" w:sz="6" w:space="4"/>
      </w:pBdr>
      <w:spacing w:after="140" w:before="24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80" w:before="220"/>
      <w:outlineLvl w:val="1"/>
    </w:pPr>
    <w:rPr>
      <w:rFonts w:ascii="Calibri" w:cs="Calibri" w:eastAsia="Calibri" w:hAnsi="Calibri"/>
      <w:b/>
      <w:bCs/>
      <w:color w:val="2E549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Diagnostic du modèle de scoring — v5.0.0</dc:title>
  <dc:creator>Outil de scoring PI</dc:creator>
  <cp:lastModifiedBy>Un-named</cp:lastModifiedBy>
  <cp:revision>1</cp:revision>
  <dcterms:created xsi:type="dcterms:W3CDTF">2026-10-01T08:11:18.070Z</dcterms:created>
  <dcterms:modified xsi:type="dcterms:W3CDTF">2026-10-01T08:11:18.070Z</dcterms:modified>
</cp:coreProperties>
</file>

<file path=docProps/custom.xml><?xml version="1.0" encoding="utf-8"?>
<Properties xmlns="http://schemas.openxmlformats.org/officeDocument/2006/custom-properties" xmlns:vt="http://schemas.openxmlformats.org/officeDocument/2006/docPropsVTypes"/>
</file>