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3864"/>
          <w:sz w:val="46"/>
          <w:szCs w:val="46"/>
        </w:rPr>
        <w:t xml:space="preserve">GRILLES DE SCORING DÉTAILLÉES</w:t>
      </w:r>
    </w:p>
    <w:p>
      <w:pPr>
        <w:spacing w:before="80"/>
        <w:jc w:val="center"/>
      </w:pPr>
      <w:r>
        <w:rPr>
          <w:rFonts w:ascii="Calibri" w:cs="Calibri" w:eastAsia="Calibri" w:hAnsi="Calibri"/>
          <w:b/>
          <w:bCs/>
          <w:color w:val="2E5496"/>
          <w:sz w:val="32"/>
          <w:szCs w:val="32"/>
        </w:rPr>
        <w:t xml:space="preserve">Modèle PI_PROMOTION v5.0.0</w:t>
      </w:r>
    </w:p>
    <w:p>
      <w:pPr>
        <w:pBdr>
          <w:top w:val="single" w:color="D9E1F2" w:sz="12" w:space="8"/>
        </w:pBdr>
        <w:spacing w:before="240"/>
        <w:jc w:val="center"/>
      </w:pPr>
      <w:r>
        <w:rPr>
          <w:rFonts w:ascii="Calibri" w:cs="Calibri" w:eastAsia="Calibri" w:hAnsi="Calibri"/>
          <w:sz w:val="2"/>
          <w:szCs w:val="2"/>
        </w:rPr>
        <w:t xml:space="preserve"/>
      </w:r>
    </w:p>
    <w:p>
      <w:pPr>
        <w:spacing w:before="280"/>
        <w:jc w:val="center"/>
      </w:pPr>
      <w:r>
        <w:rPr>
          <w:rFonts w:ascii="Calibri" w:cs="Calibri" w:eastAsia="Calibri" w:hAnsi="Calibri"/>
          <w:i/>
          <w:iCs/>
          <w:color w:val="595959"/>
          <w:sz w:val="26"/>
          <w:szCs w:val="26"/>
        </w:rPr>
        <w:t xml:space="preserve">Poids, tranches, notes, critères éliminatoires, alertes, ajustements, coefficients et seuils de décision</w:t>
      </w:r>
    </w:p>
    <w:p>
      <w:pPr>
        <w:spacing w:before="1300"/>
        <w:jc w:val="center"/>
      </w:pPr>
      <w:r>
        <w:rPr>
          <w:rFonts w:ascii="Calibri" w:cs="Calibri" w:eastAsia="Calibri" w:hAnsi="Calibri"/>
          <w:b/>
          <w:bCs/>
          <w:color w:val="1F3864"/>
          <w:sz w:val="22"/>
          <w:szCs w:val="22"/>
        </w:rPr>
        <w:t xml:space="preserve">37 critères · 18 alertes · 4 domaines · notes de 1 à 10</w:t>
      </w:r>
    </w:p>
    <w:p>
      <w:pPr>
        <w:spacing w:before="40"/>
        <w:jc w:val="center"/>
      </w:pPr>
      <w:r>
        <w:rPr>
          <w:rFonts w:ascii="Calibri" w:cs="Calibri" w:eastAsia="Calibri" w:hAnsi="Calibri"/>
          <w:color w:val="595959"/>
          <w:sz w:val="20"/>
          <w:szCs w:val="20"/>
        </w:rPr>
        <w:t xml:space="preserve">1 octobre 2026 — extrait de la version publiée en base</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Comment lire les grilles</w:t>
      </w:r>
    </w:p>
    <w:p>
      <w:pPr>
        <w:spacing w:after="120" w:before="0" w:line="276"/>
      </w:pPr>
      <w:r>
        <w:rPr>
          <w:rFonts w:ascii="Calibri" w:cs="Calibri" w:eastAsia="Calibri" w:hAnsi="Calibri"/>
          <w:sz w:val="21"/>
          <w:szCs w:val="21"/>
        </w:rPr>
        <w:t xml:space="preserve">Chaque critère reçoit une note de 1 (critique) à 10 (favorable) selon la tranche de valeur, ou la modalité, dans laquelle se situe la donnée du dossier. Les notes sont ensuite pondérées puis agrégées en score de domaine, en score économique et en score final.</w:t>
      </w:r>
    </w:p>
    <w:p>
      <w:pPr>
        <w:pStyle w:val="Heading2"/>
        <w:keepNext/>
      </w:pPr>
      <w:r>
        <w:t xml:space="preserve">La chaîne de calcul</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400"/>
        <w:gridCol w:w="7238"/>
      </w:tblGrid>
      <w:tr>
        <w:trPr>
          <w:cantSplit/>
          <w:tblHeader/>
        </w:trPr>
        <w:tc>
          <w:tcPr>
            <w:tcW w:type="dxa" w:w="24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Étape</w:t>
            </w:r>
          </w:p>
        </w:tc>
        <w:tc>
          <w:tcPr>
            <w:tcW w:type="dxa" w:w="7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Règle</w:t>
            </w:r>
          </w:p>
        </w:tc>
      </w:tr>
      <w:tr>
        <w:trPr>
          <w:cantSplit/>
        </w:trPr>
        <w:tc>
          <w:tcPr>
            <w:tcW w:type="dxa" w:w="2400"/>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1. Note de critère</w:t>
            </w:r>
          </w:p>
        </w:tc>
        <w:tc>
          <w:tcPr>
            <w:tcW w:type="dxa" w:w="7238"/>
            <w:tcMar>
              <w:top w:type="dxa" w:w="40"/>
              <w:left w:type="dxa" w:w="80"/>
              <w:bottom w:type="dxa" w:w="40"/>
              <w:right w:type="dxa" w:w="80"/>
            </w:tcMar>
          </w:tcPr>
          <w:p>
            <w:pPr>
              <w:spacing w:after="0" w:line="240"/>
            </w:pPr>
            <w:r>
              <w:rPr>
                <w:rFonts w:ascii="Calibri" w:cs="Calibri" w:eastAsia="Calibri" w:hAnsi="Calibri"/>
                <w:sz w:val="18"/>
                <w:szCs w:val="18"/>
              </w:rPr>
              <w:t xml:space="preserve">Tranche numérique : borne basse incluse, borne haute exclue (min ≤ valeur &lt; max). Modalité : correspondance exacte. Donnée absente : note plancher du critère (la plus basse), jamais une note neutre.</w:t>
            </w:r>
          </w:p>
        </w:tc>
      </w:tr>
      <w:tr>
        <w:trPr>
          <w:cantSplit/>
        </w:trPr>
        <w:tc>
          <w:tcPr>
            <w:tcW w:type="dxa" w:w="2400"/>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2. Score de domaine</w:t>
            </w:r>
          </w:p>
        </w:tc>
        <w:tc>
          <w:tcPr>
            <w:tcW w:type="dxa" w:w="7238"/>
            <w:tcMar>
              <w:top w:type="dxa" w:w="40"/>
              <w:left w:type="dxa" w:w="80"/>
              <w:bottom w:type="dxa" w:w="40"/>
              <w:right w:type="dxa" w:w="80"/>
            </w:tcMar>
          </w:tcPr>
          <w:p>
            <w:pPr>
              <w:spacing w:after="0" w:line="240"/>
            </w:pPr>
            <w:r>
              <w:rPr>
                <w:rFonts w:ascii="Calibri" w:cs="Calibri" w:eastAsia="Calibri" w:hAnsi="Calibri"/>
                <w:sz w:val="18"/>
                <w:szCs w:val="18"/>
              </w:rPr>
              <w:t xml:space="preserve">(Σ note × poids du critère ÷ Σ poids) ÷ 10 × 100. Les poids des critères d'un domaine totalisent 100 %.</w:t>
            </w:r>
          </w:p>
        </w:tc>
      </w:tr>
      <w:tr>
        <w:trPr>
          <w:cantSplit/>
        </w:trPr>
        <w:tc>
          <w:tcPr>
            <w:tcW w:type="dxa" w:w="2400"/>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3. Score économique</w:t>
            </w:r>
          </w:p>
        </w:tc>
        <w:tc>
          <w:tcPr>
            <w:tcW w:type="dxa" w:w="7238"/>
            <w:tcMar>
              <w:top w:type="dxa" w:w="40"/>
              <w:left w:type="dxa" w:w="80"/>
              <w:bottom w:type="dxa" w:w="40"/>
              <w:right w:type="dxa" w:w="80"/>
            </w:tcMar>
          </w:tcPr>
          <w:p>
            <w:pPr>
              <w:spacing w:after="0" w:line="240"/>
            </w:pPr>
            <w:r>
              <w:rPr>
                <w:rFonts w:ascii="Calibri" w:cs="Calibri" w:eastAsia="Calibri" w:hAnsi="Calibri"/>
                <w:sz w:val="18"/>
                <w:szCs w:val="18"/>
              </w:rPr>
              <w:t xml:space="preserve">S_éco = 0,25 × D1 + 0,2 × D2 + 0,31 × D3 + 0,24 × D4</w:t>
            </w:r>
          </w:p>
        </w:tc>
      </w:tr>
      <w:tr>
        <w:trPr>
          <w:cantSplit/>
        </w:trPr>
        <w:tc>
          <w:tcPr>
            <w:tcW w:type="dxa" w:w="2400"/>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4. Ajustement</w:t>
            </w:r>
          </w:p>
        </w:tc>
        <w:tc>
          <w:tcPr>
            <w:tcW w:type="dxa" w:w="7238"/>
            <w:tcMar>
              <w:top w:type="dxa" w:w="40"/>
              <w:left w:type="dxa" w:w="80"/>
              <w:bottom w:type="dxa" w:w="40"/>
              <w:right w:type="dxa" w:w="80"/>
            </w:tcMar>
          </w:tcPr>
          <w:p>
            <w:pPr>
              <w:spacing w:after="0" w:line="240"/>
            </w:pPr>
            <w:r>
              <w:rPr>
                <w:rFonts w:ascii="Calibri" w:cs="Calibri" w:eastAsia="Calibri" w:hAnsi="Calibri"/>
                <w:sz w:val="18"/>
                <w:szCs w:val="18"/>
              </w:rPr>
              <w:t xml:space="preserve">S_ajusté = S_éco × (1 + α segment + β zone), borné entre 0 et 100. Segment ou zone hors référentiel : aucun ajustement, signalé.</w:t>
            </w:r>
          </w:p>
        </w:tc>
      </w:tr>
      <w:tr>
        <w:trPr>
          <w:cantSplit/>
        </w:trPr>
        <w:tc>
          <w:tcPr>
            <w:tcW w:type="dxa" w:w="2400"/>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5. Alertes (D5)</w:t>
            </w:r>
          </w:p>
        </w:tc>
        <w:tc>
          <w:tcPr>
            <w:tcW w:type="dxa" w:w="7238"/>
            <w:tcMar>
              <w:top w:type="dxa" w:w="40"/>
              <w:left w:type="dxa" w:w="80"/>
              <w:bottom w:type="dxa" w:w="40"/>
              <w:right w:type="dxa" w:w="80"/>
            </w:tcMar>
          </w:tcPr>
          <w:p>
            <w:pPr>
              <w:spacing w:after="0" w:line="240"/>
            </w:pPr>
            <w:r>
              <w:rPr>
                <w:rFonts w:ascii="Calibri" w:cs="Calibri" w:eastAsia="Calibri" w:hAnsi="Calibri"/>
                <w:sz w:val="18"/>
                <w:szCs w:val="18"/>
              </w:rPr>
              <w:t xml:space="preserve">Malus cumulés en points ; une alerte bloquante impose la souffrance automatique ; une alerte à seuil numérique dont la donnée est absente applique son malus par prudence.</w:t>
            </w:r>
          </w:p>
        </w:tc>
      </w:tr>
      <w:tr>
        <w:trPr>
          <w:cantSplit/>
        </w:trPr>
        <w:tc>
          <w:tcPr>
            <w:tcW w:type="dxa" w:w="2400"/>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6. Après pénalités</w:t>
            </w:r>
          </w:p>
        </w:tc>
        <w:tc>
          <w:tcPr>
            <w:tcW w:type="dxa" w:w="7238"/>
            <w:tcMar>
              <w:top w:type="dxa" w:w="40"/>
              <w:left w:type="dxa" w:w="80"/>
              <w:bottom w:type="dxa" w:w="40"/>
              <w:right w:type="dxa" w:w="80"/>
            </w:tcMar>
          </w:tcPr>
          <w:p>
            <w:pPr>
              <w:spacing w:after="0" w:line="240"/>
            </w:pPr>
            <w:r>
              <w:rPr>
                <w:rFonts w:ascii="Calibri" w:cs="Calibri" w:eastAsia="Calibri" w:hAnsi="Calibri"/>
                <w:sz w:val="18"/>
                <w:szCs w:val="18"/>
              </w:rPr>
              <w:t xml:space="preserve">S = S_ajusté − malus, borné entre 0 et 100.</w:t>
            </w:r>
          </w:p>
        </w:tc>
      </w:tr>
      <w:tr>
        <w:trPr>
          <w:cantSplit/>
        </w:trPr>
        <w:tc>
          <w:tcPr>
            <w:tcW w:type="dxa" w:w="2400"/>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7. Coefficient BAM</w:t>
            </w:r>
          </w:p>
        </w:tc>
        <w:tc>
          <w:tcPr>
            <w:tcW w:type="dxa" w:w="7238"/>
            <w:tcMar>
              <w:top w:type="dxa" w:w="40"/>
              <w:left w:type="dxa" w:w="80"/>
              <w:bottom w:type="dxa" w:w="40"/>
              <w:right w:type="dxa" w:w="80"/>
            </w:tcMar>
          </w:tcPr>
          <w:p>
            <w:pPr>
              <w:spacing w:after="0" w:line="240"/>
            </w:pPr>
            <w:r>
              <w:rPr>
                <w:rFonts w:ascii="Calibri" w:cs="Calibri" w:eastAsia="Calibri" w:hAnsi="Calibri"/>
                <w:sz w:val="18"/>
                <w:szCs w:val="18"/>
              </w:rPr>
              <w:t xml:space="preserve">Score final = S × coefficient de la classe réglementaire (section 8).</w:t>
            </w:r>
          </w:p>
        </w:tc>
      </w:tr>
      <w:tr>
        <w:trPr>
          <w:cantSplit/>
        </w:trPr>
        <w:tc>
          <w:tcPr>
            <w:tcW w:type="dxa" w:w="2400"/>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8. Décision</w:t>
            </w:r>
          </w:p>
        </w:tc>
        <w:tc>
          <w:tcPr>
            <w:tcW w:type="dxa" w:w="7238"/>
            <w:tcMar>
              <w:top w:type="dxa" w:w="40"/>
              <w:left w:type="dxa" w:w="80"/>
              <w:bottom w:type="dxa" w:w="40"/>
              <w:right w:type="dxa" w:w="80"/>
            </w:tcMar>
          </w:tcPr>
          <w:p>
            <w:pPr>
              <w:spacing w:after="0" w:line="240"/>
            </w:pPr>
            <w:r>
              <w:rPr>
                <w:rFonts w:ascii="Calibri" w:cs="Calibri" w:eastAsia="Calibri" w:hAnsi="Calibri"/>
                <w:sz w:val="18"/>
                <w:szCs w:val="18"/>
              </w:rPr>
              <w:t xml:space="preserve">Hiérarchie de verrous, puis seuils (section 9).</w:t>
            </w:r>
          </w:p>
        </w:tc>
      </w:tr>
    </w:tbl>
    <w:p>
      <w:pPr>
        <w:spacing w:after="80" w:before="0" w:line="276"/>
      </w:pPr>
      <w:r>
        <w:rPr>
          <w:rFonts w:ascii="Calibri" w:cs="Calibri" w:eastAsia="Calibri" w:hAnsi="Calibri"/>
          <w:sz w:val="21"/>
          <w:szCs w:val="21"/>
        </w:rPr>
        <w:t xml:space="preserve"/>
      </w:r>
    </w:p>
    <w:p>
      <w:pPr>
        <w:pStyle w:val="Heading2"/>
        <w:keepNext/>
      </w:pPr>
      <w:r>
        <w:t xml:space="preserve">Repères utilisés dans les tableaux</w:t>
      </w:r>
    </w:p>
    <w:p>
      <w:pPr>
        <w:pStyle w:val="ListParagraph"/>
        <w:numPr>
          <w:ilvl w:val="0"/>
          <w:numId w:val="2"/>
        </w:numPr>
        <w:spacing w:after="60" w:line="276"/>
      </w:pPr>
      <w:r>
        <w:rPr>
          <w:rFonts w:ascii="Calibri" w:cs="Calibri" w:eastAsia="Calibri" w:hAnsi="Calibri"/>
          <w:b/>
          <w:bCs/>
          <w:color w:val="C00000"/>
          <w:sz w:val="21"/>
          <w:szCs w:val="21"/>
        </w:rPr>
        <w:t xml:space="preserve">★ </w:t>
      </w:r>
      <w:r>
        <w:rPr>
          <w:rFonts w:ascii="Calibri" w:cs="Calibri" w:eastAsia="Calibri" w:hAnsi="Calibri"/>
          <w:sz w:val="21"/>
          <w:szCs w:val="21"/>
        </w:rPr>
        <w:t xml:space="preserve">donnée décisionnelle : si elle est absente, la décision est « Dossier incomplet ».</w:t>
      </w:r>
    </w:p>
    <w:p>
      <w:pPr>
        <w:pStyle w:val="ListParagraph"/>
        <w:numPr>
          <w:ilvl w:val="0"/>
          <w:numId w:val="2"/>
        </w:numPr>
        <w:spacing w:after="60" w:line="276"/>
      </w:pPr>
      <w:r>
        <w:rPr>
          <w:rFonts w:ascii="Calibri" w:cs="Calibri" w:eastAsia="Calibri" w:hAnsi="Calibri"/>
          <w:b/>
          <w:bCs/>
          <w:color w:val="C00000"/>
          <w:sz w:val="21"/>
          <w:szCs w:val="21"/>
        </w:rPr>
        <w:t xml:space="preserve">⛔ </w:t>
      </w:r>
      <w:r>
        <w:rPr>
          <w:rFonts w:ascii="Calibri" w:cs="Calibri" w:eastAsia="Calibri" w:hAnsi="Calibri"/>
          <w:sz w:val="21"/>
          <w:szCs w:val="21"/>
        </w:rPr>
        <w:t xml:space="preserve">critère éliminatoire : une note inférieure ou égale au seuil bloque la décision favorable tant que la condition n'est pas levée, au jalon indiqué.</w:t>
      </w:r>
    </w:p>
    <w:p>
      <w:pPr>
        <w:pStyle w:val="ListParagraph"/>
        <w:numPr>
          <w:ilvl w:val="0"/>
          <w:numId w:val="2"/>
        </w:numPr>
        <w:spacing w:after="60" w:line="276"/>
      </w:pPr>
      <w:r>
        <w:rPr>
          <w:rFonts w:ascii="Calibri" w:cs="Calibri" w:eastAsia="Calibri" w:hAnsi="Calibri"/>
          <w:b/>
          <w:bCs/>
          <w:color w:val="2E5496"/>
          <w:sz w:val="21"/>
          <w:szCs w:val="21"/>
        </w:rPr>
        <w:t xml:space="preserve">S </w:t>
      </w:r>
      <w:r>
        <w:rPr>
          <w:rFonts w:ascii="Calibri" w:cs="Calibri" w:eastAsia="Calibri" w:hAnsi="Calibri"/>
          <w:sz w:val="21"/>
          <w:szCs w:val="21"/>
        </w:rPr>
        <w:t xml:space="preserve">critère de la note de sûretés (le score économique et la note de sûretés sont calculés séparément, à titre d'information).</w:t>
      </w:r>
    </w:p>
    <w:p>
      <w:pPr>
        <w:pStyle w:val="ListParagraph"/>
        <w:numPr>
          <w:ilvl w:val="0"/>
          <w:numId w:val="2"/>
        </w:numPr>
        <w:spacing w:after="60" w:line="276"/>
      </w:pPr>
      <w:r>
        <w:rPr>
          <w:rFonts w:ascii="Calibri" w:cs="Calibri" w:eastAsia="Calibri" w:hAnsi="Calibri"/>
          <w:b/>
          <w:bCs/>
          <w:sz w:val="21"/>
          <w:szCs w:val="21"/>
        </w:rPr>
        <w:t xml:space="preserve">Niveau : </w:t>
      </w:r>
      <w:r>
        <w:rPr>
          <w:rFonts w:ascii="Calibri" w:cs="Calibri" w:eastAsia="Calibri" w:hAnsi="Calibri"/>
          <w:sz w:val="21"/>
          <w:szCs w:val="21"/>
        </w:rPr>
        <w:t xml:space="preserve">critique (note ≤ 3), vigilance (4 à 7), favorable (≥ 8).</w:t>
      </w:r>
    </w:p>
    <w:p>
      <w:r>
        <w:br w:type="page"/>
      </w:r>
    </w:p>
    <w:p>
      <w:pPr>
        <w:pStyle w:val="Heading1"/>
      </w:pPr>
      <w:r>
        <w:t xml:space="preserve">2. Vue d'ensemble : 37 critères, poids et statut</w:t>
      </w:r>
    </w:p>
    <w:p>
      <w:pPr>
        <w:spacing w:after="120" w:before="0" w:line="276"/>
      </w:pPr>
      <w:r>
        <w:rPr>
          <w:rFonts w:ascii="Calibri" w:cs="Calibri" w:eastAsia="Calibri" w:hAnsi="Calibri"/>
          <w:b/>
          <w:bCs/>
          <w:color w:val="2E5496"/>
          <w:sz w:val="21"/>
          <w:szCs w:val="21"/>
        </w:rPr>
        <w:t xml:space="preserve">Nouveautés v5.0.0 : </w:t>
      </w:r>
      <w:r>
        <w:rPr>
          <w:rFonts w:ascii="Calibri" w:cs="Calibri" w:eastAsia="Calibri" w:hAnsi="Calibri"/>
          <w:sz w:val="21"/>
          <w:szCs w:val="21"/>
        </w:rPr>
        <w:t xml:space="preserve">8 critères (D2C9, D2C10, D2C11, D2C12, D3C9, D3C10, D4C8, D4C9) et 5 alertes (RF_COMPOSANTE_SANS_PRENEUR, RF_EQUIPEMENT_RECEPTION, RF_PLAN_TIRAGE_RETARD, RF_TIRAGE_AVANCE, RF_TRANCHE_DEPENDANTE), repérés « nouveau » ci-dessous. Barèmes et modalités des critères existants inchangés ; poids rééquilibrés au sein des domaines.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700"/>
        <w:gridCol w:w="4238"/>
        <w:gridCol w:w="1000"/>
        <w:gridCol w:w="1100"/>
        <w:gridCol w:w="1600"/>
      </w:tblGrid>
      <w:tr>
        <w:trPr>
          <w:cantSplit/>
          <w:tblHeader/>
        </w:trPr>
        <w:tc>
          <w:tcPr>
            <w:tcW w:type="dxa" w:w="1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Domaine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Critère</w:t>
            </w:r>
          </w:p>
        </w:tc>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 critère</w:t>
            </w:r>
          </w:p>
        </w:tc>
        <w:tc>
          <w:tcPr>
            <w:tcW w:type="dxa" w:w="11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 effectif</w:t>
            </w:r>
          </w:p>
        </w:tc>
        <w:tc>
          <w:tcPr>
            <w:tcW w:type="dxa" w:w="1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Statut</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D1 — 25 %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D1C1  </w:t>
            </w:r>
            <w:r>
              <w:rPr>
                <w:rFonts w:ascii="Calibri" w:cs="Calibri" w:eastAsia="Calibri" w:hAnsi="Calibri"/>
                <w:sz w:val="16"/>
                <w:szCs w:val="16"/>
              </w:rPr>
              <w:t xml:space="preserve">Projets similaires livrés (5 ans)</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600"/>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D1 — 25 %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D1C2  </w:t>
            </w:r>
            <w:r>
              <w:rPr>
                <w:rFonts w:ascii="Calibri" w:cs="Calibri" w:eastAsia="Calibri" w:hAnsi="Calibri"/>
                <w:sz w:val="16"/>
                <w:szCs w:val="16"/>
              </w:rPr>
              <w:t xml:space="preserve">Gearing promoteur (dettes nettes / FP)</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25 %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6,3 %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D1 — 25 %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D1C3  </w:t>
            </w:r>
            <w:r>
              <w:rPr>
                <w:rFonts w:ascii="Calibri" w:cs="Calibri" w:eastAsia="Calibri" w:hAnsi="Calibri"/>
                <w:sz w:val="16"/>
                <w:szCs w:val="16"/>
              </w:rPr>
              <w:t xml:space="preserve">Gouvernance &amp; structure juridique</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3,8 %</w:t>
            </w:r>
          </w:p>
        </w:tc>
        <w:tc>
          <w:tcPr>
            <w:tcW w:type="dxa" w:w="1600"/>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D1 — 25 %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D1C4  </w:t>
            </w:r>
            <w:r>
              <w:rPr>
                <w:rFonts w:ascii="Calibri" w:cs="Calibri" w:eastAsia="Calibri" w:hAnsi="Calibri"/>
                <w:sz w:val="16"/>
                <w:szCs w:val="16"/>
              </w:rPr>
              <w:t xml:space="preserve">Concentration mono-projet (CA projet / CA total)</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3,8 %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D1 — 25 %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D1C5  </w:t>
            </w:r>
            <w:r>
              <w:rPr>
                <w:rFonts w:ascii="Calibri" w:cs="Calibri" w:eastAsia="Calibri" w:hAnsi="Calibri"/>
                <w:sz w:val="16"/>
                <w:szCs w:val="16"/>
              </w:rPr>
              <w:t xml:space="preserve">Typologie promoteur</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2,5 %</w:t>
            </w:r>
          </w:p>
        </w:tc>
        <w:tc>
          <w:tcPr>
            <w:tcW w:type="dxa" w:w="1600"/>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D1 — 25 %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D1C6  </w:t>
            </w:r>
            <w:r>
              <w:rPr>
                <w:rFonts w:ascii="Calibri" w:cs="Calibri" w:eastAsia="Calibri" w:hAnsi="Calibri"/>
                <w:sz w:val="16"/>
                <w:szCs w:val="16"/>
              </w:rPr>
              <w:t xml:space="preserve">Apport effectif (injecté / prévu)</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3,8 %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b/>
                <w:bCs/>
                <w:color w:val="C00000"/>
                <w:sz w:val="16"/>
                <w:szCs w:val="16"/>
              </w:rPr>
              <w:t xml:space="preserve">★ décisionnelle</w:t>
            </w:r>
          </w:p>
          <w:p>
            <w:pPr>
              <w:spacing w:after="0" w:line="240"/>
            </w:pPr>
            <w:r>
              <w:rPr>
                <w:rFonts w:ascii="Calibri" w:cs="Calibri" w:eastAsia="Calibri" w:hAnsi="Calibri"/>
                <w:b/>
                <w:bCs/>
                <w:color w:val="C00000"/>
                <w:sz w:val="16"/>
                <w:szCs w:val="16"/>
              </w:rPr>
              <w:t xml:space="preserve">⛔ éliminatoire (SIGNATURE)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D2C1  </w:t>
            </w:r>
            <w:r>
              <w:rPr>
                <w:rFonts w:ascii="Calibri" w:cs="Calibri" w:eastAsia="Calibri" w:hAnsi="Calibri"/>
                <w:sz w:val="16"/>
                <w:szCs w:val="16"/>
              </w:rPr>
              <w:t xml:space="preserve">Foncier &amp; autorisations</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2 %</w:t>
            </w:r>
          </w:p>
        </w:tc>
        <w:tc>
          <w:tcPr>
            <w:tcW w:type="dxa" w:w="1600"/>
            <w:tcMar>
              <w:top w:type="dxa" w:w="40"/>
              <w:left w:type="dxa" w:w="80"/>
              <w:bottom w:type="dxa" w:w="40"/>
              <w:right w:type="dxa" w:w="80"/>
            </w:tcMar>
          </w:tcPr>
          <w:p>
            <w:pPr>
              <w:spacing w:after="0" w:line="240"/>
            </w:pPr>
            <w:r>
              <w:rPr>
                <w:rFonts w:ascii="Calibri" w:cs="Calibri" w:eastAsia="Calibri" w:hAnsi="Calibri"/>
                <w:b/>
                <w:bCs/>
                <w:color w:val="C00000"/>
                <w:sz w:val="16"/>
                <w:szCs w:val="16"/>
              </w:rPr>
              <w:t xml:space="preserve">★ décisionnelle</w:t>
            </w:r>
          </w:p>
          <w:p>
            <w:pPr>
              <w:spacing w:after="0" w:line="240"/>
            </w:pPr>
            <w:r>
              <w:rPr>
                <w:rFonts w:ascii="Calibri" w:cs="Calibri" w:eastAsia="Calibri" w:hAnsi="Calibri"/>
                <w:b/>
                <w:bCs/>
                <w:color w:val="C00000"/>
                <w:sz w:val="16"/>
                <w:szCs w:val="16"/>
              </w:rPr>
              <w:t xml:space="preserve">⛔ éliminatoire (TIRAGE)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D2C2  </w:t>
            </w:r>
            <w:r>
              <w:rPr>
                <w:rFonts w:ascii="Calibri" w:cs="Calibri" w:eastAsia="Calibri" w:hAnsi="Calibri"/>
                <w:sz w:val="16"/>
                <w:szCs w:val="16"/>
              </w:rPr>
              <w:t xml:space="preserve">Marché &amp; positionnement</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D2C3  </w:t>
            </w:r>
            <w:r>
              <w:rPr>
                <w:rFonts w:ascii="Calibri" w:cs="Calibri" w:eastAsia="Calibri" w:hAnsi="Calibri"/>
                <w:sz w:val="16"/>
                <w:szCs w:val="16"/>
              </w:rPr>
              <w:t xml:space="preserve">Complexité technique</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2 %</w:t>
            </w:r>
          </w:p>
        </w:tc>
        <w:tc>
          <w:tcPr>
            <w:tcW w:type="dxa" w:w="1600"/>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D2C4  </w:t>
            </w:r>
            <w:r>
              <w:rPr>
                <w:rFonts w:ascii="Calibri" w:cs="Calibri" w:eastAsia="Calibri" w:hAnsi="Calibri"/>
                <w:sz w:val="16"/>
                <w:szCs w:val="16"/>
              </w:rPr>
              <w:t xml:space="preserve">Avancement vs planning</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D2C5  </w:t>
            </w:r>
            <w:r>
              <w:rPr>
                <w:rFonts w:ascii="Calibri" w:cs="Calibri" w:eastAsia="Calibri" w:hAnsi="Calibri"/>
                <w:sz w:val="16"/>
                <w:szCs w:val="16"/>
              </w:rPr>
              <w:t xml:space="preserve">Litiges clients / SAV</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1 %</w:t>
            </w:r>
          </w:p>
        </w:tc>
        <w:tc>
          <w:tcPr>
            <w:tcW w:type="dxa" w:w="1600"/>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D2C6  </w:t>
            </w:r>
            <w:r>
              <w:rPr>
                <w:rFonts w:ascii="Calibri" w:cs="Calibri" w:eastAsia="Calibri" w:hAnsi="Calibri"/>
                <w:sz w:val="16"/>
                <w:szCs w:val="16"/>
              </w:rPr>
              <w:t xml:space="preserve">Sensibilité macro / subvention</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D2C7  </w:t>
            </w:r>
            <w:r>
              <w:rPr>
                <w:rFonts w:ascii="Calibri" w:cs="Calibri" w:eastAsia="Calibri" w:hAnsi="Calibri"/>
                <w:sz w:val="16"/>
                <w:szCs w:val="16"/>
              </w:rPr>
              <w:t xml:space="preserve">Coût foncier / CA</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1 %</w:t>
            </w:r>
          </w:p>
        </w:tc>
        <w:tc>
          <w:tcPr>
            <w:tcW w:type="dxa" w:w="1600"/>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D2C8  </w:t>
            </w:r>
            <w:r>
              <w:rPr>
                <w:rFonts w:ascii="Calibri" w:cs="Calibri" w:eastAsia="Calibri" w:hAnsi="Calibri"/>
                <w:sz w:val="16"/>
                <w:szCs w:val="16"/>
              </w:rPr>
              <w:t xml:space="preserve">Chaîne d'autorisations (complétude)</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D2C9  </w:t>
            </w:r>
            <w:r>
              <w:rPr>
                <w:rFonts w:ascii="Calibri" w:cs="Calibri" w:eastAsia="Calibri" w:hAnsi="Calibri"/>
                <w:sz w:val="16"/>
                <w:szCs w:val="16"/>
              </w:rPr>
              <w:t xml:space="preserve">Tension du marché régional</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2 %</w:t>
            </w:r>
          </w:p>
        </w:tc>
        <w:tc>
          <w:tcPr>
            <w:tcW w:type="dxa" w:w="1600"/>
            <w:tcMar>
              <w:top w:type="dxa" w:w="40"/>
              <w:left w:type="dxa" w:w="80"/>
              <w:bottom w:type="dxa" w:w="40"/>
              <w:right w:type="dxa" w:w="80"/>
            </w:tcMar>
          </w:tcPr>
          <w:p>
            <w:pPr>
              <w:spacing w:after="0" w:line="240"/>
            </w:pPr>
            <w:r>
              <w:rPr>
                <w:rFonts w:ascii="Calibri" w:cs="Calibri" w:eastAsia="Calibri" w:hAnsi="Calibri"/>
                <w:b/>
                <w:bCs/>
                <w:color w:val="2E7D32"/>
                <w:sz w:val="16"/>
                <w:szCs w:val="16"/>
              </w:rPr>
              <w:t xml:space="preserve">nouveau v5.0.0</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D2C10  </w:t>
            </w:r>
            <w:r>
              <w:rPr>
                <w:rFonts w:ascii="Calibri" w:cs="Calibri" w:eastAsia="Calibri" w:hAnsi="Calibri"/>
                <w:sz w:val="16"/>
                <w:szCs w:val="16"/>
              </w:rPr>
              <w:t xml:space="preserve">Entreprise de travaux et garanties de marché</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b/>
                <w:bCs/>
                <w:color w:val="2E7D32"/>
                <w:sz w:val="16"/>
                <w:szCs w:val="16"/>
              </w:rPr>
              <w:t xml:space="preserve">nouveau v5.0.0</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D2C11  </w:t>
            </w:r>
            <w:r>
              <w:rPr>
                <w:rFonts w:ascii="Calibri" w:cs="Calibri" w:eastAsia="Calibri" w:hAnsi="Calibri"/>
                <w:sz w:val="16"/>
                <w:szCs w:val="16"/>
              </w:rPr>
              <w:t xml:space="preserve">Équipements exigés non budgétés (% du coût)</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1 %</w:t>
            </w:r>
          </w:p>
        </w:tc>
        <w:tc>
          <w:tcPr>
            <w:tcW w:type="dxa" w:w="1600"/>
            <w:tcMar>
              <w:top w:type="dxa" w:w="40"/>
              <w:left w:type="dxa" w:w="80"/>
              <w:bottom w:type="dxa" w:w="40"/>
              <w:right w:type="dxa" w:w="80"/>
            </w:tcMar>
          </w:tcPr>
          <w:p>
            <w:pPr>
              <w:spacing w:after="0" w:line="240"/>
            </w:pPr>
            <w:r>
              <w:rPr>
                <w:rFonts w:ascii="Calibri" w:cs="Calibri" w:eastAsia="Calibri" w:hAnsi="Calibri"/>
                <w:b/>
                <w:bCs/>
                <w:color w:val="2E7D32"/>
                <w:sz w:val="16"/>
                <w:szCs w:val="16"/>
              </w:rPr>
              <w:t xml:space="preserve">nouveau v5.0.0</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 — 20 %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D2C12  </w:t>
            </w:r>
            <w:r>
              <w:rPr>
                <w:rFonts w:ascii="Calibri" w:cs="Calibri" w:eastAsia="Calibri" w:hAnsi="Calibri"/>
                <w:sz w:val="16"/>
                <w:szCs w:val="16"/>
              </w:rPr>
              <w:t xml:space="preserve">Autonomie du périmètre financé (tranche)</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b/>
                <w:bCs/>
                <w:color w:val="2E7D32"/>
                <w:sz w:val="16"/>
                <w:szCs w:val="16"/>
              </w:rPr>
              <w:t xml:space="preserve">nouveau v5.0.0</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D3C1  </w:t>
            </w:r>
            <w:r>
              <w:rPr>
                <w:rFonts w:ascii="Calibri" w:cs="Calibri" w:eastAsia="Calibri" w:hAnsi="Calibri"/>
                <w:sz w:val="16"/>
                <w:szCs w:val="16"/>
              </w:rPr>
              <w:t xml:space="preserve">Préventes sécurisées (encaissées / CA)</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4,7 %</w:t>
            </w:r>
          </w:p>
        </w:tc>
        <w:tc>
          <w:tcPr>
            <w:tcW w:type="dxa" w:w="1600"/>
            <w:tcMar>
              <w:top w:type="dxa" w:w="40"/>
              <w:left w:type="dxa" w:w="80"/>
              <w:bottom w:type="dxa" w:w="40"/>
              <w:right w:type="dxa" w:w="80"/>
            </w:tcMar>
          </w:tcPr>
          <w:p>
            <w:pPr>
              <w:spacing w:after="0" w:line="240"/>
            </w:pPr>
            <w:r>
              <w:rPr>
                <w:rFonts w:ascii="Calibri" w:cs="Calibri" w:eastAsia="Calibri" w:hAnsi="Calibri"/>
                <w:b/>
                <w:bCs/>
                <w:color w:val="C00000"/>
                <w:sz w:val="16"/>
                <w:szCs w:val="16"/>
              </w:rPr>
              <w:t xml:space="preserve">★ décisionnelle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D3C2  </w:t>
            </w:r>
            <w:r>
              <w:rPr>
                <w:rFonts w:ascii="Calibri" w:cs="Calibri" w:eastAsia="Calibri" w:hAnsi="Calibri"/>
                <w:sz w:val="16"/>
                <w:szCs w:val="16"/>
              </w:rPr>
              <w:t xml:space="preserve">Ventes vs planning</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3,1 %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D3C3  </w:t>
            </w:r>
            <w:r>
              <w:rPr>
                <w:rFonts w:ascii="Calibri" w:cs="Calibri" w:eastAsia="Calibri" w:hAnsi="Calibri"/>
                <w:sz w:val="16"/>
                <w:szCs w:val="16"/>
              </w:rPr>
              <w:t xml:space="preserve">DSO (jours)</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1,6 %</w:t>
            </w:r>
          </w:p>
        </w:tc>
        <w:tc>
          <w:tcPr>
            <w:tcW w:type="dxa" w:w="1600"/>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D3C4  </w:t>
            </w:r>
            <w:r>
              <w:rPr>
                <w:rFonts w:ascii="Calibri" w:cs="Calibri" w:eastAsia="Calibri" w:hAnsi="Calibri"/>
                <w:sz w:val="16"/>
                <w:szCs w:val="16"/>
              </w:rPr>
              <w:t xml:space="preserve">Cash coverage (cash / échéances)</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20 %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6,2 %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b/>
                <w:bCs/>
                <w:color w:val="C00000"/>
                <w:sz w:val="16"/>
                <w:szCs w:val="16"/>
              </w:rPr>
              <w:t xml:space="preserve">★ décisionnelle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D3C5  </w:t>
            </w:r>
            <w:r>
              <w:rPr>
                <w:rFonts w:ascii="Calibri" w:cs="Calibri" w:eastAsia="Calibri" w:hAnsi="Calibri"/>
                <w:sz w:val="16"/>
                <w:szCs w:val="16"/>
              </w:rPr>
              <w:t xml:space="preserve">Impasse brute</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4,7 %</w:t>
            </w:r>
          </w:p>
        </w:tc>
        <w:tc>
          <w:tcPr>
            <w:tcW w:type="dxa" w:w="1600"/>
            <w:tcMar>
              <w:top w:type="dxa" w:w="40"/>
              <w:left w:type="dxa" w:w="80"/>
              <w:bottom w:type="dxa" w:w="40"/>
              <w:right w:type="dxa" w:w="80"/>
            </w:tcMar>
          </w:tcPr>
          <w:p>
            <w:pPr>
              <w:spacing w:after="0" w:line="240"/>
            </w:pPr>
            <w:r>
              <w:rPr>
                <w:rFonts w:ascii="Calibri" w:cs="Calibri" w:eastAsia="Calibri" w:hAnsi="Calibri"/>
                <w:b/>
                <w:bCs/>
                <w:color w:val="C00000"/>
                <w:sz w:val="16"/>
                <w:szCs w:val="16"/>
              </w:rPr>
              <w:t xml:space="preserve">★ décisionnelle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D3C6  </w:t>
            </w:r>
            <w:r>
              <w:rPr>
                <w:rFonts w:ascii="Calibri" w:cs="Calibri" w:eastAsia="Calibri" w:hAnsi="Calibri"/>
                <w:sz w:val="16"/>
                <w:szCs w:val="16"/>
              </w:rPr>
              <w:t xml:space="preserve">Rotation stock (mois)</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1,6 %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D3C7  </w:t>
            </w:r>
            <w:r>
              <w:rPr>
                <w:rFonts w:ascii="Calibri" w:cs="Calibri" w:eastAsia="Calibri" w:hAnsi="Calibri"/>
                <w:sz w:val="16"/>
                <w:szCs w:val="16"/>
              </w:rPr>
              <w:t xml:space="preserve">Marge brute stressée (prix -10%)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3,1 %</w:t>
            </w:r>
          </w:p>
        </w:tc>
        <w:tc>
          <w:tcPr>
            <w:tcW w:type="dxa" w:w="1600"/>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D3C8  </w:t>
            </w:r>
            <w:r>
              <w:rPr>
                <w:rFonts w:ascii="Calibri" w:cs="Calibri" w:eastAsia="Calibri" w:hAnsi="Calibri"/>
                <w:sz w:val="16"/>
                <w:szCs w:val="16"/>
              </w:rPr>
              <w:t xml:space="preserve">Ventes sécurisées (financement acquéreur)</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1,6 %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D3C9  </w:t>
            </w:r>
            <w:r>
              <w:rPr>
                <w:rFonts w:ascii="Calibri" w:cs="Calibri" w:eastAsia="Calibri" w:hAnsi="Calibri"/>
                <w:sz w:val="16"/>
                <w:szCs w:val="16"/>
              </w:rPr>
              <w:t xml:space="preserve">Part du CA en produits à écoulement lent</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1,6 %</w:t>
            </w:r>
          </w:p>
        </w:tc>
        <w:tc>
          <w:tcPr>
            <w:tcW w:type="dxa" w:w="1600"/>
            <w:tcMar>
              <w:top w:type="dxa" w:w="40"/>
              <w:left w:type="dxa" w:w="80"/>
              <w:bottom w:type="dxa" w:w="40"/>
              <w:right w:type="dxa" w:w="80"/>
            </w:tcMar>
          </w:tcPr>
          <w:p>
            <w:pPr>
              <w:spacing w:after="0" w:line="240"/>
            </w:pPr>
            <w:r>
              <w:rPr>
                <w:rFonts w:ascii="Calibri" w:cs="Calibri" w:eastAsia="Calibri" w:hAnsi="Calibri"/>
                <w:b/>
                <w:bCs/>
                <w:color w:val="2E7D32"/>
                <w:sz w:val="16"/>
                <w:szCs w:val="16"/>
              </w:rPr>
              <w:t xml:space="preserve">nouveau v5.0.0</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 — 31 %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D3C10  </w:t>
            </w:r>
            <w:r>
              <w:rPr>
                <w:rFonts w:ascii="Calibri" w:cs="Calibri" w:eastAsia="Calibri" w:hAnsi="Calibri"/>
                <w:sz w:val="16"/>
                <w:szCs w:val="16"/>
              </w:rPr>
              <w:t xml:space="preserve">Taux de désistement des réservations</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3,1 %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b/>
                <w:bCs/>
                <w:color w:val="2E7D32"/>
                <w:sz w:val="16"/>
                <w:szCs w:val="16"/>
              </w:rPr>
              <w:t xml:space="preserve">nouveau v5.0.0</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D4 — 24 %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D4C1  </w:t>
            </w:r>
            <w:r>
              <w:rPr>
                <w:rFonts w:ascii="Calibri" w:cs="Calibri" w:eastAsia="Calibri" w:hAnsi="Calibri"/>
                <w:sz w:val="16"/>
                <w:szCs w:val="16"/>
              </w:rPr>
              <w:t xml:space="preserve">Marge brute (CA - coûts directs)/CA</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3,6 %</w:t>
            </w:r>
          </w:p>
        </w:tc>
        <w:tc>
          <w:tcPr>
            <w:tcW w:type="dxa" w:w="1600"/>
            <w:tcMar>
              <w:top w:type="dxa" w:w="40"/>
              <w:left w:type="dxa" w:w="80"/>
              <w:bottom w:type="dxa" w:w="40"/>
              <w:right w:type="dxa" w:w="80"/>
            </w:tcMar>
          </w:tcPr>
          <w:p>
            <w:pPr>
              <w:spacing w:after="0" w:line="240"/>
            </w:pPr>
            <w:r>
              <w:rPr>
                <w:rFonts w:ascii="Calibri" w:cs="Calibri" w:eastAsia="Calibri" w:hAnsi="Calibri"/>
                <w:b/>
                <w:bCs/>
                <w:color w:val="C00000"/>
                <w:sz w:val="16"/>
                <w:szCs w:val="16"/>
              </w:rPr>
              <w:t xml:space="preserve">★ décisionnelle</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D4 — 24 %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D4C2  </w:t>
            </w:r>
            <w:r>
              <w:rPr>
                <w:rFonts w:ascii="Calibri" w:cs="Calibri" w:eastAsia="Calibri" w:hAnsi="Calibri"/>
                <w:sz w:val="16"/>
                <w:szCs w:val="16"/>
              </w:rPr>
              <w:t xml:space="preserve">LTC (dette / coût total)</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2,4 %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D4 — 24 %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D4C3  </w:t>
            </w:r>
            <w:r>
              <w:rPr>
                <w:rFonts w:ascii="Calibri" w:cs="Calibri" w:eastAsia="Calibri" w:hAnsi="Calibri"/>
                <w:sz w:val="16"/>
                <w:szCs w:val="16"/>
              </w:rPr>
              <w:t xml:space="preserve">LTV stressée (dette / valeur×0,90)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4,8 %</w:t>
            </w:r>
          </w:p>
        </w:tc>
        <w:tc>
          <w:tcPr>
            <w:tcW w:type="dxa" w:w="1600"/>
            <w:tcMar>
              <w:top w:type="dxa" w:w="40"/>
              <w:left w:type="dxa" w:w="80"/>
              <w:bottom w:type="dxa" w:w="40"/>
              <w:right w:type="dxa" w:w="80"/>
            </w:tcMar>
          </w:tcPr>
          <w:p>
            <w:pPr>
              <w:spacing w:after="0" w:line="240"/>
            </w:pPr>
            <w:r>
              <w:rPr>
                <w:rFonts w:ascii="Calibri" w:cs="Calibri" w:eastAsia="Calibri" w:hAnsi="Calibri"/>
                <w:b/>
                <w:bCs/>
                <w:color w:val="2E5496"/>
                <w:sz w:val="16"/>
                <w:szCs w:val="16"/>
              </w:rPr>
              <w:t xml:space="preserve">S sûretés</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D4 — 24 %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D4C4  </w:t>
            </w:r>
            <w:r>
              <w:rPr>
                <w:rFonts w:ascii="Calibri" w:cs="Calibri" w:eastAsia="Calibri" w:hAnsi="Calibri"/>
                <w:sz w:val="16"/>
                <w:szCs w:val="16"/>
              </w:rPr>
              <w:t xml:space="preserve">Couverture garanties réalisable</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2,4 %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b/>
                <w:bCs/>
                <w:color w:val="2E5496"/>
                <w:sz w:val="16"/>
                <w:szCs w:val="16"/>
              </w:rPr>
              <w:t xml:space="preserve">S sûretés</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D4 — 24 %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D4C5  </w:t>
            </w:r>
            <w:r>
              <w:rPr>
                <w:rFonts w:ascii="Calibri" w:cs="Calibri" w:eastAsia="Calibri" w:hAnsi="Calibri"/>
                <w:sz w:val="16"/>
                <w:szCs w:val="16"/>
              </w:rPr>
              <w:t xml:space="preserve">Rang bancaire 1er rang</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2,4 %</w:t>
            </w:r>
          </w:p>
        </w:tc>
        <w:tc>
          <w:tcPr>
            <w:tcW w:type="dxa" w:w="1600"/>
            <w:tcMar>
              <w:top w:type="dxa" w:w="40"/>
              <w:left w:type="dxa" w:w="80"/>
              <w:bottom w:type="dxa" w:w="40"/>
              <w:right w:type="dxa" w:w="80"/>
            </w:tcMar>
          </w:tcPr>
          <w:p>
            <w:pPr>
              <w:spacing w:after="0" w:line="240"/>
            </w:pPr>
            <w:r>
              <w:rPr>
                <w:rFonts w:ascii="Calibri" w:cs="Calibri" w:eastAsia="Calibri" w:hAnsi="Calibri"/>
                <w:b/>
                <w:bCs/>
                <w:color w:val="2E5496"/>
                <w:sz w:val="16"/>
                <w:szCs w:val="16"/>
              </w:rPr>
              <w:t xml:space="preserve">S sûretés</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D4 — 24 %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D4C6  </w:t>
            </w:r>
            <w:r>
              <w:rPr>
                <w:rFonts w:ascii="Calibri" w:cs="Calibri" w:eastAsia="Calibri" w:hAnsi="Calibri"/>
                <w:sz w:val="16"/>
                <w:szCs w:val="16"/>
              </w:rPr>
              <w:t xml:space="preserve">Interest coverage (EBITDA / charges fin.)</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2,4 %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D4 — 24 %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D4C7  </w:t>
            </w:r>
            <w:r>
              <w:rPr>
                <w:rFonts w:ascii="Calibri" w:cs="Calibri" w:eastAsia="Calibri" w:hAnsi="Calibri"/>
                <w:sz w:val="16"/>
                <w:szCs w:val="16"/>
              </w:rPr>
              <w:t xml:space="preserve">Quotité de désengagement vs équilibre</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1,2 %</w:t>
            </w:r>
          </w:p>
        </w:tc>
        <w:tc>
          <w:tcPr>
            <w:tcW w:type="dxa" w:w="1600"/>
            <w:tcMar>
              <w:top w:type="dxa" w:w="40"/>
              <w:left w:type="dxa" w:w="80"/>
              <w:bottom w:type="dxa" w:w="40"/>
              <w:right w:type="dxa" w:w="80"/>
            </w:tcMar>
          </w:tcPr>
          <w:p>
            <w:pPr>
              <w:spacing w:after="0" w:line="240"/>
            </w:pPr>
            <w:r>
              <w:rPr>
                <w:rFonts w:ascii="Calibri" w:cs="Calibri" w:eastAsia="Calibri" w:hAnsi="Calibri"/>
                <w:b/>
                <w:bCs/>
                <w:color w:val="2E5496"/>
                <w:sz w:val="16"/>
                <w:szCs w:val="16"/>
              </w:rPr>
              <w:t xml:space="preserve">S sûretés</w:t>
            </w:r>
          </w:p>
        </w:tc>
      </w:tr>
      <w:tr>
        <w:trPr>
          <w:cantSplit/>
        </w:trPr>
        <w:tc>
          <w:tcPr>
            <w:tcW w:type="dxa" w:w="17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D4 — 24 %</w:t>
            </w:r>
          </w:p>
        </w:tc>
        <w:tc>
          <w:tcPr>
            <w:tcW w:type="dxa" w:w="42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D4C8  </w:t>
            </w:r>
            <w:r>
              <w:rPr>
                <w:rFonts w:ascii="Calibri" w:cs="Calibri" w:eastAsia="Calibri" w:hAnsi="Calibri"/>
                <w:sz w:val="16"/>
                <w:szCs w:val="16"/>
              </w:rPr>
              <w:t xml:space="preserve">Déblocages vs avancement certifié</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2,4 %</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b/>
                <w:bCs/>
                <w:color w:val="2E5496"/>
                <w:sz w:val="16"/>
                <w:szCs w:val="16"/>
              </w:rPr>
              <w:t xml:space="preserve">S sûretés</w:t>
            </w:r>
          </w:p>
          <w:p>
            <w:pPr>
              <w:spacing w:after="0" w:line="240"/>
            </w:pPr>
            <w:r>
              <w:rPr>
                <w:rFonts w:ascii="Calibri" w:cs="Calibri" w:eastAsia="Calibri" w:hAnsi="Calibri"/>
                <w:b/>
                <w:bCs/>
                <w:color w:val="2E7D32"/>
                <w:sz w:val="16"/>
                <w:szCs w:val="16"/>
              </w:rPr>
              <w:t xml:space="preserve">nouveau v5.0.0</w:t>
            </w:r>
          </w:p>
        </w:tc>
      </w:tr>
      <w:tr>
        <w:trPr>
          <w:cantSplit/>
        </w:trPr>
        <w:tc>
          <w:tcPr>
            <w:tcW w:type="dxa" w:w="1700"/>
            <w:tcMar>
              <w:top w:type="dxa" w:w="40"/>
              <w:left w:type="dxa" w:w="80"/>
              <w:bottom w:type="dxa" w:w="40"/>
              <w:right w:type="dxa" w:w="80"/>
            </w:tcMar>
          </w:tcPr>
          <w:p>
            <w:pPr>
              <w:spacing w:after="0" w:line="240"/>
            </w:pPr>
            <w:r>
              <w:rPr>
                <w:rFonts w:ascii="Calibri" w:cs="Calibri" w:eastAsia="Calibri" w:hAnsi="Calibri"/>
                <w:sz w:val="16"/>
                <w:szCs w:val="16"/>
              </w:rPr>
              <w:t xml:space="preserve">D4 — 24 %</w:t>
            </w:r>
          </w:p>
        </w:tc>
        <w:tc>
          <w:tcPr>
            <w:tcW w:type="dxa" w:w="4238"/>
            <w:tcMar>
              <w:top w:type="dxa" w:w="40"/>
              <w:left w:type="dxa" w:w="80"/>
              <w:bottom w:type="dxa" w:w="40"/>
              <w:right w:type="dxa" w:w="80"/>
            </w:tcMar>
          </w:tcPr>
          <w:p>
            <w:pPr>
              <w:spacing w:after="0" w:line="240"/>
            </w:pPr>
            <w:r>
              <w:rPr>
                <w:rFonts w:ascii="Calibri" w:cs="Calibri" w:eastAsia="Calibri" w:hAnsi="Calibri"/>
                <w:b/>
                <w:bCs/>
                <w:color w:val="1F3864"/>
                <w:sz w:val="16"/>
                <w:szCs w:val="16"/>
              </w:rPr>
              <w:t xml:space="preserve">D4C9  </w:t>
            </w:r>
            <w:r>
              <w:rPr>
                <w:rFonts w:ascii="Calibri" w:cs="Calibri" w:eastAsia="Calibri" w:hAnsi="Calibri"/>
                <w:sz w:val="16"/>
                <w:szCs w:val="16"/>
              </w:rPr>
              <w:t xml:space="preserve">Dépassement du coût à terminaison</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1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2,4 %</w:t>
            </w:r>
          </w:p>
        </w:tc>
        <w:tc>
          <w:tcPr>
            <w:tcW w:type="dxa" w:w="1600"/>
            <w:tcMar>
              <w:top w:type="dxa" w:w="40"/>
              <w:left w:type="dxa" w:w="80"/>
              <w:bottom w:type="dxa" w:w="40"/>
              <w:right w:type="dxa" w:w="80"/>
            </w:tcMar>
          </w:tcPr>
          <w:p>
            <w:pPr>
              <w:spacing w:after="0" w:line="240"/>
            </w:pPr>
            <w:r>
              <w:rPr>
                <w:rFonts w:ascii="Calibri" w:cs="Calibri" w:eastAsia="Calibri" w:hAnsi="Calibri"/>
                <w:b/>
                <w:bCs/>
                <w:color w:val="2E7D32"/>
                <w:sz w:val="16"/>
                <w:szCs w:val="16"/>
              </w:rPr>
              <w:t xml:space="preserve">nouveau v5.0.0</w:t>
            </w:r>
          </w:p>
        </w:tc>
      </w:tr>
    </w:tbl>
    <w:p>
      <w:pPr>
        <w:spacing w:after="120" w:before="80" w:line="276"/>
      </w:pPr>
      <w:r>
        <w:rPr>
          <w:rFonts w:ascii="Calibri" w:cs="Calibri" w:eastAsia="Calibri" w:hAnsi="Calibri"/>
          <w:i/>
          <w:iCs/>
          <w:color w:val="595959"/>
          <w:sz w:val="18"/>
          <w:szCs w:val="18"/>
        </w:rPr>
        <w:t xml:space="preserve">Poids effectif = poids du critère × poids de son domaine : part du critère dans le score économique.</w:t>
      </w:r>
    </w:p>
    <w:p>
      <w:r>
        <w:br w:type="page"/>
      </w:r>
    </w:p>
    <w:p>
      <w:pPr>
        <w:pStyle w:val="Heading1"/>
      </w:pPr>
      <w:r>
        <w:t xml:space="preserve">3. D1 — Sponsor &amp; Gouvernance (25 %)</w:t>
      </w:r>
    </w:p>
    <w:p>
      <w:pPr>
        <w:spacing w:after="120" w:before="0" w:line="276"/>
      </w:pPr>
      <w:r>
        <w:rPr>
          <w:rFonts w:ascii="Calibri" w:cs="Calibri" w:eastAsia="Calibri" w:hAnsi="Calibri"/>
          <w:sz w:val="21"/>
          <w:szCs w:val="21"/>
        </w:rPr>
        <w:t xml:space="preserve">6 critères. Poids des critères au sein du domaine : D1C1 20 % · D1C2 25 % · D1C3 15 % · D1C4 15 % · D1C5 10 % · D1C6 15 %.</w:t>
      </w:r>
    </w:p>
    <w:p>
      <w:pPr>
        <w:pStyle w:val="Heading2"/>
        <w:keepNext/>
      </w:pPr>
      <w:r>
        <w:t xml:space="preserve">D1C1 — Projets similaires livrés (5 ans)</w:t>
      </w:r>
    </w:p>
    <w:p>
      <w:pPr>
        <w:keepNext/>
        <w:spacing w:after="40" w:before="0" w:line="276"/>
      </w:pPr>
      <w:r>
        <w:rPr>
          <w:rFonts w:ascii="Calibri" w:cs="Calibri" w:eastAsia="Calibri" w:hAnsi="Calibri"/>
          <w:b/>
          <w:bCs/>
          <w:sz w:val="21"/>
          <w:szCs w:val="21"/>
        </w:rPr>
        <w:t xml:space="preserve">Poids 20 % du domaine</w:t>
      </w:r>
      <w:r>
        <w:rPr>
          <w:rFonts w:ascii="Calibri" w:cs="Calibri" w:eastAsia="Calibri" w:hAnsi="Calibri"/>
          <w:sz w:val="21"/>
          <w:szCs w:val="21"/>
        </w:rPr>
        <w:t xml:space="preserve"> · soit 5 % du score économique · clé technique </w:t>
      </w:r>
      <w:r>
        <w:rPr>
          <w:rFonts w:ascii="Calibri" w:cs="Calibri" w:eastAsia="Calibri" w:hAnsi="Calibri"/>
          <w:b/>
          <w:bCs/>
          <w:sz w:val="21"/>
          <w:szCs w:val="21"/>
        </w:rPr>
        <w:t xml:space="preserve">promoter_completed_projects</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 à &lt; 3</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3</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D1C2 — Gearing promoteur (dettes nettes / FP)</w:t>
      </w:r>
    </w:p>
    <w:p>
      <w:pPr>
        <w:keepNext/>
        <w:spacing w:after="40" w:before="0" w:line="276"/>
      </w:pPr>
      <w:r>
        <w:rPr>
          <w:rFonts w:ascii="Calibri" w:cs="Calibri" w:eastAsia="Calibri" w:hAnsi="Calibri"/>
          <w:b/>
          <w:bCs/>
          <w:sz w:val="21"/>
          <w:szCs w:val="21"/>
        </w:rPr>
        <w:t xml:space="preserve">Poids 25 % du domaine</w:t>
      </w:r>
      <w:r>
        <w:rPr>
          <w:rFonts w:ascii="Calibri" w:cs="Calibri" w:eastAsia="Calibri" w:hAnsi="Calibri"/>
          <w:sz w:val="21"/>
          <w:szCs w:val="21"/>
        </w:rPr>
        <w:t xml:space="preserve"> · soit 6,3 % du score économique · clé technique </w:t>
      </w:r>
      <w:r>
        <w:rPr>
          <w:rFonts w:ascii="Calibri" w:cs="Calibri" w:eastAsia="Calibri" w:hAnsi="Calibri"/>
          <w:b/>
          <w:bCs/>
          <w:sz w:val="21"/>
          <w:szCs w:val="21"/>
        </w:rPr>
        <w:t xml:space="preserve">promoter_gearing</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100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100 à &lt; 150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150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D1C3 — Gouvernance &amp; structure juridique</w:t>
      </w:r>
    </w:p>
    <w:p>
      <w:pPr>
        <w:keepNext/>
        <w:spacing w:after="40" w:before="0" w:line="276"/>
      </w:pPr>
      <w:r>
        <w:rPr>
          <w:rFonts w:ascii="Calibri" w:cs="Calibri" w:eastAsia="Calibri" w:hAnsi="Calibri"/>
          <w:b/>
          <w:bCs/>
          <w:sz w:val="21"/>
          <w:szCs w:val="21"/>
        </w:rPr>
        <w:t xml:space="preserve">Poids 15 % du domaine</w:t>
      </w:r>
      <w:r>
        <w:rPr>
          <w:rFonts w:ascii="Calibri" w:cs="Calibri" w:eastAsia="Calibri" w:hAnsi="Calibri"/>
          <w:sz w:val="21"/>
          <w:szCs w:val="21"/>
        </w:rPr>
        <w:t xml:space="preserve"> · soit 3,8 % du score économique · clé technique </w:t>
      </w:r>
      <w:r>
        <w:rPr>
          <w:rFonts w:ascii="Calibri" w:cs="Calibri" w:eastAsia="Calibri" w:hAnsi="Calibri"/>
          <w:b/>
          <w:bCs/>
          <w:sz w:val="21"/>
          <w:szCs w:val="21"/>
        </w:rPr>
        <w:t xml:space="preserve">governance_quality</w:t>
      </w:r>
      <w:r>
        <w:rPr>
          <w:rFonts w:ascii="Calibri" w:cs="Calibri" w:eastAsia="Calibri" w:hAnsi="Calibri"/>
          <w:sz w:val="21"/>
          <w:szCs w:val="21"/>
        </w:rPr>
        <w:t xml:space="preserve"> · critère qualitatif</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opaque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Opaque</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partielle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Partielle</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2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claire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Claire / structurée</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D1C4 — Concentration mono-projet (CA projet / CA total)</w:t>
      </w:r>
    </w:p>
    <w:p>
      <w:pPr>
        <w:keepNext/>
        <w:spacing w:after="40" w:before="0" w:line="276"/>
      </w:pPr>
      <w:r>
        <w:rPr>
          <w:rFonts w:ascii="Calibri" w:cs="Calibri" w:eastAsia="Calibri" w:hAnsi="Calibri"/>
          <w:b/>
          <w:bCs/>
          <w:sz w:val="21"/>
          <w:szCs w:val="21"/>
        </w:rPr>
        <w:t xml:space="preserve">Poids 15 % du domaine</w:t>
      </w:r>
      <w:r>
        <w:rPr>
          <w:rFonts w:ascii="Calibri" w:cs="Calibri" w:eastAsia="Calibri" w:hAnsi="Calibri"/>
          <w:sz w:val="21"/>
          <w:szCs w:val="21"/>
        </w:rPr>
        <w:t xml:space="preserve"> · soit 3,8 % du score économique · clé technique </w:t>
      </w:r>
      <w:r>
        <w:rPr>
          <w:rFonts w:ascii="Calibri" w:cs="Calibri" w:eastAsia="Calibri" w:hAnsi="Calibri"/>
          <w:b/>
          <w:bCs/>
          <w:sz w:val="21"/>
          <w:szCs w:val="21"/>
        </w:rPr>
        <w:t xml:space="preserve">mono_project_concentration</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40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60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40 à &lt; 60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60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60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D1C5 — Typologie promoteur</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2,5 % du score économique · clé technique </w:t>
      </w:r>
      <w:r>
        <w:rPr>
          <w:rFonts w:ascii="Calibri" w:cs="Calibri" w:eastAsia="Calibri" w:hAnsi="Calibri"/>
          <w:b/>
          <w:bCs/>
          <w:sz w:val="21"/>
          <w:szCs w:val="21"/>
        </w:rPr>
        <w:t xml:space="preserve">promoter_type</w:t>
      </w:r>
      <w:r>
        <w:rPr>
          <w:rFonts w:ascii="Calibri" w:cs="Calibri" w:eastAsia="Calibri" w:hAnsi="Calibri"/>
          <w:sz w:val="21"/>
          <w:szCs w:val="21"/>
        </w:rPr>
        <w:t xml:space="preserve"> · critère qualitatif</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opportuniste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Opportuniste</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2</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regional</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Régional</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2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structure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Structuré</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2.</w:t>
      </w:r>
    </w:p>
    <w:p>
      <w:pPr>
        <w:pStyle w:val="Heading2"/>
        <w:keepNext/>
      </w:pPr>
      <w:r>
        <w:t xml:space="preserve">D1C6 — Apport effectif (injecté / prévu)</w:t>
      </w:r>
    </w:p>
    <w:p>
      <w:pPr>
        <w:keepNext/>
        <w:spacing w:after="40" w:before="0" w:line="276"/>
      </w:pPr>
      <w:r>
        <w:rPr>
          <w:rFonts w:ascii="Calibri" w:cs="Calibri" w:eastAsia="Calibri" w:hAnsi="Calibri"/>
          <w:b/>
          <w:bCs/>
          <w:sz w:val="21"/>
          <w:szCs w:val="21"/>
        </w:rPr>
        <w:t xml:space="preserve">Poids 15 % du domaine</w:t>
      </w:r>
      <w:r>
        <w:rPr>
          <w:rFonts w:ascii="Calibri" w:cs="Calibri" w:eastAsia="Calibri" w:hAnsi="Calibri"/>
          <w:sz w:val="21"/>
          <w:szCs w:val="21"/>
        </w:rPr>
        <w:t xml:space="preserve"> · soit 3,8 % du score économique · clé technique </w:t>
      </w:r>
      <w:r>
        <w:rPr>
          <w:rFonts w:ascii="Calibri" w:cs="Calibri" w:eastAsia="Calibri" w:hAnsi="Calibri"/>
          <w:b/>
          <w:bCs/>
          <w:sz w:val="21"/>
          <w:szCs w:val="21"/>
        </w:rPr>
        <w:t xml:space="preserve">equity_injected_ratio</w:t>
      </w:r>
      <w:r>
        <w:rPr>
          <w:rFonts w:ascii="Calibri" w:cs="Calibri" w:eastAsia="Calibri" w:hAnsi="Calibri"/>
          <w:sz w:val="21"/>
          <w:szCs w:val="21"/>
        </w:rPr>
        <w:t xml:space="preserve"> · critère numérique</w:t>
      </w:r>
    </w:p>
    <w:p>
      <w:pPr>
        <w:keepNext/>
        <w:spacing w:after="40" w:before="0" w:line="276"/>
      </w:pPr>
      <w:r>
        <w:rPr>
          <w:rFonts w:ascii="Calibri" w:cs="Calibri" w:eastAsia="Calibri" w:hAnsi="Calibri"/>
          <w:b/>
          <w:bCs/>
          <w:color w:val="C00000"/>
          <w:sz w:val="18"/>
          <w:szCs w:val="18"/>
        </w:rPr>
        <w:t xml:space="preserve">★ donnée décisionnelle   ·   ⛔ critère éliminatoire — seuil : note ≤ 1, jalon SIGNATURE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80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80 à &lt; 100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100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 et dossier incomplet (donnée décisionnelle).</w:t>
      </w:r>
    </w:p>
    <w:p>
      <w:r>
        <w:br w:type="page"/>
      </w:r>
    </w:p>
    <w:p>
      <w:pPr>
        <w:pStyle w:val="Heading1"/>
      </w:pPr>
      <w:r>
        <w:t xml:space="preserve">4. D2 — Qualité intrinsèque du projet (20 %)</w:t>
      </w:r>
    </w:p>
    <w:p>
      <w:pPr>
        <w:spacing w:after="120" w:before="0" w:line="276"/>
      </w:pPr>
      <w:r>
        <w:rPr>
          <w:rFonts w:ascii="Calibri" w:cs="Calibri" w:eastAsia="Calibri" w:hAnsi="Calibri"/>
          <w:sz w:val="21"/>
          <w:szCs w:val="21"/>
        </w:rPr>
        <w:t xml:space="preserve">12 critères. Poids des critères au sein du domaine : D2C1 10 % · D2C2 15 % · D2C3 10 % · D2C4 10 % · D2C5 5 % · D2C6 5 % · D2C7 5 % · D2C8 10 % · D2C9 10 % · D2C10 10 % · D2C11 5 % · D2C12 5 %.</w:t>
      </w:r>
    </w:p>
    <w:p>
      <w:pPr>
        <w:pStyle w:val="Heading2"/>
        <w:keepNext/>
      </w:pPr>
      <w:r>
        <w:t xml:space="preserve">D2C1 — Foncier &amp; autorisations</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2 % du score économique · clé technique </w:t>
      </w:r>
      <w:r>
        <w:rPr>
          <w:rFonts w:ascii="Calibri" w:cs="Calibri" w:eastAsia="Calibri" w:hAnsi="Calibri"/>
          <w:b/>
          <w:bCs/>
          <w:sz w:val="21"/>
          <w:szCs w:val="21"/>
        </w:rPr>
        <w:t xml:space="preserve">land_permits_status</w:t>
      </w:r>
      <w:r>
        <w:rPr>
          <w:rFonts w:ascii="Calibri" w:cs="Calibri" w:eastAsia="Calibri" w:hAnsi="Calibri"/>
          <w:sz w:val="21"/>
          <w:szCs w:val="21"/>
        </w:rPr>
        <w:t xml:space="preserve"> · critère qualitatif</w:t>
      </w:r>
    </w:p>
    <w:p>
      <w:pPr>
        <w:keepNext/>
        <w:spacing w:after="40" w:before="0" w:line="276"/>
      </w:pPr>
      <w:r>
        <w:rPr>
          <w:rFonts w:ascii="Calibri" w:cs="Calibri" w:eastAsia="Calibri" w:hAnsi="Calibri"/>
          <w:b/>
          <w:bCs/>
          <w:color w:val="C00000"/>
          <w:sz w:val="18"/>
          <w:szCs w:val="18"/>
        </w:rPr>
        <w:t xml:space="preserve">★ donnée décisionnelle   ·   ⛔ critère éliminatoire — seuil : note ≤ 1, jalon TIRAGE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absentes</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Titre non purgé / autorisations absentes</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partielles</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Partielles</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2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definitives</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Titre purgé + autorisations définitives</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 et dossier incomplet (donnée décisionnelle).</w:t>
      </w:r>
    </w:p>
    <w:p>
      <w:pPr>
        <w:pStyle w:val="Heading2"/>
        <w:keepNext/>
      </w:pPr>
      <w:r>
        <w:t xml:space="preserve">D2C2 — Marché &amp; positionnement</w:t>
      </w:r>
    </w:p>
    <w:p>
      <w:pPr>
        <w:keepNext/>
        <w:spacing w:after="40" w:before="0" w:line="276"/>
      </w:pPr>
      <w:r>
        <w:rPr>
          <w:rFonts w:ascii="Calibri" w:cs="Calibri" w:eastAsia="Calibri" w:hAnsi="Calibri"/>
          <w:b/>
          <w:bCs/>
          <w:sz w:val="21"/>
          <w:szCs w:val="21"/>
        </w:rPr>
        <w:t xml:space="preserve">Poids 15 % du domaine</w:t>
      </w:r>
      <w:r>
        <w:rPr>
          <w:rFonts w:ascii="Calibri" w:cs="Calibri" w:eastAsia="Calibri" w:hAnsi="Calibri"/>
          <w:sz w:val="21"/>
          <w:szCs w:val="21"/>
        </w:rPr>
        <w:t xml:space="preserve"> · soit 3 % du score économique · clé technique </w:t>
      </w:r>
      <w:r>
        <w:rPr>
          <w:rFonts w:ascii="Calibri" w:cs="Calibri" w:eastAsia="Calibri" w:hAnsi="Calibri"/>
          <w:b/>
          <w:bCs/>
          <w:sz w:val="21"/>
          <w:szCs w:val="21"/>
        </w:rPr>
        <w:t xml:space="preserve">market_positioning</w:t>
      </w:r>
      <w:r>
        <w:rPr>
          <w:rFonts w:ascii="Calibri" w:cs="Calibri" w:eastAsia="Calibri" w:hAnsi="Calibri"/>
          <w:sz w:val="21"/>
          <w:szCs w:val="21"/>
        </w:rPr>
        <w:t xml:space="preserve"> · critère qualitatif</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sur_positionne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Sur-positionné / sur-offre</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2</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moyen</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Correct</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2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aligne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Aligné / forte demande</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2.</w:t>
      </w:r>
    </w:p>
    <w:p>
      <w:pPr>
        <w:pStyle w:val="Heading2"/>
        <w:keepNext/>
      </w:pPr>
      <w:r>
        <w:t xml:space="preserve">D2C3 — Complexité technique</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2 % du score économique · clé technique </w:t>
      </w:r>
      <w:r>
        <w:rPr>
          <w:rFonts w:ascii="Calibri" w:cs="Calibri" w:eastAsia="Calibri" w:hAnsi="Calibri"/>
          <w:b/>
          <w:bCs/>
          <w:sz w:val="21"/>
          <w:szCs w:val="21"/>
        </w:rPr>
        <w:t xml:space="preserve">technical_complexity</w:t>
      </w:r>
      <w:r>
        <w:rPr>
          <w:rFonts w:ascii="Calibri" w:cs="Calibri" w:eastAsia="Calibri" w:hAnsi="Calibri"/>
          <w:sz w:val="21"/>
          <w:szCs w:val="21"/>
        </w:rPr>
        <w:t xml:space="preserve"> · critère qualitatif</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elevee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Élevée</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2</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moyenne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Moyenne</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2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standard</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Standard</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2.</w:t>
      </w:r>
    </w:p>
    <w:p>
      <w:pPr>
        <w:pStyle w:val="Heading2"/>
        <w:keepNext/>
      </w:pPr>
      <w:r>
        <w:t xml:space="preserve">D2C4 — Avancement vs planning</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2 % du score économique · clé technique </w:t>
      </w:r>
      <w:r>
        <w:rPr>
          <w:rFonts w:ascii="Calibri" w:cs="Calibri" w:eastAsia="Calibri" w:hAnsi="Calibri"/>
          <w:b/>
          <w:bCs/>
          <w:sz w:val="21"/>
          <w:szCs w:val="21"/>
        </w:rPr>
        <w:t xml:space="preserve">progress_vs_plan</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80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80 à &lt; 100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100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D2C5 — Litiges clients / SAV</w:t>
      </w:r>
    </w:p>
    <w:p>
      <w:pPr>
        <w:keepNext/>
        <w:spacing w:after="40" w:before="0" w:line="276"/>
      </w:pPr>
      <w:r>
        <w:rPr>
          <w:rFonts w:ascii="Calibri" w:cs="Calibri" w:eastAsia="Calibri" w:hAnsi="Calibri"/>
          <w:b/>
          <w:bCs/>
          <w:sz w:val="21"/>
          <w:szCs w:val="21"/>
        </w:rPr>
        <w:t xml:space="preserve">Poids 5 % du domaine</w:t>
      </w:r>
      <w:r>
        <w:rPr>
          <w:rFonts w:ascii="Calibri" w:cs="Calibri" w:eastAsia="Calibri" w:hAnsi="Calibri"/>
          <w:sz w:val="21"/>
          <w:szCs w:val="21"/>
        </w:rPr>
        <w:t xml:space="preserve"> · soit 1 % du score économique · clé technique </w:t>
      </w:r>
      <w:r>
        <w:rPr>
          <w:rFonts w:ascii="Calibri" w:cs="Calibri" w:eastAsia="Calibri" w:hAnsi="Calibri"/>
          <w:b/>
          <w:bCs/>
          <w:sz w:val="21"/>
          <w:szCs w:val="21"/>
        </w:rPr>
        <w:t xml:space="preserve">sav_litigation</w:t>
      </w:r>
      <w:r>
        <w:rPr>
          <w:rFonts w:ascii="Calibri" w:cs="Calibri" w:eastAsia="Calibri" w:hAnsi="Calibri"/>
          <w:sz w:val="21"/>
          <w:szCs w:val="21"/>
        </w:rPr>
        <w:t xml:space="preserve"> · critère qualitatif</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eleve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Élevé</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2</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moyen</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Moyen</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2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faible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Faible</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2.</w:t>
      </w:r>
    </w:p>
    <w:p>
      <w:pPr>
        <w:pStyle w:val="Heading2"/>
        <w:keepNext/>
      </w:pPr>
      <w:r>
        <w:t xml:space="preserve">D2C6 — Sensibilité macro / subvention</w:t>
      </w:r>
    </w:p>
    <w:p>
      <w:pPr>
        <w:keepNext/>
        <w:spacing w:after="40" w:before="0" w:line="276"/>
      </w:pPr>
      <w:r>
        <w:rPr>
          <w:rFonts w:ascii="Calibri" w:cs="Calibri" w:eastAsia="Calibri" w:hAnsi="Calibri"/>
          <w:b/>
          <w:bCs/>
          <w:sz w:val="21"/>
          <w:szCs w:val="21"/>
        </w:rPr>
        <w:t xml:space="preserve">Poids 5 % du domaine</w:t>
      </w:r>
      <w:r>
        <w:rPr>
          <w:rFonts w:ascii="Calibri" w:cs="Calibri" w:eastAsia="Calibri" w:hAnsi="Calibri"/>
          <w:sz w:val="21"/>
          <w:szCs w:val="21"/>
        </w:rPr>
        <w:t xml:space="preserve"> · soit 1 % du score économique · clé technique </w:t>
      </w:r>
      <w:r>
        <w:rPr>
          <w:rFonts w:ascii="Calibri" w:cs="Calibri" w:eastAsia="Calibri" w:hAnsi="Calibri"/>
          <w:b/>
          <w:bCs/>
          <w:sz w:val="21"/>
          <w:szCs w:val="21"/>
        </w:rPr>
        <w:t xml:space="preserve">macro_sensitivity</w:t>
      </w:r>
      <w:r>
        <w:rPr>
          <w:rFonts w:ascii="Calibri" w:cs="Calibri" w:eastAsia="Calibri" w:hAnsi="Calibri"/>
          <w:sz w:val="21"/>
          <w:szCs w:val="21"/>
        </w:rPr>
        <w:t xml:space="preserve"> · critère qualitatif</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elevee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Élevée</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2</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moyenne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Moyenne</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2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faible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Faible</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2.</w:t>
      </w:r>
    </w:p>
    <w:p>
      <w:pPr>
        <w:pStyle w:val="Heading2"/>
        <w:keepNext/>
      </w:pPr>
      <w:r>
        <w:t xml:space="preserve">D2C7 — Coût foncier / CA</w:t>
      </w:r>
    </w:p>
    <w:p>
      <w:pPr>
        <w:keepNext/>
        <w:spacing w:after="40" w:before="0" w:line="276"/>
      </w:pPr>
      <w:r>
        <w:rPr>
          <w:rFonts w:ascii="Calibri" w:cs="Calibri" w:eastAsia="Calibri" w:hAnsi="Calibri"/>
          <w:b/>
          <w:bCs/>
          <w:sz w:val="21"/>
          <w:szCs w:val="21"/>
        </w:rPr>
        <w:t xml:space="preserve">Poids 5 % du domaine</w:t>
      </w:r>
      <w:r>
        <w:rPr>
          <w:rFonts w:ascii="Calibri" w:cs="Calibri" w:eastAsia="Calibri" w:hAnsi="Calibri"/>
          <w:sz w:val="21"/>
          <w:szCs w:val="21"/>
        </w:rPr>
        <w:t xml:space="preserve"> · soit 1 % du score économique · clé technique </w:t>
      </w:r>
      <w:r>
        <w:rPr>
          <w:rFonts w:ascii="Calibri" w:cs="Calibri" w:eastAsia="Calibri" w:hAnsi="Calibri"/>
          <w:b/>
          <w:bCs/>
          <w:sz w:val="21"/>
          <w:szCs w:val="21"/>
        </w:rPr>
        <w:t xml:space="preserve">land_cost_ratio</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25</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25 à &lt; 35</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35</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D2C8 — Chaîne d'autorisations (complétude)</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2 % du score économique · clé technique </w:t>
      </w:r>
      <w:r>
        <w:rPr>
          <w:rFonts w:ascii="Calibri" w:cs="Calibri" w:eastAsia="Calibri" w:hAnsi="Calibri"/>
          <w:b/>
          <w:bCs/>
          <w:sz w:val="21"/>
          <w:szCs w:val="21"/>
        </w:rPr>
        <w:t xml:space="preserve">authorization_completeness_pct</w:t>
      </w:r>
      <w:r>
        <w:rPr>
          <w:rFonts w:ascii="Calibri" w:cs="Calibri" w:eastAsia="Calibri" w:hAnsi="Calibri"/>
          <w:sz w:val="21"/>
          <w:szCs w:val="21"/>
        </w:rPr>
        <w:t xml:space="preserve"> · critère numérique (%)</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Pièces obtenues / pièces exigibles selon la nature du programme (loi 25-90 lotissements ; loi 12-90 urbanisme ; ANCFCC morcellement).</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50 %</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50 à &lt; 100 %</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100 %</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D2C9 — Tension du marché régional</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2 % du score économique · clé technique </w:t>
      </w:r>
      <w:r>
        <w:rPr>
          <w:rFonts w:ascii="Calibri" w:cs="Calibri" w:eastAsia="Calibri" w:hAnsi="Calibri"/>
          <w:b/>
          <w:bCs/>
          <w:sz w:val="21"/>
          <w:szCs w:val="21"/>
        </w:rPr>
        <w:t xml:space="preserve">regional_market_tension</w:t>
      </w:r>
      <w:r>
        <w:rPr>
          <w:rFonts w:ascii="Calibri" w:cs="Calibri" w:eastAsia="Calibri" w:hAnsi="Calibri"/>
          <w:sz w:val="21"/>
          <w:szCs w:val="21"/>
        </w:rPr>
        <w:t xml:space="preserve"> · critère qualitatif</w:t>
      </w:r>
    </w:p>
    <w:p>
      <w:pPr>
        <w:keepNext/>
        <w:spacing w:after="40" w:before="0" w:line="276"/>
      </w:pPr>
      <w:r>
        <w:rPr>
          <w:rFonts w:ascii="Calibri" w:cs="Calibri" w:eastAsia="Calibri" w:hAnsi="Calibri"/>
          <w:b/>
          <w:bCs/>
          <w:color w:val="C00000"/>
          <w:sz w:val="18"/>
          <w:szCs w:val="18"/>
        </w:rPr>
        <w:t xml:space="preserve">nouveau critère v5.0.0</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Appréciation datée du marché immobilier de la région administrative du programme pour son segment (référentiel « Marché régional » de la Direction des risques ou étude de marché).</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surstock</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Marché en surstock (écoulement lent, prix sous pression)</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2</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equilibre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Marché équilibré</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2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porteur</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Marché porteur (demande soutenue)</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2.</w:t>
      </w:r>
    </w:p>
    <w:p>
      <w:pPr>
        <w:pStyle w:val="Heading2"/>
        <w:keepNext/>
      </w:pPr>
      <w:r>
        <w:t xml:space="preserve">D2C10 — Entreprise de travaux et garanties de marché</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2 % du score économique · clé technique </w:t>
      </w:r>
      <w:r>
        <w:rPr>
          <w:rFonts w:ascii="Calibri" w:cs="Calibri" w:eastAsia="Calibri" w:hAnsi="Calibri"/>
          <w:b/>
          <w:bCs/>
          <w:sz w:val="21"/>
          <w:szCs w:val="21"/>
        </w:rPr>
        <w:t xml:space="preserve">contractor_quality</w:t>
      </w:r>
      <w:r>
        <w:rPr>
          <w:rFonts w:ascii="Calibri" w:cs="Calibri" w:eastAsia="Calibri" w:hAnsi="Calibri"/>
          <w:sz w:val="21"/>
          <w:szCs w:val="21"/>
        </w:rPr>
        <w:t xml:space="preserve"> · critère qualitatif</w:t>
      </w:r>
    </w:p>
    <w:p>
      <w:pPr>
        <w:keepNext/>
        <w:spacing w:after="40" w:before="0" w:line="276"/>
      </w:pPr>
      <w:r>
        <w:rPr>
          <w:rFonts w:ascii="Calibri" w:cs="Calibri" w:eastAsia="Calibri" w:hAnsi="Calibri"/>
          <w:b/>
          <w:bCs/>
          <w:color w:val="C00000"/>
          <w:sz w:val="18"/>
          <w:szCs w:val="18"/>
        </w:rPr>
        <w:t xml:space="preserve">nouveau critère v5.0.0</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Qualification et classification de l'entreprise de BTP, nature du marché (forfaitaire ou en régie) et garanties contractuelles (caution de bonne exécution, retenue de garantie).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non_qualifiee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Entreprise non qualifiée, travaux en régie ou promoteur-constructeur sans structure</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2</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qualifiee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Entreprise qualifiée, garanties de marché partielles</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2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qualifiee_garantie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Entreprise qualifiée et classée, marché forfaitaire avec caution de bonne exécution et retenue de garantie</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2.</w:t>
      </w:r>
    </w:p>
    <w:p>
      <w:pPr>
        <w:pStyle w:val="Heading2"/>
        <w:keepNext/>
      </w:pPr>
      <w:r>
        <w:t xml:space="preserve">D2C11 — Équipements exigés non budgétés (% du coût)</w:t>
      </w:r>
    </w:p>
    <w:p>
      <w:pPr>
        <w:keepNext/>
        <w:spacing w:after="40" w:before="0" w:line="276"/>
      </w:pPr>
      <w:r>
        <w:rPr>
          <w:rFonts w:ascii="Calibri" w:cs="Calibri" w:eastAsia="Calibri" w:hAnsi="Calibri"/>
          <w:b/>
          <w:bCs/>
          <w:sz w:val="21"/>
          <w:szCs w:val="21"/>
        </w:rPr>
        <w:t xml:space="preserve">Poids 5 % du domaine</w:t>
      </w:r>
      <w:r>
        <w:rPr>
          <w:rFonts w:ascii="Calibri" w:cs="Calibri" w:eastAsia="Calibri" w:hAnsi="Calibri"/>
          <w:sz w:val="21"/>
          <w:szCs w:val="21"/>
        </w:rPr>
        <w:t xml:space="preserve"> · soit 1 % du score économique · clé technique </w:t>
      </w:r>
      <w:r>
        <w:rPr>
          <w:rFonts w:ascii="Calibri" w:cs="Calibri" w:eastAsia="Calibri" w:hAnsi="Calibri"/>
          <w:b/>
          <w:bCs/>
          <w:sz w:val="21"/>
          <w:szCs w:val="21"/>
        </w:rPr>
        <w:t xml:space="preserve">equipment_unbudgeted_pct</w:t>
      </w:r>
      <w:r>
        <w:rPr>
          <w:rFonts w:ascii="Calibri" w:cs="Calibri" w:eastAsia="Calibri" w:hAnsi="Calibri"/>
          <w:sz w:val="21"/>
          <w:szCs w:val="21"/>
        </w:rPr>
        <w:t xml:space="preserve"> · critère numérique (%)</w:t>
      </w:r>
    </w:p>
    <w:p>
      <w:pPr>
        <w:keepNext/>
        <w:spacing w:after="40" w:before="0" w:line="276"/>
      </w:pPr>
      <w:r>
        <w:rPr>
          <w:rFonts w:ascii="Calibri" w:cs="Calibri" w:eastAsia="Calibri" w:hAnsi="Calibri"/>
          <w:b/>
          <w:bCs/>
          <w:color w:val="C00000"/>
          <w:sz w:val="18"/>
          <w:szCs w:val="18"/>
        </w:rPr>
        <w:t xml:space="preserve">nouveau critère v5.0.0</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Coût des équipements exigés par la commune, le cahier des charges ou l'autorisation (mosquée, école, voirie…) non prévus au budget et à la charge du programme / coût total du programme.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0,0001</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0 % — tout est budgété</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0,0001</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&gt; 0 à &lt; 3 %</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3 %</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D2C12 — Autonomie du périmètre financé (tranche)</w:t>
      </w:r>
    </w:p>
    <w:p>
      <w:pPr>
        <w:keepNext/>
        <w:spacing w:after="40" w:before="0" w:line="276"/>
      </w:pPr>
      <w:r>
        <w:rPr>
          <w:rFonts w:ascii="Calibri" w:cs="Calibri" w:eastAsia="Calibri" w:hAnsi="Calibri"/>
          <w:b/>
          <w:bCs/>
          <w:sz w:val="21"/>
          <w:szCs w:val="21"/>
        </w:rPr>
        <w:t xml:space="preserve">Poids 5 % du domaine</w:t>
      </w:r>
      <w:r>
        <w:rPr>
          <w:rFonts w:ascii="Calibri" w:cs="Calibri" w:eastAsia="Calibri" w:hAnsi="Calibri"/>
          <w:sz w:val="21"/>
          <w:szCs w:val="21"/>
        </w:rPr>
        <w:t xml:space="preserve"> · soit 1 % du score économique · clé technique </w:t>
      </w:r>
      <w:r>
        <w:rPr>
          <w:rFonts w:ascii="Calibri" w:cs="Calibri" w:eastAsia="Calibri" w:hAnsi="Calibri"/>
          <w:b/>
          <w:bCs/>
          <w:sz w:val="21"/>
          <w:szCs w:val="21"/>
        </w:rPr>
        <w:t xml:space="preserve">tranche_dependency</w:t>
      </w:r>
      <w:r>
        <w:rPr>
          <w:rFonts w:ascii="Calibri" w:cs="Calibri" w:eastAsia="Calibri" w:hAnsi="Calibri"/>
          <w:sz w:val="21"/>
          <w:szCs w:val="21"/>
        </w:rPr>
        <w:t xml:space="preserve"> · critère qualitatif</w:t>
      </w:r>
    </w:p>
    <w:p>
      <w:pPr>
        <w:keepNext/>
        <w:spacing w:after="40" w:before="0" w:line="276"/>
      </w:pPr>
      <w:r>
        <w:rPr>
          <w:rFonts w:ascii="Calibri" w:cs="Calibri" w:eastAsia="Calibri" w:hAnsi="Calibri"/>
          <w:b/>
          <w:bCs/>
          <w:color w:val="C00000"/>
          <w:sz w:val="18"/>
          <w:szCs w:val="18"/>
        </w:rPr>
        <w:t xml:space="preserve">nouveau critère v5.0.0</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Lorsque la banque finance une tranche et non le programme entier : la tranche peut-elle être achevée, livrée et vendue sans les ouvrages communs (accès, VRD, raccordements) d'autres tranches ?</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dependante_non_financee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Tranche dépendante d'ouvrages communs non financés</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dependante_financee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Tranche dépendante d'ouvrages communs financés ou réalisés</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2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autonome</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Tranche autonome (accès, VRD et raccordements propres)</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programme_entier</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Financement du programme entier</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r>
        <w:br w:type="page"/>
      </w:r>
    </w:p>
    <w:p>
      <w:pPr>
        <w:pStyle w:val="Heading1"/>
      </w:pPr>
      <w:r>
        <w:t xml:space="preserve">5. D3 — Commercial &amp; Cash-flow (31 %)</w:t>
      </w:r>
    </w:p>
    <w:p>
      <w:pPr>
        <w:spacing w:after="120" w:before="0" w:line="276"/>
      </w:pPr>
      <w:r>
        <w:rPr>
          <w:rFonts w:ascii="Calibri" w:cs="Calibri" w:eastAsia="Calibri" w:hAnsi="Calibri"/>
          <w:sz w:val="21"/>
          <w:szCs w:val="21"/>
        </w:rPr>
        <w:t xml:space="preserve">10 critères. Poids des critères au sein du domaine : D3C1 15 % · D3C2 10 % · D3C3 5 % · D3C4 20 % · D3C5 15 % · D3C6 5 % · D3C7 10 % · D3C8 5 % · D3C9 5 % · D3C10 10 %.</w:t>
      </w:r>
    </w:p>
    <w:p>
      <w:pPr>
        <w:pStyle w:val="Heading2"/>
        <w:keepNext/>
      </w:pPr>
      <w:r>
        <w:t xml:space="preserve">D3C1 — Préventes sécurisées (encaissées / CA)</w:t>
      </w:r>
    </w:p>
    <w:p>
      <w:pPr>
        <w:keepNext/>
        <w:spacing w:after="40" w:before="0" w:line="276"/>
      </w:pPr>
      <w:r>
        <w:rPr>
          <w:rFonts w:ascii="Calibri" w:cs="Calibri" w:eastAsia="Calibri" w:hAnsi="Calibri"/>
          <w:b/>
          <w:bCs/>
          <w:sz w:val="21"/>
          <w:szCs w:val="21"/>
        </w:rPr>
        <w:t xml:space="preserve">Poids 15 % du domaine</w:t>
      </w:r>
      <w:r>
        <w:rPr>
          <w:rFonts w:ascii="Calibri" w:cs="Calibri" w:eastAsia="Calibri" w:hAnsi="Calibri"/>
          <w:sz w:val="21"/>
          <w:szCs w:val="21"/>
        </w:rPr>
        <w:t xml:space="preserve"> · soit 4,7 % du score économique · clé technique </w:t>
      </w:r>
      <w:r>
        <w:rPr>
          <w:rFonts w:ascii="Calibri" w:cs="Calibri" w:eastAsia="Calibri" w:hAnsi="Calibri"/>
          <w:b/>
          <w:bCs/>
          <w:sz w:val="21"/>
          <w:szCs w:val="21"/>
        </w:rPr>
        <w:t xml:space="preserve">pre_sale_rate</w:t>
      </w:r>
      <w:r>
        <w:rPr>
          <w:rFonts w:ascii="Calibri" w:cs="Calibri" w:eastAsia="Calibri" w:hAnsi="Calibri"/>
          <w:sz w:val="21"/>
          <w:szCs w:val="21"/>
        </w:rPr>
        <w:t xml:space="preserve"> · critère numérique</w:t>
      </w:r>
    </w:p>
    <w:p>
      <w:pPr>
        <w:keepNext/>
        <w:spacing w:after="40" w:before="0" w:line="276"/>
      </w:pPr>
      <w:r>
        <w:rPr>
          <w:rFonts w:ascii="Calibri" w:cs="Calibri" w:eastAsia="Calibri" w:hAnsi="Calibri"/>
          <w:b/>
          <w:bCs/>
          <w:color w:val="C00000"/>
          <w:sz w:val="18"/>
          <w:szCs w:val="18"/>
        </w:rPr>
        <w:t xml:space="preserve">★ donnée décisionnelle</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Prix des lots juridiquement sécurisés, net des annulations — distinct des acomptes déjà dépensés (F07).</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25</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25 à &lt; 40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40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 et dossier incomplet (donnée décisionnelle).</w:t>
      </w:r>
    </w:p>
    <w:p>
      <w:pPr>
        <w:pStyle w:val="Heading2"/>
        <w:keepNext/>
      </w:pPr>
      <w:r>
        <w:t xml:space="preserve">D3C2 — Ventes vs planning</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3,1 % du score économique · clé technique </w:t>
      </w:r>
      <w:r>
        <w:rPr>
          <w:rFonts w:ascii="Calibri" w:cs="Calibri" w:eastAsia="Calibri" w:hAnsi="Calibri"/>
          <w:b/>
          <w:bCs/>
          <w:sz w:val="21"/>
          <w:szCs w:val="21"/>
        </w:rPr>
        <w:t xml:space="preserve">sales_vs_plan</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80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80 à &lt; 100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100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D3C3 — DSO (jours)</w:t>
      </w:r>
    </w:p>
    <w:p>
      <w:pPr>
        <w:keepNext/>
        <w:spacing w:after="40" w:before="0" w:line="276"/>
      </w:pPr>
      <w:r>
        <w:rPr>
          <w:rFonts w:ascii="Calibri" w:cs="Calibri" w:eastAsia="Calibri" w:hAnsi="Calibri"/>
          <w:b/>
          <w:bCs/>
          <w:sz w:val="21"/>
          <w:szCs w:val="21"/>
        </w:rPr>
        <w:t xml:space="preserve">Poids 5 % du domaine</w:t>
      </w:r>
      <w:r>
        <w:rPr>
          <w:rFonts w:ascii="Calibri" w:cs="Calibri" w:eastAsia="Calibri" w:hAnsi="Calibri"/>
          <w:sz w:val="21"/>
          <w:szCs w:val="21"/>
        </w:rPr>
        <w:t xml:space="preserve"> · soit 1,6 % du score économique · clé technique </w:t>
      </w:r>
      <w:r>
        <w:rPr>
          <w:rFonts w:ascii="Calibri" w:cs="Calibri" w:eastAsia="Calibri" w:hAnsi="Calibri"/>
          <w:b/>
          <w:bCs/>
          <w:sz w:val="21"/>
          <w:szCs w:val="21"/>
        </w:rPr>
        <w:t xml:space="preserve">dso_days</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120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120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120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240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120 à &lt; 240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240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240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D3C4 — Cash coverage (cash / échéances)</w:t>
      </w:r>
    </w:p>
    <w:p>
      <w:pPr>
        <w:keepNext/>
        <w:spacing w:after="40" w:before="0" w:line="276"/>
      </w:pPr>
      <w:r>
        <w:rPr>
          <w:rFonts w:ascii="Calibri" w:cs="Calibri" w:eastAsia="Calibri" w:hAnsi="Calibri"/>
          <w:b/>
          <w:bCs/>
          <w:sz w:val="21"/>
          <w:szCs w:val="21"/>
        </w:rPr>
        <w:t xml:space="preserve">Poids 20 % du domaine</w:t>
      </w:r>
      <w:r>
        <w:rPr>
          <w:rFonts w:ascii="Calibri" w:cs="Calibri" w:eastAsia="Calibri" w:hAnsi="Calibri"/>
          <w:sz w:val="21"/>
          <w:szCs w:val="21"/>
        </w:rPr>
        <w:t xml:space="preserve"> · soit 6,2 % du score économique · clé technique </w:t>
      </w:r>
      <w:r>
        <w:rPr>
          <w:rFonts w:ascii="Calibri" w:cs="Calibri" w:eastAsia="Calibri" w:hAnsi="Calibri"/>
          <w:b/>
          <w:bCs/>
          <w:sz w:val="21"/>
          <w:szCs w:val="21"/>
        </w:rPr>
        <w:t xml:space="preserve">cash_coverage</w:t>
      </w:r>
      <w:r>
        <w:rPr>
          <w:rFonts w:ascii="Calibri" w:cs="Calibri" w:eastAsia="Calibri" w:hAnsi="Calibri"/>
          <w:sz w:val="21"/>
          <w:szCs w:val="21"/>
        </w:rPr>
        <w:t xml:space="preserve"> · critère numérique</w:t>
      </w:r>
    </w:p>
    <w:p>
      <w:pPr>
        <w:keepNext/>
        <w:spacing w:after="40" w:before="0" w:line="276"/>
      </w:pPr>
      <w:r>
        <w:rPr>
          <w:rFonts w:ascii="Calibri" w:cs="Calibri" w:eastAsia="Calibri" w:hAnsi="Calibri"/>
          <w:b/>
          <w:bCs/>
          <w:color w:val="C00000"/>
          <w:sz w:val="18"/>
          <w:szCs w:val="18"/>
        </w:rPr>
        <w:t xml:space="preserve">★ donnée décisionnelle</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Trésorerie affectable / échéances sur l'horizon — à reconstituer depuis un budget mensuel (F07).</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1,2</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 à &lt; 1,2</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1,2</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1,2</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 et dossier incomplet (donnée décisionnelle).</w:t>
      </w:r>
    </w:p>
    <w:p>
      <w:pPr>
        <w:pStyle w:val="Heading2"/>
        <w:keepNext/>
      </w:pPr>
      <w:r>
        <w:t xml:space="preserve">D3C5 — Impasse brute</w:t>
      </w:r>
    </w:p>
    <w:p>
      <w:pPr>
        <w:keepNext/>
        <w:spacing w:after="40" w:before="0" w:line="276"/>
      </w:pPr>
      <w:r>
        <w:rPr>
          <w:rFonts w:ascii="Calibri" w:cs="Calibri" w:eastAsia="Calibri" w:hAnsi="Calibri"/>
          <w:b/>
          <w:bCs/>
          <w:sz w:val="21"/>
          <w:szCs w:val="21"/>
        </w:rPr>
        <w:t xml:space="preserve">Poids 15 % du domaine</w:t>
      </w:r>
      <w:r>
        <w:rPr>
          <w:rFonts w:ascii="Calibri" w:cs="Calibri" w:eastAsia="Calibri" w:hAnsi="Calibri"/>
          <w:sz w:val="21"/>
          <w:szCs w:val="21"/>
        </w:rPr>
        <w:t xml:space="preserve"> · soit 4,7 % du score économique · clé technique </w:t>
      </w:r>
      <w:r>
        <w:rPr>
          <w:rFonts w:ascii="Calibri" w:cs="Calibri" w:eastAsia="Calibri" w:hAnsi="Calibri"/>
          <w:b/>
          <w:bCs/>
          <w:sz w:val="21"/>
          <w:szCs w:val="21"/>
        </w:rPr>
        <w:t xml:space="preserve">funding_gap_pct</w:t>
      </w:r>
      <w:r>
        <w:rPr>
          <w:rFonts w:ascii="Calibri" w:cs="Calibri" w:eastAsia="Calibri" w:hAnsi="Calibri"/>
          <w:sz w:val="21"/>
          <w:szCs w:val="21"/>
        </w:rPr>
        <w:t xml:space="preserve"> · critère numérique</w:t>
      </w:r>
    </w:p>
    <w:p>
      <w:pPr>
        <w:keepNext/>
        <w:spacing w:after="40" w:before="0" w:line="276"/>
      </w:pPr>
      <w:r>
        <w:rPr>
          <w:rFonts w:ascii="Calibri" w:cs="Calibri" w:eastAsia="Calibri" w:hAnsi="Calibri"/>
          <w:b/>
          <w:bCs/>
          <w:color w:val="C00000"/>
          <w:sz w:val="18"/>
          <w:szCs w:val="18"/>
        </w:rPr>
        <w:t xml:space="preserve">★ donnée décisionnelle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0,0001</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0 — aucune impasse</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0,0001</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&gt; 0 à &lt; 10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 et dossier incomplet (donnée décisionnelle).</w:t>
      </w:r>
    </w:p>
    <w:p>
      <w:pPr>
        <w:pStyle w:val="Heading2"/>
        <w:keepNext/>
      </w:pPr>
      <w:r>
        <w:t xml:space="preserve">D3C6 — Rotation stock (mois)</w:t>
      </w:r>
    </w:p>
    <w:p>
      <w:pPr>
        <w:keepNext/>
        <w:spacing w:after="40" w:before="0" w:line="276"/>
      </w:pPr>
      <w:r>
        <w:rPr>
          <w:rFonts w:ascii="Calibri" w:cs="Calibri" w:eastAsia="Calibri" w:hAnsi="Calibri"/>
          <w:b/>
          <w:bCs/>
          <w:sz w:val="21"/>
          <w:szCs w:val="21"/>
        </w:rPr>
        <w:t xml:space="preserve">Poids 5 % du domaine</w:t>
      </w:r>
      <w:r>
        <w:rPr>
          <w:rFonts w:ascii="Calibri" w:cs="Calibri" w:eastAsia="Calibri" w:hAnsi="Calibri"/>
          <w:sz w:val="21"/>
          <w:szCs w:val="21"/>
        </w:rPr>
        <w:t xml:space="preserve"> · soit 1,6 % du score économique · clé technique </w:t>
      </w:r>
      <w:r>
        <w:rPr>
          <w:rFonts w:ascii="Calibri" w:cs="Calibri" w:eastAsia="Calibri" w:hAnsi="Calibri"/>
          <w:b/>
          <w:bCs/>
          <w:sz w:val="21"/>
          <w:szCs w:val="21"/>
        </w:rPr>
        <w:t xml:space="preserve">stock_rotation_months</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18</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18</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18</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18 à &lt; 30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30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D3C7 — Marge brute stressée (prix -10%)</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3,1 % du score économique · clé technique </w:t>
      </w:r>
      <w:r>
        <w:rPr>
          <w:rFonts w:ascii="Calibri" w:cs="Calibri" w:eastAsia="Calibri" w:hAnsi="Calibri"/>
          <w:b/>
          <w:bCs/>
          <w:sz w:val="21"/>
          <w:szCs w:val="21"/>
        </w:rPr>
        <w:t xml:space="preserve">stressed_margin_pct</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10 à &lt; 15</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15</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D3C8 — Ventes sécurisées (financement acquéreur)</w:t>
      </w:r>
    </w:p>
    <w:p>
      <w:pPr>
        <w:keepNext/>
        <w:spacing w:after="40" w:before="0" w:line="276"/>
      </w:pPr>
      <w:r>
        <w:rPr>
          <w:rFonts w:ascii="Calibri" w:cs="Calibri" w:eastAsia="Calibri" w:hAnsi="Calibri"/>
          <w:b/>
          <w:bCs/>
          <w:sz w:val="21"/>
          <w:szCs w:val="21"/>
        </w:rPr>
        <w:t xml:space="preserve">Poids 5 % du domaine</w:t>
      </w:r>
      <w:r>
        <w:rPr>
          <w:rFonts w:ascii="Calibri" w:cs="Calibri" w:eastAsia="Calibri" w:hAnsi="Calibri"/>
          <w:sz w:val="21"/>
          <w:szCs w:val="21"/>
        </w:rPr>
        <w:t xml:space="preserve"> · soit 1,6 % du score économique · clé technique </w:t>
      </w:r>
      <w:r>
        <w:rPr>
          <w:rFonts w:ascii="Calibri" w:cs="Calibri" w:eastAsia="Calibri" w:hAnsi="Calibri"/>
          <w:b/>
          <w:bCs/>
          <w:sz w:val="21"/>
          <w:szCs w:val="21"/>
        </w:rPr>
        <w:t xml:space="preserve">secured_sales_rate</w:t>
      </w:r>
      <w:r>
        <w:rPr>
          <w:rFonts w:ascii="Calibri" w:cs="Calibri" w:eastAsia="Calibri" w:hAnsi="Calibri"/>
          <w:sz w:val="21"/>
          <w:szCs w:val="21"/>
        </w:rPr>
        <w:t xml:space="preserve"> · critère numérique (%)</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Σ(prix du lot × facteur de sécurisation du financement acquéreur) / valeur commercialisable totale. Une réservation non instruite ne vaut pas un acte financé.</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25 %</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25 à &lt; 40 %</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40 %</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D3C9 — Part du CA en produits à écoulement lent</w:t>
      </w:r>
    </w:p>
    <w:p>
      <w:pPr>
        <w:keepNext/>
        <w:spacing w:after="40" w:before="0" w:line="276"/>
      </w:pPr>
      <w:r>
        <w:rPr>
          <w:rFonts w:ascii="Calibri" w:cs="Calibri" w:eastAsia="Calibri" w:hAnsi="Calibri"/>
          <w:b/>
          <w:bCs/>
          <w:sz w:val="21"/>
          <w:szCs w:val="21"/>
        </w:rPr>
        <w:t xml:space="preserve">Poids 5 % du domaine</w:t>
      </w:r>
      <w:r>
        <w:rPr>
          <w:rFonts w:ascii="Calibri" w:cs="Calibri" w:eastAsia="Calibri" w:hAnsi="Calibri"/>
          <w:sz w:val="21"/>
          <w:szCs w:val="21"/>
        </w:rPr>
        <w:t xml:space="preserve"> · soit 1,6 % du score économique · clé technique </w:t>
      </w:r>
      <w:r>
        <w:rPr>
          <w:rFonts w:ascii="Calibri" w:cs="Calibri" w:eastAsia="Calibri" w:hAnsi="Calibri"/>
          <w:b/>
          <w:bCs/>
          <w:sz w:val="21"/>
          <w:szCs w:val="21"/>
        </w:rPr>
        <w:t xml:space="preserve">slow_liquidity_share_pct</w:t>
      </w:r>
      <w:r>
        <w:rPr>
          <w:rFonts w:ascii="Calibri" w:cs="Calibri" w:eastAsia="Calibri" w:hAnsi="Calibri"/>
          <w:sz w:val="21"/>
          <w:szCs w:val="21"/>
        </w:rPr>
        <w:t xml:space="preserve"> · critère numérique (%)</w:t>
      </w:r>
    </w:p>
    <w:p>
      <w:pPr>
        <w:keepNext/>
        <w:spacing w:after="40" w:before="0" w:line="276"/>
      </w:pPr>
      <w:r>
        <w:rPr>
          <w:rFonts w:ascii="Calibri" w:cs="Calibri" w:eastAsia="Calibri" w:hAnsi="Calibri"/>
          <w:b/>
          <w:bCs/>
          <w:color w:val="C00000"/>
          <w:sz w:val="18"/>
          <w:szCs w:val="18"/>
        </w:rPr>
        <w:t xml:space="preserve">nouveau critère v5.0.0</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Chiffre d'affaires des commerces, bureaux et composantes hôtelières / chiffre d'affaires total du programme (ou du périmètre financé).</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20 %</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20 à &lt; 40 %</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40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40 %</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D3C10 — Taux de désistement des réservations</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3,1 % du score économique · clé technique </w:t>
      </w:r>
      <w:r>
        <w:rPr>
          <w:rFonts w:ascii="Calibri" w:cs="Calibri" w:eastAsia="Calibri" w:hAnsi="Calibri"/>
          <w:b/>
          <w:bCs/>
          <w:sz w:val="21"/>
          <w:szCs w:val="21"/>
        </w:rPr>
        <w:t xml:space="preserve">cancellation_rate_pct</w:t>
      </w:r>
      <w:r>
        <w:rPr>
          <w:rFonts w:ascii="Calibri" w:cs="Calibri" w:eastAsia="Calibri" w:hAnsi="Calibri"/>
          <w:sz w:val="21"/>
          <w:szCs w:val="21"/>
        </w:rPr>
        <w:t xml:space="preserve"> · critère numérique (%)</w:t>
      </w:r>
    </w:p>
    <w:p>
      <w:pPr>
        <w:keepNext/>
        <w:spacing w:after="40" w:before="0" w:line="276"/>
      </w:pPr>
      <w:r>
        <w:rPr>
          <w:rFonts w:ascii="Calibri" w:cs="Calibri" w:eastAsia="Calibri" w:hAnsi="Calibri"/>
          <w:b/>
          <w:bCs/>
          <w:color w:val="C00000"/>
          <w:sz w:val="18"/>
          <w:szCs w:val="18"/>
        </w:rPr>
        <w:t xml:space="preserve">nouveau critère v5.0.0</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Désistements / (réservations, compromis, ventes et livraisons + désistements), sur le périmètre financé.</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10 %</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10 à &lt; 20 %</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20 %</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r>
        <w:br w:type="page"/>
      </w:r>
    </w:p>
    <w:p>
      <w:pPr>
        <w:pStyle w:val="Heading1"/>
      </w:pPr>
      <w:r>
        <w:t xml:space="preserve">6. D4 — Structuration financière &amp; LGD (24 %)</w:t>
      </w:r>
    </w:p>
    <w:p>
      <w:pPr>
        <w:spacing w:after="120" w:before="0" w:line="276"/>
      </w:pPr>
      <w:r>
        <w:rPr>
          <w:rFonts w:ascii="Calibri" w:cs="Calibri" w:eastAsia="Calibri" w:hAnsi="Calibri"/>
          <w:sz w:val="21"/>
          <w:szCs w:val="21"/>
        </w:rPr>
        <w:t xml:space="preserve">9 critères. Poids des critères au sein du domaine : D4C1 15 % · D4C2 10 % · D4C3 20 % · D4C4 10 % · D4C5 10 % · D4C6 10 % · D4C7 5 % · D4C8 10 % · D4C9 10 %.</w:t>
      </w:r>
    </w:p>
    <w:p>
      <w:pPr>
        <w:pStyle w:val="Heading2"/>
        <w:keepNext/>
      </w:pPr>
      <w:r>
        <w:t xml:space="preserve">D4C1 — Marge brute (CA - coûts directs)/CA</w:t>
      </w:r>
    </w:p>
    <w:p>
      <w:pPr>
        <w:keepNext/>
        <w:spacing w:after="40" w:before="0" w:line="276"/>
      </w:pPr>
      <w:r>
        <w:rPr>
          <w:rFonts w:ascii="Calibri" w:cs="Calibri" w:eastAsia="Calibri" w:hAnsi="Calibri"/>
          <w:b/>
          <w:bCs/>
          <w:sz w:val="21"/>
          <w:szCs w:val="21"/>
        </w:rPr>
        <w:t xml:space="preserve">Poids 15 % du domaine</w:t>
      </w:r>
      <w:r>
        <w:rPr>
          <w:rFonts w:ascii="Calibri" w:cs="Calibri" w:eastAsia="Calibri" w:hAnsi="Calibri"/>
          <w:sz w:val="21"/>
          <w:szCs w:val="21"/>
        </w:rPr>
        <w:t xml:space="preserve"> · soit 3,6 % du score économique · clé technique </w:t>
      </w:r>
      <w:r>
        <w:rPr>
          <w:rFonts w:ascii="Calibri" w:cs="Calibri" w:eastAsia="Calibri" w:hAnsi="Calibri"/>
          <w:b/>
          <w:bCs/>
          <w:sz w:val="21"/>
          <w:szCs w:val="21"/>
        </w:rPr>
        <w:t xml:space="preserve">gross_margin_pct</w:t>
      </w:r>
      <w:r>
        <w:rPr>
          <w:rFonts w:ascii="Calibri" w:cs="Calibri" w:eastAsia="Calibri" w:hAnsi="Calibri"/>
          <w:sz w:val="21"/>
          <w:szCs w:val="21"/>
        </w:rPr>
        <w:t xml:space="preserve"> · critère numérique</w:t>
      </w:r>
    </w:p>
    <w:p>
      <w:pPr>
        <w:keepNext/>
        <w:spacing w:after="40" w:before="0" w:line="276"/>
      </w:pPr>
      <w:r>
        <w:rPr>
          <w:rFonts w:ascii="Calibri" w:cs="Calibri" w:eastAsia="Calibri" w:hAnsi="Calibri"/>
          <w:b/>
          <w:bCs/>
          <w:color w:val="C00000"/>
          <w:sz w:val="18"/>
          <w:szCs w:val="18"/>
        </w:rPr>
        <w:t xml:space="preserve">★ donnée décisionnelle</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Marge à terminaison en coût complet : (recettes nettes − coût complet)/recettes nettes (§8.4).</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15</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15 à &lt; 25</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25</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 et dossier incomplet (donnée décisionnelle).</w:t>
      </w:r>
    </w:p>
    <w:p>
      <w:pPr>
        <w:pStyle w:val="Heading2"/>
        <w:keepNext/>
      </w:pPr>
      <w:r>
        <w:t xml:space="preserve">D4C2 — LTC (dette / coût total)</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2,4 % du score économique · clé technique </w:t>
      </w:r>
      <w:r>
        <w:rPr>
          <w:rFonts w:ascii="Calibri" w:cs="Calibri" w:eastAsia="Calibri" w:hAnsi="Calibri"/>
          <w:b/>
          <w:bCs/>
          <w:sz w:val="21"/>
          <w:szCs w:val="21"/>
        </w:rPr>
        <w:t xml:space="preserve">ltc</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60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60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60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60 à &lt; 80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80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D4C3 — LTV stressée (dette / valeur×0,90)</w:t>
      </w:r>
    </w:p>
    <w:p>
      <w:pPr>
        <w:keepNext/>
        <w:spacing w:after="40" w:before="0" w:line="276"/>
      </w:pPr>
      <w:r>
        <w:rPr>
          <w:rFonts w:ascii="Calibri" w:cs="Calibri" w:eastAsia="Calibri" w:hAnsi="Calibri"/>
          <w:b/>
          <w:bCs/>
          <w:sz w:val="21"/>
          <w:szCs w:val="21"/>
        </w:rPr>
        <w:t xml:space="preserve">Poids 20 % du domaine</w:t>
      </w:r>
      <w:r>
        <w:rPr>
          <w:rFonts w:ascii="Calibri" w:cs="Calibri" w:eastAsia="Calibri" w:hAnsi="Calibri"/>
          <w:sz w:val="21"/>
          <w:szCs w:val="21"/>
        </w:rPr>
        <w:t xml:space="preserve"> · soit 4,8 % du score économique · clé technique </w:t>
      </w:r>
      <w:r>
        <w:rPr>
          <w:rFonts w:ascii="Calibri" w:cs="Calibri" w:eastAsia="Calibri" w:hAnsi="Calibri"/>
          <w:b/>
          <w:bCs/>
          <w:sz w:val="21"/>
          <w:szCs w:val="21"/>
        </w:rPr>
        <w:t xml:space="preserve">ltv_stressed</w:t>
      </w:r>
      <w:r>
        <w:rPr>
          <w:rFonts w:ascii="Calibri" w:cs="Calibri" w:eastAsia="Calibri" w:hAnsi="Calibri"/>
          <w:sz w:val="21"/>
          <w:szCs w:val="21"/>
        </w:rPr>
        <w:t xml:space="preserve"> · critère numérique</w:t>
      </w:r>
    </w:p>
    <w:p>
      <w:pPr>
        <w:keepNext/>
        <w:spacing w:after="40" w:before="0" w:line="276"/>
      </w:pPr>
      <w:r>
        <w:rPr>
          <w:rFonts w:ascii="Calibri" w:cs="Calibri" w:eastAsia="Calibri" w:hAnsi="Calibri"/>
          <w:b/>
          <w:bCs/>
          <w:color w:val="C00000"/>
          <w:sz w:val="18"/>
          <w:szCs w:val="18"/>
        </w:rPr>
        <w:t xml:space="preserve">S — note de sûretés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70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70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70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70 à &lt; 85</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85</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D4C4 — Couverture garanties réalisable</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2,4 % du score économique · clé technique </w:t>
      </w:r>
      <w:r>
        <w:rPr>
          <w:rFonts w:ascii="Calibri" w:cs="Calibri" w:eastAsia="Calibri" w:hAnsi="Calibri"/>
          <w:b/>
          <w:bCs/>
          <w:sz w:val="21"/>
          <w:szCs w:val="21"/>
        </w:rPr>
        <w:t xml:space="preserve">guarantee_coverage</w:t>
      </w:r>
      <w:r>
        <w:rPr>
          <w:rFonts w:ascii="Calibri" w:cs="Calibri" w:eastAsia="Calibri" w:hAnsi="Calibri"/>
          <w:sz w:val="21"/>
          <w:szCs w:val="21"/>
        </w:rPr>
        <w:t xml:space="preserve"> · critère numérique</w:t>
      </w:r>
    </w:p>
    <w:p>
      <w:pPr>
        <w:keepNext/>
        <w:spacing w:after="40" w:before="0" w:line="276"/>
      </w:pPr>
      <w:r>
        <w:rPr>
          <w:rFonts w:ascii="Calibri" w:cs="Calibri" w:eastAsia="Calibri" w:hAnsi="Calibri"/>
          <w:b/>
          <w:bCs/>
          <w:color w:val="C00000"/>
          <w:sz w:val="18"/>
          <w:szCs w:val="18"/>
        </w:rPr>
        <w:t xml:space="preserve">S — note de sûretés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90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90</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90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120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90 à &lt; 120</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120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120</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D4C5 — Rang bancaire 1er rang</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2,4 % du score économique · clé technique </w:t>
      </w:r>
      <w:r>
        <w:rPr>
          <w:rFonts w:ascii="Calibri" w:cs="Calibri" w:eastAsia="Calibri" w:hAnsi="Calibri"/>
          <w:b/>
          <w:bCs/>
          <w:sz w:val="21"/>
          <w:szCs w:val="21"/>
        </w:rPr>
        <w:t xml:space="preserve">first_rank</w:t>
      </w:r>
      <w:r>
        <w:rPr>
          <w:rFonts w:ascii="Calibri" w:cs="Calibri" w:eastAsia="Calibri" w:hAnsi="Calibri"/>
          <w:sz w:val="21"/>
          <w:szCs w:val="21"/>
        </w:rPr>
        <w:t xml:space="preserve"> · critère qualitatif</w:t>
      </w:r>
    </w:p>
    <w:p>
      <w:pPr>
        <w:keepNext/>
        <w:spacing w:after="40" w:before="0" w:line="276"/>
      </w:pPr>
      <w:r>
        <w:rPr>
          <w:rFonts w:ascii="Calibri" w:cs="Calibri" w:eastAsia="Calibri" w:hAnsi="Calibri"/>
          <w:b/>
          <w:bCs/>
          <w:color w:val="C00000"/>
          <w:sz w:val="18"/>
          <w:szCs w:val="18"/>
        </w:rPr>
        <w:t xml:space="preserve">S — note de sûretés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4238"/>
        <w:gridCol w:w="1200"/>
        <w:gridCol w:w="2200"/>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 saisie</w:t>
            </w:r>
          </w:p>
        </w:tc>
        <w:tc>
          <w:tcPr>
            <w:tcW w:type="dxa" w:w="4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Modalité</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non</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Non 1er rang</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2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oui</w:t>
            </w:r>
          </w:p>
        </w:tc>
        <w:tc>
          <w:tcPr>
            <w:tcW w:type="dxa" w:w="4238"/>
            <w:tcMar>
              <w:top w:type="dxa" w:w="40"/>
              <w:left w:type="dxa" w:w="80"/>
              <w:bottom w:type="dxa" w:w="40"/>
              <w:right w:type="dxa" w:w="80"/>
            </w:tcMar>
          </w:tcPr>
          <w:p>
            <w:pPr>
              <w:spacing w:after="0" w:line="240"/>
            </w:pPr>
            <w:r>
              <w:rPr>
                <w:rFonts w:ascii="Calibri" w:cs="Calibri" w:eastAsia="Calibri" w:hAnsi="Calibri"/>
                <w:b/>
                <w:bCs/>
                <w:sz w:val="18"/>
                <w:szCs w:val="18"/>
              </w:rPr>
              <w:t xml:space="preserve">1er rang</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2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D4C6 — Interest coverage (EBITDA / charges fin.)</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2,4 % du score économique · clé technique </w:t>
      </w:r>
      <w:r>
        <w:rPr>
          <w:rFonts w:ascii="Calibri" w:cs="Calibri" w:eastAsia="Calibri" w:hAnsi="Calibri"/>
          <w:b/>
          <w:bCs/>
          <w:sz w:val="21"/>
          <w:szCs w:val="21"/>
        </w:rPr>
        <w:t xml:space="preserve">interest_coverage</w:t>
      </w:r>
      <w:r>
        <w:rPr>
          <w:rFonts w:ascii="Calibri" w:cs="Calibri" w:eastAsia="Calibri" w:hAnsi="Calibri"/>
          <w:sz w:val="21"/>
          <w:szCs w:val="21"/>
        </w:rPr>
        <w:t xml:space="preserve"> · critère numérique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1,5</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1,5 à &lt; 3</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3</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3</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D4C7 — Quotité de désengagement vs équilibre</w:t>
      </w:r>
    </w:p>
    <w:p>
      <w:pPr>
        <w:keepNext/>
        <w:spacing w:after="40" w:before="0" w:line="276"/>
      </w:pPr>
      <w:r>
        <w:rPr>
          <w:rFonts w:ascii="Calibri" w:cs="Calibri" w:eastAsia="Calibri" w:hAnsi="Calibri"/>
          <w:b/>
          <w:bCs/>
          <w:sz w:val="21"/>
          <w:szCs w:val="21"/>
        </w:rPr>
        <w:t xml:space="preserve">Poids 5 % du domaine</w:t>
      </w:r>
      <w:r>
        <w:rPr>
          <w:rFonts w:ascii="Calibri" w:cs="Calibri" w:eastAsia="Calibri" w:hAnsi="Calibri"/>
          <w:sz w:val="21"/>
          <w:szCs w:val="21"/>
        </w:rPr>
        <w:t xml:space="preserve"> · soit 1,2 % du score économique · clé technique </w:t>
      </w:r>
      <w:r>
        <w:rPr>
          <w:rFonts w:ascii="Calibri" w:cs="Calibri" w:eastAsia="Calibri" w:hAnsi="Calibri"/>
          <w:b/>
          <w:bCs/>
          <w:sz w:val="21"/>
          <w:szCs w:val="21"/>
        </w:rPr>
        <w:t xml:space="preserve">release_quotity_gap_pts</w:t>
      </w:r>
      <w:r>
        <w:rPr>
          <w:rFonts w:ascii="Calibri" w:cs="Calibri" w:eastAsia="Calibri" w:hAnsi="Calibri"/>
          <w:sz w:val="21"/>
          <w:szCs w:val="21"/>
        </w:rPr>
        <w:t xml:space="preserve"> · critère numérique (pts)</w:t>
      </w:r>
    </w:p>
    <w:p>
      <w:pPr>
        <w:keepNext/>
        <w:spacing w:after="40" w:before="0" w:line="276"/>
      </w:pPr>
      <w:r>
        <w:rPr>
          <w:rFonts w:ascii="Calibri" w:cs="Calibri" w:eastAsia="Calibri" w:hAnsi="Calibri"/>
          <w:b/>
          <w:bCs/>
          <w:color w:val="C00000"/>
          <w:sz w:val="18"/>
          <w:szCs w:val="18"/>
        </w:rPr>
        <w:t xml:space="preserve">S — note de sûretés</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Quotité appliquée − (encours / valeur commercialisable totale), en points. Négatif = prix de mainlevée sous-tarifé laissant une dette résiduelle sur les lots restants.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−10 pts</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−10 à &lt; 0 pt</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0 pt</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D4C8 — Déblocages vs avancement certifié</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2,4 % du score économique · clé technique </w:t>
      </w:r>
      <w:r>
        <w:rPr>
          <w:rFonts w:ascii="Calibri" w:cs="Calibri" w:eastAsia="Calibri" w:hAnsi="Calibri"/>
          <w:b/>
          <w:bCs/>
          <w:sz w:val="21"/>
          <w:szCs w:val="21"/>
        </w:rPr>
        <w:t xml:space="preserve">drawdown_vs_progress_pct</w:t>
      </w:r>
      <w:r>
        <w:rPr>
          <w:rFonts w:ascii="Calibri" w:cs="Calibri" w:eastAsia="Calibri" w:hAnsi="Calibri"/>
          <w:sz w:val="21"/>
          <w:szCs w:val="21"/>
        </w:rPr>
        <w:t xml:space="preserve"> · critère numérique (%)</w:t>
      </w:r>
    </w:p>
    <w:p>
      <w:pPr>
        <w:keepNext/>
        <w:spacing w:after="40" w:before="0" w:line="276"/>
      </w:pPr>
      <w:r>
        <w:rPr>
          <w:rFonts w:ascii="Calibri" w:cs="Calibri" w:eastAsia="Calibri" w:hAnsi="Calibri"/>
          <w:b/>
          <w:bCs/>
          <w:color w:val="C00000"/>
          <w:sz w:val="18"/>
          <w:szCs w:val="18"/>
        </w:rPr>
        <w:t xml:space="preserve">S — note de sûretés   ·   nouveau critère v5.0.0</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Cumul débloqué sur les crédits de travaux / (montant autorisé × avancement certifié) × 100. Au-delà de 100 %, la banque a financé plus que les travaux réalisés.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105 % — en phase</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115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105 à &lt; 115 %</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115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115 % — tirages en avance</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pPr>
        <w:pStyle w:val="Heading2"/>
        <w:keepNext/>
      </w:pPr>
      <w:r>
        <w:t xml:space="preserve">D4C9 — Dépassement du coût à terminaison</w:t>
      </w:r>
    </w:p>
    <w:p>
      <w:pPr>
        <w:keepNext/>
        <w:spacing w:after="40" w:before="0" w:line="276"/>
      </w:pPr>
      <w:r>
        <w:rPr>
          <w:rFonts w:ascii="Calibri" w:cs="Calibri" w:eastAsia="Calibri" w:hAnsi="Calibri"/>
          <w:b/>
          <w:bCs/>
          <w:sz w:val="21"/>
          <w:szCs w:val="21"/>
        </w:rPr>
        <w:t xml:space="preserve">Poids 10 % du domaine</w:t>
      </w:r>
      <w:r>
        <w:rPr>
          <w:rFonts w:ascii="Calibri" w:cs="Calibri" w:eastAsia="Calibri" w:hAnsi="Calibri"/>
          <w:sz w:val="21"/>
          <w:szCs w:val="21"/>
        </w:rPr>
        <w:t xml:space="preserve"> · soit 2,4 % du score économique · clé technique </w:t>
      </w:r>
      <w:r>
        <w:rPr>
          <w:rFonts w:ascii="Calibri" w:cs="Calibri" w:eastAsia="Calibri" w:hAnsi="Calibri"/>
          <w:b/>
          <w:bCs/>
          <w:sz w:val="21"/>
          <w:szCs w:val="21"/>
        </w:rPr>
        <w:t xml:space="preserve">cost_overrun_pct</w:t>
      </w:r>
      <w:r>
        <w:rPr>
          <w:rFonts w:ascii="Calibri" w:cs="Calibri" w:eastAsia="Calibri" w:hAnsi="Calibri"/>
          <w:sz w:val="21"/>
          <w:szCs w:val="21"/>
        </w:rPr>
        <w:t xml:space="preserve"> · critère numérique (%)</w:t>
      </w:r>
    </w:p>
    <w:p>
      <w:pPr>
        <w:keepNext/>
        <w:spacing w:after="40" w:before="0" w:line="276"/>
      </w:pPr>
      <w:r>
        <w:rPr>
          <w:rFonts w:ascii="Calibri" w:cs="Calibri" w:eastAsia="Calibri" w:hAnsi="Calibri"/>
          <w:b/>
          <w:bCs/>
          <w:color w:val="C00000"/>
          <w:sz w:val="18"/>
          <w:szCs w:val="18"/>
        </w:rPr>
        <w:t xml:space="preserve">nouveau critère v5.0.0</w:t>
      </w:r>
    </w:p>
    <w:p>
      <w:pPr>
        <w:keepNext/>
        <w:spacing w:after="60" w:before="0" w:line="276"/>
      </w:pPr>
      <w:r>
        <w:rPr>
          <w:rFonts w:ascii="Calibri" w:cs="Calibri" w:eastAsia="Calibri" w:hAnsi="Calibri"/>
          <w:b/>
          <w:bCs/>
          <w:sz w:val="19"/>
          <w:szCs w:val="19"/>
        </w:rPr>
        <w:t xml:space="preserve">Définition : </w:t>
      </w:r>
      <w:r>
        <w:rPr>
          <w:rFonts w:ascii="Calibri" w:cs="Calibri" w:eastAsia="Calibri" w:hAnsi="Calibri"/>
          <w:sz w:val="19"/>
          <w:szCs w:val="19"/>
        </w:rPr>
        <w:t xml:space="preserve">(Coût à terminaison estimé − coût du budget initial) / coût du budget initial × 100.</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500"/>
        <w:gridCol w:w="1500"/>
        <w:gridCol w:w="3138"/>
        <w:gridCol w:w="1200"/>
        <w:gridCol w:w="2300"/>
      </w:tblGrid>
      <w:tr>
        <w:trPr>
          <w:cantSplit/>
          <w:tblHeader/>
        </w:trPr>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Min (≥)</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Max (&lt;)</w:t>
            </w:r>
          </w:p>
        </w:tc>
        <w:tc>
          <w:tcPr>
            <w:tcW w:type="dxa" w:w="31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Tranche</w:t>
            </w:r>
          </w:p>
        </w:tc>
        <w:tc>
          <w:tcPr>
            <w:tcW w:type="dxa" w:w="1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/10</w:t>
            </w:r>
          </w:p>
        </w:tc>
        <w:tc>
          <w:tcPr>
            <w:tcW w:type="dxa" w:w="2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Niveau</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&lt; 5 %</w:t>
            </w:r>
          </w:p>
        </w:tc>
        <w:tc>
          <w:tcPr>
            <w:tcW w:type="dxa" w:w="12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2"/>
                <w:szCs w:val="22"/>
              </w:rPr>
              <w:t xml:space="preserve">10</w:t>
            </w:r>
          </w:p>
        </w:tc>
        <w:tc>
          <w:tcPr>
            <w:tcW w:type="dxa" w:w="2300"/>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Favorable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5 à &lt; 10 %</w:t>
            </w:r>
          </w:p>
        </w:tc>
        <w:tc>
          <w:tcPr>
            <w:tcW w:type="dxa" w:w="12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2"/>
                <w:szCs w:val="22"/>
              </w:rPr>
              <w:t xml:space="preserve">6</w:t>
            </w:r>
          </w:p>
        </w:tc>
        <w:tc>
          <w:tcPr>
            <w:tcW w:type="dxa" w:w="230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Vigilance</w:t>
            </w:r>
          </w:p>
        </w:tc>
      </w:tr>
      <w:tr>
        <w:trPr>
          <w:cantSplit/>
        </w:trPr>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w:t>
            </w:r>
          </w:p>
        </w:tc>
        <w:tc>
          <w:tcPr>
            <w:tcW w:type="dxa" w:w="3138"/>
            <w:tcMar>
              <w:top w:type="dxa" w:w="40"/>
              <w:left w:type="dxa" w:w="80"/>
              <w:bottom w:type="dxa" w:w="40"/>
              <w:right w:type="dxa" w:w="80"/>
            </w:tcMar>
          </w:tcPr>
          <w:p>
            <w:pPr>
              <w:spacing w:after="0" w:line="240"/>
            </w:pPr>
            <w:r>
              <w:rPr>
                <w:rFonts w:ascii="Calibri" w:cs="Calibri" w:eastAsia="Calibri" w:hAnsi="Calibri"/>
                <w:b/>
                <w:bCs/>
                <w:sz w:val="18"/>
                <w:szCs w:val="18"/>
              </w:rPr>
              <w:t xml:space="preserve">≥ 10 %</w:t>
            </w:r>
          </w:p>
        </w:tc>
        <w:tc>
          <w:tcPr>
            <w:tcW w:type="dxa" w:w="12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2"/>
                <w:szCs w:val="22"/>
              </w:rPr>
              <w:t xml:space="preserve">1</w:t>
            </w:r>
          </w:p>
        </w:tc>
        <w:tc>
          <w:tcPr>
            <w:tcW w:type="dxa" w:w="230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Critique</w:t>
            </w:r>
          </w:p>
        </w:tc>
      </w:tr>
    </w:tbl>
    <w:p>
      <w:pPr>
        <w:spacing w:after="160" w:before="60" w:line="276"/>
      </w:pPr>
      <w:r>
        <w:rPr>
          <w:rFonts w:ascii="Calibri" w:cs="Calibri" w:eastAsia="Calibri" w:hAnsi="Calibri"/>
          <w:i/>
          <w:iCs/>
          <w:color w:val="595959"/>
          <w:sz w:val="18"/>
          <w:szCs w:val="18"/>
        </w:rPr>
        <w:t xml:space="preserve">Donnée absente : note plancher 1.</w:t>
      </w:r>
    </w:p>
    <w:p>
      <w:r>
        <w:br w:type="page"/>
      </w:r>
    </w:p>
    <w:p>
      <w:pPr>
        <w:pStyle w:val="Heading1"/>
      </w:pPr>
      <w:r>
        <w:t xml:space="preserve">7. Alertes D5 (red flags)</w:t>
      </w:r>
    </w:p>
    <w:p>
      <w:pPr>
        <w:spacing w:after="120" w:before="0" w:line="276"/>
      </w:pPr>
      <w:r>
        <w:rPr>
          <w:rFonts w:ascii="Calibri" w:cs="Calibri" w:eastAsia="Calibri" w:hAnsi="Calibri"/>
          <w:sz w:val="21"/>
          <w:szCs w:val="21"/>
        </w:rPr>
        <w:t xml:space="preserve">Les alertes ne modifient pas la note des critères : elles retranchent des points au score ajusté (malus), imposent la souffrance automatique (bloquantes) ou exigent un retour en comité. Le malus s'applique dès que la règle est vérifiée. Pour une règle à seuil numérique dont la donnée est absente, le malus est appliqué par prudence (« non exclue »).</w:t>
      </w:r>
    </w:p>
    <w:tbl>
      <w:tblPr>
        <w:tblW w:type="dxa" w:w="9638"/>
        <w:tblBorders>
          <w:top w:val="single" w:color="B45F06" w:sz="4"/>
          <w:left w:val="single" w:color="B45F06" w:sz="4"/>
          <w:bottom w:val="single" w:color="B45F06" w:sz="4"/>
          <w:right w:val="single" w:color="B45F06" w:sz="4"/>
          <w:insideH w:val="none"/>
          <w:insideV w:val="none"/>
        </w:tblBorders>
      </w:tblPr>
      <w:tblGrid>
        <w:gridCol w:w="9638"/>
      </w:tblGrid>
      <w:tr>
        <w:trPr>
          <w:cantSplit/>
        </w:trPr>
        <w:tc>
          <w:tcPr>
            <w:tcW w:type="dxa" w:w="9638"/>
            <w:shd w:fill="FFF4E5" w:color="auto" w:val="clear"/>
            <w:tcMar>
              <w:top w:type="dxa" w:w="100"/>
              <w:left w:type="dxa" w:w="160"/>
              <w:bottom w:type="dxa" w:w="100"/>
              <w:right w:type="dxa" w:w="160"/>
            </w:tcMar>
          </w:tcPr>
          <w:p>
            <w:pPr>
              <w:spacing w:after="40"/>
            </w:pPr>
            <w:r>
              <w:rPr>
                <w:rFonts w:ascii="Calibri" w:cs="Calibri" w:eastAsia="Calibri" w:hAnsi="Calibri"/>
                <w:b/>
                <w:bCs/>
                <w:color w:val="B45F06"/>
                <w:sz w:val="21"/>
                <w:szCs w:val="21"/>
              </w:rPr>
              <w:t xml:space="preserve">Division des risques</w:t>
            </w:r>
          </w:p>
          <w:p>
            <w:pPr>
              <w:spacing w:after="0" w:line="276"/>
            </w:pPr>
            <w:r>
              <w:rPr>
                <w:rFonts w:ascii="Calibri" w:cs="Calibri" w:eastAsia="Calibri" w:hAnsi="Calibri"/>
                <w:sz w:val="21"/>
                <w:szCs w:val="21"/>
              </w:rPr>
              <w:t xml:space="preserve">L'alerte « Limite de division des risques dépassée » porte un malus de 0 : on ne masque pas un dépassement en dégradant la note. Elle exige une décision au niveau de délégation requis (retour en comité).</w:t>
            </w:r>
          </w:p>
        </w:tc>
      </w:tr>
    </w:tbl>
    <w:p>
      <w:pPr>
        <w:spacing w:after="80" w:before="0" w:line="276"/>
      </w:pPr>
      <w:r>
        <w:rPr>
          <w:rFonts w:ascii="Calibri" w:cs="Calibri" w:eastAsia="Calibri" w:hAnsi="Calibri"/>
          <w:sz w:val="21"/>
          <w:szCs w:val="21"/>
        </w:rPr>
        <w:t xml:space="preserve"/>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200"/>
        <w:gridCol w:w="2000"/>
        <w:gridCol w:w="1250"/>
        <w:gridCol w:w="1250"/>
        <w:gridCol w:w="950"/>
        <w:gridCol w:w="1988"/>
      </w:tblGrid>
      <w:tr>
        <w:trPr>
          <w:cantSplit/>
          <w:tblHeader/>
        </w:trPr>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Alerte</w:t>
            </w:r>
          </w:p>
        </w:tc>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Règle de déclenchement</w:t>
            </w:r>
          </w:p>
        </w:tc>
        <w:tc>
          <w:tcPr>
            <w:tcW w:type="dxa" w:w="125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Sévérité</w:t>
            </w:r>
          </w:p>
        </w:tc>
        <w:tc>
          <w:tcPr>
            <w:tcW w:type="dxa" w:w="125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Malus</w:t>
            </w:r>
          </w:p>
        </w:tc>
        <w:tc>
          <w:tcPr>
            <w:tcW w:type="dxa" w:w="95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Comité</w:t>
            </w:r>
          </w:p>
        </w:tc>
        <w:tc>
          <w:tcPr>
            <w:tcW w:type="dxa" w:w="198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Effet / référence</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7"/>
                <w:szCs w:val="17"/>
              </w:rPr>
              <w:t xml:space="preserve">Impayé ≥ 90 jours (souffrance automatique)</w:t>
            </w:r>
          </w:p>
          <w:p>
            <w:pPr>
              <w:spacing w:after="0" w:line="240"/>
            </w:pPr>
            <w:r>
              <w:rPr>
                <w:rFonts w:ascii="Calibri" w:cs="Calibri" w:eastAsia="Calibri" w:hAnsi="Calibri"/>
                <w:color w:val="595959"/>
                <w:sz w:val="14"/>
                <w:szCs w:val="14"/>
              </w:rPr>
              <w:t xml:space="preserve">RF_IMPAYE_90J</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Retard de paiement (jours) ≥ 90</w:t>
            </w:r>
          </w:p>
        </w:tc>
        <w:tc>
          <w:tcPr>
            <w:tcW w:type="dxa" w:w="125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Bloquante</w:t>
            </w:r>
          </w:p>
        </w:tc>
        <w:tc>
          <w:tcPr>
            <w:tcW w:type="dxa" w:w="12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souffrance</w:t>
            </w:r>
          </w:p>
        </w:tc>
        <w:tc>
          <w:tcPr>
            <w:tcW w:type="dxa" w:w="950"/>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tcMar>
              <w:top w:type="dxa" w:w="40"/>
              <w:left w:type="dxa" w:w="80"/>
              <w:bottom w:type="dxa" w:w="40"/>
              <w:right w:type="dxa" w:w="80"/>
            </w:tcMar>
          </w:tcPr>
          <w:p>
            <w:pPr>
              <w:spacing w:after="0" w:line="240"/>
            </w:pPr>
            <w:r>
              <w:rPr>
                <w:rFonts w:ascii="Calibri" w:cs="Calibri" w:eastAsia="Calibri" w:hAnsi="Calibri"/>
                <w:sz w:val="16"/>
                <w:szCs w:val="16"/>
              </w:rPr>
              <w:t xml:space="preserve">Réglementaire</w:t>
            </w:r>
          </w:p>
          <w:p>
            <w:pPr>
              <w:spacing w:after="0" w:line="240"/>
            </w:pPr>
            <w:r>
              <w:rPr>
                <w:rFonts w:ascii="Calibri" w:cs="Calibri" w:eastAsia="Calibri" w:hAnsi="Calibri"/>
                <w:i/>
                <w:iCs/>
                <w:color w:val="595959"/>
                <w:sz w:val="15"/>
                <w:szCs w:val="15"/>
              </w:rPr>
              <w:t xml:space="preserve">1/W art.5 ; art.34</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Action en justice / contentieux (CTX)</w:t>
            </w:r>
          </w:p>
          <w:p>
            <w:pPr>
              <w:spacing w:after="0" w:line="240"/>
            </w:pPr>
            <w:r>
              <w:rPr>
                <w:rFonts w:ascii="Calibri" w:cs="Calibri" w:eastAsia="Calibri" w:hAnsi="Calibri"/>
                <w:color w:val="595959"/>
                <w:sz w:val="14"/>
                <w:szCs w:val="14"/>
              </w:rPr>
              <w:t xml:space="preserve">RF_LITIGE</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Exposition contentieuse = litigation</w:t>
            </w:r>
          </w:p>
        </w:tc>
        <w:tc>
          <w:tcPr>
            <w:tcW w:type="dxa" w:w="1250"/>
            <w:shd w:fill="F2F5FB" w:color="auto" w:val="clear"/>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Bloquante</w:t>
            </w:r>
          </w:p>
        </w:tc>
        <w:tc>
          <w:tcPr>
            <w:tcW w:type="dxa" w:w="12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souffrance</w:t>
            </w:r>
          </w:p>
        </w:tc>
        <w:tc>
          <w:tcPr>
            <w:tcW w:type="dxa" w:w="95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Réglementaire</w:t>
            </w:r>
          </w:p>
          <w:p>
            <w:pPr>
              <w:spacing w:after="0" w:line="240"/>
            </w:pPr>
            <w:r>
              <w:rPr>
                <w:rFonts w:ascii="Calibri" w:cs="Calibri" w:eastAsia="Calibri" w:hAnsi="Calibri"/>
                <w:i/>
                <w:iCs/>
                <w:color w:val="595959"/>
                <w:sz w:val="15"/>
                <w:szCs w:val="15"/>
              </w:rPr>
              <w:t xml:space="preserve">1/W art.12.8</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7"/>
                <w:szCs w:val="17"/>
              </w:rPr>
              <w:t xml:space="preserve">Projet à l'arrêt ≥ 12 mois (souffrance automatique)</w:t>
            </w:r>
          </w:p>
          <w:p>
            <w:pPr>
              <w:spacing w:after="0" w:line="240"/>
            </w:pPr>
            <w:r>
              <w:rPr>
                <w:rFonts w:ascii="Calibri" w:cs="Calibri" w:eastAsia="Calibri" w:hAnsi="Calibri"/>
                <w:color w:val="595959"/>
                <w:sz w:val="14"/>
                <w:szCs w:val="14"/>
              </w:rPr>
              <w:t xml:space="preserve">RF_PROJET_ARRET_12M</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Arrêt du projet (mois) ≥ 12</w:t>
            </w:r>
          </w:p>
        </w:tc>
        <w:tc>
          <w:tcPr>
            <w:tcW w:type="dxa" w:w="1250"/>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Bloquante</w:t>
            </w:r>
          </w:p>
        </w:tc>
        <w:tc>
          <w:tcPr>
            <w:tcW w:type="dxa" w:w="12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souffrance</w:t>
            </w:r>
          </w:p>
        </w:tc>
        <w:tc>
          <w:tcPr>
            <w:tcW w:type="dxa" w:w="950"/>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tcMar>
              <w:top w:type="dxa" w:w="40"/>
              <w:left w:type="dxa" w:w="80"/>
              <w:bottom w:type="dxa" w:w="40"/>
              <w:right w:type="dxa" w:w="80"/>
            </w:tcMar>
          </w:tcPr>
          <w:p>
            <w:pPr>
              <w:spacing w:after="0" w:line="240"/>
            </w:pPr>
            <w:r>
              <w:rPr>
                <w:rFonts w:ascii="Calibri" w:cs="Calibri" w:eastAsia="Calibri" w:hAnsi="Calibri"/>
                <w:sz w:val="16"/>
                <w:szCs w:val="16"/>
              </w:rPr>
              <w:t xml:space="preserve">Réglementaire</w:t>
            </w:r>
          </w:p>
          <w:p>
            <w:pPr>
              <w:spacing w:after="0" w:line="240"/>
            </w:pPr>
            <w:r>
              <w:rPr>
                <w:rFonts w:ascii="Calibri" w:cs="Calibri" w:eastAsia="Calibri" w:hAnsi="Calibri"/>
                <w:i/>
                <w:iCs/>
                <w:color w:val="595959"/>
                <w:sz w:val="15"/>
                <w:szCs w:val="15"/>
              </w:rPr>
              <w:t xml:space="preserve">1/W art.12.7</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Cash coverage &lt; 1,0x</w:t>
            </w:r>
          </w:p>
          <w:p>
            <w:pPr>
              <w:spacing w:after="0" w:line="240"/>
            </w:pPr>
            <w:r>
              <w:rPr>
                <w:rFonts w:ascii="Calibri" w:cs="Calibri" w:eastAsia="Calibri" w:hAnsi="Calibri"/>
                <w:color w:val="595959"/>
                <w:sz w:val="14"/>
                <w:szCs w:val="14"/>
              </w:rPr>
              <w:t xml:space="preserve">RF_CASH_LT_ECH</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Cash coverage (x) &lt; 1</w:t>
            </w:r>
          </w:p>
        </w:tc>
        <w:tc>
          <w:tcPr>
            <w:tcW w:type="dxa" w:w="1250"/>
            <w:shd w:fill="F2F5FB" w:color="auto" w:val="clear"/>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Élevée</w:t>
            </w:r>
          </w:p>
        </w:tc>
        <w:tc>
          <w:tcPr>
            <w:tcW w:type="dxa" w:w="12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−25</w:t>
            </w:r>
          </w:p>
        </w:tc>
        <w:tc>
          <w:tcPr>
            <w:tcW w:type="dxa" w:w="95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Hypothèse économique</w:t>
            </w:r>
          </w:p>
          <w:p>
            <w:pPr>
              <w:spacing w:after="0" w:line="240"/>
            </w:pPr>
            <w:r>
              <w:rPr>
                <w:rFonts w:ascii="Calibri" w:cs="Calibri" w:eastAsia="Calibri" w:hAnsi="Calibri"/>
                <w:i/>
                <w:iCs/>
                <w:color w:val="595959"/>
                <w:sz w:val="15"/>
                <w:szCs w:val="15"/>
              </w:rPr>
              <w:t xml:space="preserve"/>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7"/>
                <w:szCs w:val="17"/>
              </w:rPr>
              <w:t xml:space="preserve">Fonds propres négatifs</w:t>
            </w:r>
          </w:p>
          <w:p>
            <w:pPr>
              <w:spacing w:after="0" w:line="240"/>
            </w:pPr>
            <w:r>
              <w:rPr>
                <w:rFonts w:ascii="Calibri" w:cs="Calibri" w:eastAsia="Calibri" w:hAnsi="Calibri"/>
                <w:color w:val="595959"/>
                <w:sz w:val="14"/>
                <w:szCs w:val="14"/>
              </w:rPr>
              <w:t xml:space="preserve">RF_FP_NEG</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Fonds propres négatifs = Oui</w:t>
            </w:r>
          </w:p>
        </w:tc>
        <w:tc>
          <w:tcPr>
            <w:tcW w:type="dxa" w:w="125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Élevée</w:t>
            </w:r>
          </w:p>
        </w:tc>
        <w:tc>
          <w:tcPr>
            <w:tcW w:type="dxa" w:w="12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−25</w:t>
            </w:r>
          </w:p>
        </w:tc>
        <w:tc>
          <w:tcPr>
            <w:tcW w:type="dxa" w:w="950"/>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tcMar>
              <w:top w:type="dxa" w:w="40"/>
              <w:left w:type="dxa" w:w="80"/>
              <w:bottom w:type="dxa" w:w="40"/>
              <w:right w:type="dxa" w:w="80"/>
            </w:tcMar>
          </w:tcPr>
          <w:p>
            <w:pPr>
              <w:spacing w:after="0" w:line="240"/>
            </w:pPr>
            <w:r>
              <w:rPr>
                <w:rFonts w:ascii="Calibri" w:cs="Calibri" w:eastAsia="Calibri" w:hAnsi="Calibri"/>
                <w:sz w:val="16"/>
                <w:szCs w:val="16"/>
              </w:rPr>
              <w:t xml:space="preserve">Hypothèse économique</w:t>
            </w:r>
          </w:p>
          <w:p>
            <w:pPr>
              <w:spacing w:after="0" w:line="240"/>
            </w:pPr>
            <w:r>
              <w:rPr>
                <w:rFonts w:ascii="Calibri" w:cs="Calibri" w:eastAsia="Calibri" w:hAnsi="Calibri"/>
                <w:i/>
                <w:iCs/>
                <w:color w:val="595959"/>
                <w:sz w:val="15"/>
                <w:szCs w:val="15"/>
              </w:rPr>
              <w:t xml:space="preserve"/>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Garantie non 1er rang</w:t>
            </w:r>
          </w:p>
          <w:p>
            <w:pPr>
              <w:spacing w:after="0" w:line="240"/>
            </w:pPr>
            <w:r>
              <w:rPr>
                <w:rFonts w:ascii="Calibri" w:cs="Calibri" w:eastAsia="Calibri" w:hAnsi="Calibri"/>
                <w:color w:val="595959"/>
                <w:sz w:val="14"/>
                <w:szCs w:val="14"/>
              </w:rPr>
              <w:t xml:space="preserve">RF_NON_1ER_RANG</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Rang bancaire 1er rang = non</w:t>
            </w:r>
          </w:p>
        </w:tc>
        <w:tc>
          <w:tcPr>
            <w:tcW w:type="dxa" w:w="1250"/>
            <w:shd w:fill="F2F5FB" w:color="auto" w:val="clear"/>
            <w:tcMar>
              <w:top w:type="dxa" w:w="40"/>
              <w:left w:type="dxa" w:w="80"/>
              <w:bottom w:type="dxa" w:w="40"/>
              <w:right w:type="dxa" w:w="80"/>
            </w:tcMar>
          </w:tcPr>
          <w:p>
            <w:pPr>
              <w:spacing w:after="0" w:line="240"/>
            </w:pPr>
            <w:r>
              <w:rPr>
                <w:rFonts w:ascii="Calibri" w:cs="Calibri" w:eastAsia="Calibri" w:hAnsi="Calibri"/>
                <w:b/>
                <w:bCs/>
                <w:color w:val="595959"/>
                <w:sz w:val="18"/>
                <w:szCs w:val="18"/>
              </w:rPr>
              <w:t xml:space="preserve">Moyenne</w:t>
            </w:r>
          </w:p>
        </w:tc>
        <w:tc>
          <w:tcPr>
            <w:tcW w:type="dxa" w:w="12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−25</w:t>
            </w:r>
          </w:p>
        </w:tc>
        <w:tc>
          <w:tcPr>
            <w:tcW w:type="dxa" w:w="95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Surveillance / tirage</w:t>
            </w:r>
          </w:p>
          <w:p>
            <w:pPr>
              <w:spacing w:after="0" w:line="240"/>
            </w:pPr>
            <w:r>
              <w:rPr>
                <w:rFonts w:ascii="Calibri" w:cs="Calibri" w:eastAsia="Calibri" w:hAnsi="Calibri"/>
                <w:i/>
                <w:iCs/>
                <w:color w:val="595959"/>
                <w:sz w:val="15"/>
                <w:szCs w:val="15"/>
              </w:rPr>
              <w:t xml:space="preserve"/>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7"/>
                <w:szCs w:val="17"/>
              </w:rPr>
              <w:t xml:space="preserve">Première restructuration</w:t>
            </w:r>
          </w:p>
          <w:p>
            <w:pPr>
              <w:spacing w:after="0" w:line="240"/>
            </w:pPr>
            <w:r>
              <w:rPr>
                <w:rFonts w:ascii="Calibri" w:cs="Calibri" w:eastAsia="Calibri" w:hAnsi="Calibri"/>
                <w:color w:val="595959"/>
                <w:sz w:val="14"/>
                <w:szCs w:val="14"/>
              </w:rPr>
              <w:t xml:space="preserve">RF_RESTRUCT</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Restructuré = yes</w:t>
            </w:r>
          </w:p>
        </w:tc>
        <w:tc>
          <w:tcPr>
            <w:tcW w:type="dxa" w:w="1250"/>
            <w:tcMar>
              <w:top w:type="dxa" w:w="40"/>
              <w:left w:type="dxa" w:w="80"/>
              <w:bottom w:type="dxa" w:w="40"/>
              <w:right w:type="dxa" w:w="80"/>
            </w:tcMar>
          </w:tcPr>
          <w:p>
            <w:pPr>
              <w:spacing w:after="0" w:line="240"/>
            </w:pPr>
            <w:r>
              <w:rPr>
                <w:rFonts w:ascii="Calibri" w:cs="Calibri" w:eastAsia="Calibri" w:hAnsi="Calibri"/>
                <w:b/>
                <w:bCs/>
                <w:color w:val="595959"/>
                <w:sz w:val="18"/>
                <w:szCs w:val="18"/>
              </w:rPr>
              <w:t xml:space="preserve">Moyenne</w:t>
            </w:r>
          </w:p>
        </w:tc>
        <w:tc>
          <w:tcPr>
            <w:tcW w:type="dxa" w:w="12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−25</w:t>
            </w:r>
          </w:p>
        </w:tc>
        <w:tc>
          <w:tcPr>
            <w:tcW w:type="dxa" w:w="9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Oui</w:t>
            </w:r>
          </w:p>
        </w:tc>
        <w:tc>
          <w:tcPr>
            <w:tcW w:type="dxa" w:w="1988"/>
            <w:tcMar>
              <w:top w:type="dxa" w:w="40"/>
              <w:left w:type="dxa" w:w="80"/>
              <w:bottom w:type="dxa" w:w="40"/>
              <w:right w:type="dxa" w:w="80"/>
            </w:tcMar>
          </w:tcPr>
          <w:p>
            <w:pPr>
              <w:spacing w:after="0" w:line="240"/>
            </w:pPr>
            <w:r>
              <w:rPr>
                <w:rFonts w:ascii="Calibri" w:cs="Calibri" w:eastAsia="Calibri" w:hAnsi="Calibri"/>
                <w:sz w:val="16"/>
                <w:szCs w:val="16"/>
              </w:rPr>
              <w:t xml:space="preserve">Réglementaire</w:t>
            </w:r>
          </w:p>
          <w:p>
            <w:pPr>
              <w:spacing w:after="0" w:line="240"/>
            </w:pPr>
            <w:r>
              <w:rPr>
                <w:rFonts w:ascii="Calibri" w:cs="Calibri" w:eastAsia="Calibri" w:hAnsi="Calibri"/>
                <w:i/>
                <w:iCs/>
                <w:color w:val="595959"/>
                <w:sz w:val="15"/>
                <w:szCs w:val="15"/>
              </w:rPr>
              <w:t xml:space="preserve">1/W art.17-31</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Impasse de trésorerie persistante</w:t>
            </w:r>
          </w:p>
          <w:p>
            <w:pPr>
              <w:spacing w:after="0" w:line="240"/>
            </w:pPr>
            <w:r>
              <w:rPr>
                <w:rFonts w:ascii="Calibri" w:cs="Calibri" w:eastAsia="Calibri" w:hAnsi="Calibri"/>
                <w:color w:val="595959"/>
                <w:sz w:val="14"/>
                <w:szCs w:val="14"/>
              </w:rPr>
              <w:t xml:space="preserve">RF_IMPASSE_PERSIST</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Impasse persistante = Oui</w:t>
            </w:r>
          </w:p>
        </w:tc>
        <w:tc>
          <w:tcPr>
            <w:tcW w:type="dxa" w:w="1250"/>
            <w:shd w:fill="F2F5FB" w:color="auto" w:val="clear"/>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Élevée</w:t>
            </w:r>
          </w:p>
        </w:tc>
        <w:tc>
          <w:tcPr>
            <w:tcW w:type="dxa" w:w="12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−20</w:t>
            </w:r>
          </w:p>
        </w:tc>
        <w:tc>
          <w:tcPr>
            <w:tcW w:type="dxa" w:w="95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Hypothèse économique</w:t>
            </w:r>
          </w:p>
          <w:p>
            <w:pPr>
              <w:spacing w:after="0" w:line="240"/>
            </w:pPr>
            <w:r>
              <w:rPr>
                <w:rFonts w:ascii="Calibri" w:cs="Calibri" w:eastAsia="Calibri" w:hAnsi="Calibri"/>
                <w:i/>
                <w:iCs/>
                <w:color w:val="595959"/>
                <w:sz w:val="15"/>
                <w:szCs w:val="15"/>
              </w:rPr>
              <w:t xml:space="preserve"/>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7"/>
                <w:szCs w:val="17"/>
              </w:rPr>
              <w:t xml:space="preserve">Autorisation indispensable aux travaux non levée</w:t>
            </w:r>
          </w:p>
          <w:p>
            <w:pPr>
              <w:spacing w:after="0" w:line="240"/>
            </w:pPr>
            <w:r>
              <w:rPr>
                <w:rFonts w:ascii="Calibri" w:cs="Calibri" w:eastAsia="Calibri" w:hAnsi="Calibri"/>
                <w:color w:val="595959"/>
                <w:sz w:val="14"/>
                <w:szCs w:val="14"/>
              </w:rPr>
              <w:t xml:space="preserve">RF_AUTORISATION_TIRAGE</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Autorisation indispensable aux travaux non levée = Oui</w:t>
            </w:r>
          </w:p>
        </w:tc>
        <w:tc>
          <w:tcPr>
            <w:tcW w:type="dxa" w:w="125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Élevée</w:t>
            </w:r>
          </w:p>
        </w:tc>
        <w:tc>
          <w:tcPr>
            <w:tcW w:type="dxa" w:w="12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−15</w:t>
            </w:r>
          </w:p>
        </w:tc>
        <w:tc>
          <w:tcPr>
            <w:tcW w:type="dxa" w:w="950"/>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tcMar>
              <w:top w:type="dxa" w:w="40"/>
              <w:left w:type="dxa" w:w="80"/>
              <w:bottom w:type="dxa" w:w="40"/>
              <w:right w:type="dxa" w:w="80"/>
            </w:tcMar>
          </w:tcPr>
          <w:p>
            <w:pPr>
              <w:spacing w:after="0" w:line="240"/>
            </w:pPr>
            <w:r>
              <w:rPr>
                <w:rFonts w:ascii="Calibri" w:cs="Calibri" w:eastAsia="Calibri" w:hAnsi="Calibri"/>
                <w:sz w:val="16"/>
                <w:szCs w:val="16"/>
              </w:rPr>
              <w:t xml:space="preserve">Surveillance / tirage</w:t>
            </w:r>
          </w:p>
          <w:p>
            <w:pPr>
              <w:spacing w:after="0" w:line="240"/>
            </w:pPr>
            <w:r>
              <w:rPr>
                <w:rFonts w:ascii="Calibri" w:cs="Calibri" w:eastAsia="Calibri" w:hAnsi="Calibri"/>
                <w:i/>
                <w:iCs/>
                <w:color w:val="595959"/>
                <w:sz w:val="15"/>
                <w:szCs w:val="15"/>
              </w:rPr>
              <w:t xml:space="preserve">Loi 25-90 (lotissements) ; loi 12-90 (urbanisme) ; ANCFCC</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Équipement exigé en retard (conditionne la réception)</w:t>
            </w:r>
          </w:p>
          <w:p>
            <w:pPr>
              <w:spacing w:after="0" w:line="240"/>
            </w:pPr>
            <w:r>
              <w:rPr>
                <w:rFonts w:ascii="Calibri" w:cs="Calibri" w:eastAsia="Calibri" w:hAnsi="Calibri"/>
                <w:color w:val="595959"/>
                <w:sz w:val="14"/>
                <w:szCs w:val="14"/>
              </w:rPr>
              <w:t xml:space="preserve">RF_EQUIPEMENT_RECEPTION</w:t>
            </w:r>
            <w:r>
              <w:rPr>
                <w:rFonts w:ascii="Calibri" w:cs="Calibri" w:eastAsia="Calibri" w:hAnsi="Calibri"/>
                <w:b/>
                <w:bCs/>
                <w:color w:val="2E7D32"/>
                <w:sz w:val="14"/>
                <w:szCs w:val="14"/>
              </w:rPr>
              <w:t xml:space="preserve">  nouveau v5.0.0</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Équipement exigé en retard (conditionne la réception) = Oui</w:t>
            </w:r>
          </w:p>
        </w:tc>
        <w:tc>
          <w:tcPr>
            <w:tcW w:type="dxa" w:w="1250"/>
            <w:shd w:fill="F2F5FB" w:color="auto" w:val="clear"/>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Élevée</w:t>
            </w:r>
          </w:p>
        </w:tc>
        <w:tc>
          <w:tcPr>
            <w:tcW w:type="dxa" w:w="12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−15</w:t>
            </w:r>
          </w:p>
        </w:tc>
        <w:tc>
          <w:tcPr>
            <w:tcW w:type="dxa" w:w="9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Oui</w:t>
            </w:r>
          </w:p>
        </w:tc>
        <w:tc>
          <w:tcPr>
            <w:tcW w:type="dxa" w:w="1988"/>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Surveillance / tirage</w:t>
            </w:r>
          </w:p>
          <w:p>
            <w:pPr>
              <w:spacing w:after="0" w:line="240"/>
            </w:pPr>
            <w:r>
              <w:rPr>
                <w:rFonts w:ascii="Calibri" w:cs="Calibri" w:eastAsia="Calibri" w:hAnsi="Calibri"/>
                <w:i/>
                <w:iCs/>
                <w:color w:val="595959"/>
                <w:sz w:val="15"/>
                <w:szCs w:val="15"/>
              </w:rPr>
              <w:t xml:space="preserve">Cahier des charges / convention avec la commune ; réception et permis d'habiter</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7"/>
                <w:szCs w:val="17"/>
              </w:rPr>
              <w:t xml:space="preserve">Prix de mainlevée sous-tarifé</w:t>
            </w:r>
          </w:p>
          <w:p>
            <w:pPr>
              <w:spacing w:after="0" w:line="240"/>
            </w:pPr>
            <w:r>
              <w:rPr>
                <w:rFonts w:ascii="Calibri" w:cs="Calibri" w:eastAsia="Calibri" w:hAnsi="Calibri"/>
                <w:color w:val="595959"/>
                <w:sz w:val="14"/>
                <w:szCs w:val="14"/>
              </w:rPr>
              <w:t xml:space="preserve">RF_MAINLEVEE_SOUS_TARIFEE</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Prix de mainlevée sous-tarifé = Oui</w:t>
            </w:r>
          </w:p>
        </w:tc>
        <w:tc>
          <w:tcPr>
            <w:tcW w:type="dxa" w:w="125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Élevée</w:t>
            </w:r>
          </w:p>
        </w:tc>
        <w:tc>
          <w:tcPr>
            <w:tcW w:type="dxa" w:w="12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−15</w:t>
            </w:r>
          </w:p>
        </w:tc>
        <w:tc>
          <w:tcPr>
            <w:tcW w:type="dxa" w:w="9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Oui</w:t>
            </w:r>
          </w:p>
        </w:tc>
        <w:tc>
          <w:tcPr>
            <w:tcW w:type="dxa" w:w="1988"/>
            <w:tcMar>
              <w:top w:type="dxa" w:w="40"/>
              <w:left w:type="dxa" w:w="80"/>
              <w:bottom w:type="dxa" w:w="40"/>
              <w:right w:type="dxa" w:w="80"/>
            </w:tcMar>
          </w:tcPr>
          <w:p>
            <w:pPr>
              <w:spacing w:after="0" w:line="240"/>
            </w:pPr>
            <w:r>
              <w:rPr>
                <w:rFonts w:ascii="Calibri" w:cs="Calibri" w:eastAsia="Calibri" w:hAnsi="Calibri"/>
                <w:sz w:val="16"/>
                <w:szCs w:val="16"/>
              </w:rPr>
              <w:t xml:space="preserve">Surveillance / tirage</w:t>
            </w:r>
          </w:p>
          <w:p>
            <w:pPr>
              <w:spacing w:after="0" w:line="240"/>
            </w:pPr>
            <w:r>
              <w:rPr>
                <w:rFonts w:ascii="Calibri" w:cs="Calibri" w:eastAsia="Calibri" w:hAnsi="Calibri"/>
                <w:i/>
                <w:iCs/>
                <w:color w:val="595959"/>
                <w:sz w:val="15"/>
                <w:szCs w:val="15"/>
              </w:rPr>
              <w:t xml:space="preserve">Politique interne — mainlevées partielles</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Retard chantier ≥ 6 mois</w:t>
            </w:r>
          </w:p>
          <w:p>
            <w:pPr>
              <w:spacing w:after="0" w:line="240"/>
            </w:pPr>
            <w:r>
              <w:rPr>
                <w:rFonts w:ascii="Calibri" w:cs="Calibri" w:eastAsia="Calibri" w:hAnsi="Calibri"/>
                <w:color w:val="595959"/>
                <w:sz w:val="14"/>
                <w:szCs w:val="14"/>
              </w:rPr>
              <w:t xml:space="preserve">RF_RETARD_6M</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Retard chantier (mois) ≥ 6</w:t>
            </w:r>
          </w:p>
        </w:tc>
        <w:tc>
          <w:tcPr>
            <w:tcW w:type="dxa" w:w="1250"/>
            <w:shd w:fill="F2F5FB" w:color="auto" w:val="clear"/>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Élevée</w:t>
            </w:r>
          </w:p>
        </w:tc>
        <w:tc>
          <w:tcPr>
            <w:tcW w:type="dxa" w:w="12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−15</w:t>
            </w:r>
          </w:p>
        </w:tc>
        <w:tc>
          <w:tcPr>
            <w:tcW w:type="dxa" w:w="9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Oui</w:t>
            </w:r>
          </w:p>
        </w:tc>
        <w:tc>
          <w:tcPr>
            <w:tcW w:type="dxa" w:w="1988"/>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Surveillance / tirage</w:t>
            </w:r>
          </w:p>
          <w:p>
            <w:pPr>
              <w:spacing w:after="0" w:line="240"/>
            </w:pPr>
            <w:r>
              <w:rPr>
                <w:rFonts w:ascii="Calibri" w:cs="Calibri" w:eastAsia="Calibri" w:hAnsi="Calibri"/>
                <w:i/>
                <w:iCs/>
                <w:color w:val="595959"/>
                <w:sz w:val="15"/>
                <w:szCs w:val="15"/>
              </w:rPr>
              <w:t xml:space="preserve">1/W art.12.7</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7"/>
                <w:szCs w:val="17"/>
              </w:rPr>
              <w:t xml:space="preserve">Déblocages en avance sur l'avancement des travaux</w:t>
            </w:r>
          </w:p>
          <w:p>
            <w:pPr>
              <w:spacing w:after="0" w:line="240"/>
            </w:pPr>
            <w:r>
              <w:rPr>
                <w:rFonts w:ascii="Calibri" w:cs="Calibri" w:eastAsia="Calibri" w:hAnsi="Calibri"/>
                <w:color w:val="595959"/>
                <w:sz w:val="14"/>
                <w:szCs w:val="14"/>
              </w:rPr>
              <w:t xml:space="preserve">RF_TIRAGE_AVANCE</w:t>
            </w:r>
            <w:r>
              <w:rPr>
                <w:rFonts w:ascii="Calibri" w:cs="Calibri" w:eastAsia="Calibri" w:hAnsi="Calibri"/>
                <w:b/>
                <w:bCs/>
                <w:color w:val="2E7D32"/>
                <w:sz w:val="14"/>
                <w:szCs w:val="14"/>
              </w:rPr>
              <w:t xml:space="preserve">  nouveau v5.0.0</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Déblocages en avance sur les travaux = Oui</w:t>
            </w:r>
          </w:p>
        </w:tc>
        <w:tc>
          <w:tcPr>
            <w:tcW w:type="dxa" w:w="1250"/>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Élevée</w:t>
            </w:r>
          </w:p>
        </w:tc>
        <w:tc>
          <w:tcPr>
            <w:tcW w:type="dxa" w:w="12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−15</w:t>
            </w:r>
          </w:p>
        </w:tc>
        <w:tc>
          <w:tcPr>
            <w:tcW w:type="dxa" w:w="9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Oui</w:t>
            </w:r>
          </w:p>
        </w:tc>
        <w:tc>
          <w:tcPr>
            <w:tcW w:type="dxa" w:w="1988"/>
            <w:tcMar>
              <w:top w:type="dxa" w:w="40"/>
              <w:left w:type="dxa" w:w="80"/>
              <w:bottom w:type="dxa" w:w="40"/>
              <w:right w:type="dxa" w:w="80"/>
            </w:tcMar>
          </w:tcPr>
          <w:p>
            <w:pPr>
              <w:spacing w:after="0" w:line="240"/>
            </w:pPr>
            <w:r>
              <w:rPr>
                <w:rFonts w:ascii="Calibri" w:cs="Calibri" w:eastAsia="Calibri" w:hAnsi="Calibri"/>
                <w:sz w:val="16"/>
                <w:szCs w:val="16"/>
              </w:rPr>
              <w:t xml:space="preserve">Surveillance / tirage</w:t>
            </w:r>
          </w:p>
          <w:p>
            <w:pPr>
              <w:spacing w:after="0" w:line="240"/>
            </w:pPr>
            <w:r>
              <w:rPr>
                <w:rFonts w:ascii="Calibri" w:cs="Calibri" w:eastAsia="Calibri" w:hAnsi="Calibri"/>
                <w:i/>
                <w:iCs/>
                <w:color w:val="595959"/>
                <w:sz w:val="15"/>
                <w:szCs w:val="15"/>
              </w:rPr>
              <w:t xml:space="preserve">Politique de crédit — déblocage sur situation de travaux visée</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Tranche financée dépendante d'ouvrages communs non financés</w:t>
            </w:r>
          </w:p>
          <w:p>
            <w:pPr>
              <w:spacing w:after="0" w:line="240"/>
            </w:pPr>
            <w:r>
              <w:rPr>
                <w:rFonts w:ascii="Calibri" w:cs="Calibri" w:eastAsia="Calibri" w:hAnsi="Calibri"/>
                <w:color w:val="595959"/>
                <w:sz w:val="14"/>
                <w:szCs w:val="14"/>
              </w:rPr>
              <w:t xml:space="preserve">RF_TRANCHE_DEPENDANTE</w:t>
            </w:r>
            <w:r>
              <w:rPr>
                <w:rFonts w:ascii="Calibri" w:cs="Calibri" w:eastAsia="Calibri" w:hAnsi="Calibri"/>
                <w:b/>
                <w:bCs/>
                <w:color w:val="2E7D32"/>
                <w:sz w:val="14"/>
                <w:szCs w:val="14"/>
              </w:rPr>
              <w:t xml:space="preserve">  nouveau v5.0.0</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Autonomie du périmètre financé (tranche) = dependante_non_financee</w:t>
            </w:r>
          </w:p>
        </w:tc>
        <w:tc>
          <w:tcPr>
            <w:tcW w:type="dxa" w:w="1250"/>
            <w:shd w:fill="F2F5FB" w:color="auto" w:val="clear"/>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Élevée</w:t>
            </w:r>
          </w:p>
        </w:tc>
        <w:tc>
          <w:tcPr>
            <w:tcW w:type="dxa" w:w="12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−15</w:t>
            </w:r>
          </w:p>
        </w:tc>
        <w:tc>
          <w:tcPr>
            <w:tcW w:type="dxa" w:w="9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Oui</w:t>
            </w:r>
          </w:p>
        </w:tc>
        <w:tc>
          <w:tcPr>
            <w:tcW w:type="dxa" w:w="1988"/>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Surveillance / tirage</w:t>
            </w:r>
          </w:p>
          <w:p>
            <w:pPr>
              <w:spacing w:after="0" w:line="240"/>
            </w:pPr>
            <w:r>
              <w:rPr>
                <w:rFonts w:ascii="Calibri" w:cs="Calibri" w:eastAsia="Calibri" w:hAnsi="Calibri"/>
                <w:i/>
                <w:iCs/>
                <w:color w:val="595959"/>
                <w:sz w:val="15"/>
                <w:szCs w:val="15"/>
              </w:rPr>
              <w:t xml:space="preserve">Financement par tranche — ouvrages communs</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7"/>
                <w:szCs w:val="17"/>
              </w:rPr>
              <w:t xml:space="preserve">Financement acquéreur majoritairement non sécurisé</w:t>
            </w:r>
          </w:p>
          <w:p>
            <w:pPr>
              <w:spacing w:after="0" w:line="240"/>
            </w:pPr>
            <w:r>
              <w:rPr>
                <w:rFonts w:ascii="Calibri" w:cs="Calibri" w:eastAsia="Calibri" w:hAnsi="Calibri"/>
                <w:color w:val="595959"/>
                <w:sz w:val="14"/>
                <w:szCs w:val="14"/>
              </w:rPr>
              <w:t xml:space="preserve">RF_ACQUEREURS_NON_FINANCES</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Financement acquéreur majoritairement non sécurisé = Oui</w:t>
            </w:r>
          </w:p>
        </w:tc>
        <w:tc>
          <w:tcPr>
            <w:tcW w:type="dxa" w:w="1250"/>
            <w:tcMar>
              <w:top w:type="dxa" w:w="40"/>
              <w:left w:type="dxa" w:w="80"/>
              <w:bottom w:type="dxa" w:w="40"/>
              <w:right w:type="dxa" w:w="80"/>
            </w:tcMar>
          </w:tcPr>
          <w:p>
            <w:pPr>
              <w:spacing w:after="0" w:line="240"/>
            </w:pPr>
            <w:r>
              <w:rPr>
                <w:rFonts w:ascii="Calibri" w:cs="Calibri" w:eastAsia="Calibri" w:hAnsi="Calibri"/>
                <w:b/>
                <w:bCs/>
                <w:color w:val="595959"/>
                <w:sz w:val="18"/>
                <w:szCs w:val="18"/>
              </w:rPr>
              <w:t xml:space="preserve">Moyenne</w:t>
            </w:r>
          </w:p>
        </w:tc>
        <w:tc>
          <w:tcPr>
            <w:tcW w:type="dxa" w:w="12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−10</w:t>
            </w:r>
          </w:p>
        </w:tc>
        <w:tc>
          <w:tcPr>
            <w:tcW w:type="dxa" w:w="950"/>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tcMar>
              <w:top w:type="dxa" w:w="40"/>
              <w:left w:type="dxa" w:w="80"/>
              <w:bottom w:type="dxa" w:w="40"/>
              <w:right w:type="dxa" w:w="80"/>
            </w:tcMar>
          </w:tcPr>
          <w:p>
            <w:pPr>
              <w:spacing w:after="0" w:line="240"/>
            </w:pPr>
            <w:r>
              <w:rPr>
                <w:rFonts w:ascii="Calibri" w:cs="Calibri" w:eastAsia="Calibri" w:hAnsi="Calibri"/>
                <w:sz w:val="16"/>
                <w:szCs w:val="16"/>
              </w:rPr>
              <w:t xml:space="preserve">Hypothèse économique</w:t>
            </w:r>
          </w:p>
          <w:p>
            <w:pPr>
              <w:spacing w:after="0" w:line="240"/>
            </w:pPr>
            <w:r>
              <w:rPr>
                <w:rFonts w:ascii="Calibri" w:cs="Calibri" w:eastAsia="Calibri" w:hAnsi="Calibri"/>
                <w:i/>
                <w:iCs/>
                <w:color w:val="595959"/>
                <w:sz w:val="15"/>
                <w:szCs w:val="15"/>
              </w:rPr>
              <w:t xml:space="preserve">Liquidité des ventes — solvabilité acquéreur</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Composante commerciale ou hôtelière sans preneur engagé</w:t>
            </w:r>
          </w:p>
          <w:p>
            <w:pPr>
              <w:spacing w:after="0" w:line="240"/>
            </w:pPr>
            <w:r>
              <w:rPr>
                <w:rFonts w:ascii="Calibri" w:cs="Calibri" w:eastAsia="Calibri" w:hAnsi="Calibri"/>
                <w:color w:val="595959"/>
                <w:sz w:val="14"/>
                <w:szCs w:val="14"/>
              </w:rPr>
              <w:t xml:space="preserve">RF_COMPOSANTE_SANS_PRENEUR</w:t>
            </w:r>
            <w:r>
              <w:rPr>
                <w:rFonts w:ascii="Calibri" w:cs="Calibri" w:eastAsia="Calibri" w:hAnsi="Calibri"/>
                <w:b/>
                <w:bCs/>
                <w:color w:val="2E7D32"/>
                <w:sz w:val="14"/>
                <w:szCs w:val="14"/>
              </w:rPr>
              <w:t xml:space="preserve">  nouveau v5.0.0</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Composante commerciale / hôtelière sans preneur engagé = Oui</w:t>
            </w:r>
          </w:p>
        </w:tc>
        <w:tc>
          <w:tcPr>
            <w:tcW w:type="dxa" w:w="1250"/>
            <w:shd w:fill="F2F5FB" w:color="auto" w:val="clear"/>
            <w:tcMar>
              <w:top w:type="dxa" w:w="40"/>
              <w:left w:type="dxa" w:w="80"/>
              <w:bottom w:type="dxa" w:w="40"/>
              <w:right w:type="dxa" w:w="80"/>
            </w:tcMar>
          </w:tcPr>
          <w:p>
            <w:pPr>
              <w:spacing w:after="0" w:line="240"/>
            </w:pPr>
            <w:r>
              <w:rPr>
                <w:rFonts w:ascii="Calibri" w:cs="Calibri" w:eastAsia="Calibri" w:hAnsi="Calibri"/>
                <w:b/>
                <w:bCs/>
                <w:color w:val="595959"/>
                <w:sz w:val="18"/>
                <w:szCs w:val="18"/>
              </w:rPr>
              <w:t xml:space="preserve">Moyenne</w:t>
            </w:r>
          </w:p>
        </w:tc>
        <w:tc>
          <w:tcPr>
            <w:tcW w:type="dxa" w:w="12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−10</w:t>
            </w:r>
          </w:p>
        </w:tc>
        <w:tc>
          <w:tcPr>
            <w:tcW w:type="dxa" w:w="95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Hypothèse économique</w:t>
            </w:r>
          </w:p>
          <w:p>
            <w:pPr>
              <w:spacing w:after="0" w:line="240"/>
            </w:pPr>
            <w:r>
              <w:rPr>
                <w:rFonts w:ascii="Calibri" w:cs="Calibri" w:eastAsia="Calibri" w:hAnsi="Calibri"/>
                <w:i/>
                <w:iCs/>
                <w:color w:val="595959"/>
                <w:sz w:val="15"/>
                <w:szCs w:val="15"/>
              </w:rPr>
              <w:t xml:space="preserve">Programme mixte — liquidité des composantes non résidentielles</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7"/>
                <w:szCs w:val="17"/>
              </w:rPr>
              <w:t xml:space="preserve">Plan de tirage en retard sur le calendrier</w:t>
            </w:r>
          </w:p>
          <w:p>
            <w:pPr>
              <w:spacing w:after="0" w:line="240"/>
            </w:pPr>
            <w:r>
              <w:rPr>
                <w:rFonts w:ascii="Calibri" w:cs="Calibri" w:eastAsia="Calibri" w:hAnsi="Calibri"/>
                <w:color w:val="595959"/>
                <w:sz w:val="14"/>
                <w:szCs w:val="14"/>
              </w:rPr>
              <w:t xml:space="preserve">RF_PLAN_TIRAGE_RETARD</w:t>
            </w:r>
            <w:r>
              <w:rPr>
                <w:rFonts w:ascii="Calibri" w:cs="Calibri" w:eastAsia="Calibri" w:hAnsi="Calibri"/>
                <w:b/>
                <w:bCs/>
                <w:color w:val="2E7D32"/>
                <w:sz w:val="14"/>
                <w:szCs w:val="14"/>
              </w:rPr>
              <w:t xml:space="preserve">  nouveau v5.0.0</w:t>
            </w:r>
          </w:p>
        </w:tc>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Plan de tirage en retard = Oui</w:t>
            </w:r>
          </w:p>
        </w:tc>
        <w:tc>
          <w:tcPr>
            <w:tcW w:type="dxa" w:w="1250"/>
            <w:tcMar>
              <w:top w:type="dxa" w:w="40"/>
              <w:left w:type="dxa" w:w="80"/>
              <w:bottom w:type="dxa" w:w="40"/>
              <w:right w:type="dxa" w:w="80"/>
            </w:tcMar>
          </w:tcPr>
          <w:p>
            <w:pPr>
              <w:spacing w:after="0" w:line="240"/>
            </w:pPr>
            <w:r>
              <w:rPr>
                <w:rFonts w:ascii="Calibri" w:cs="Calibri" w:eastAsia="Calibri" w:hAnsi="Calibri"/>
                <w:b/>
                <w:bCs/>
                <w:color w:val="595959"/>
                <w:sz w:val="18"/>
                <w:szCs w:val="18"/>
              </w:rPr>
              <w:t xml:space="preserve">Moyenne</w:t>
            </w:r>
          </w:p>
        </w:tc>
        <w:tc>
          <w:tcPr>
            <w:tcW w:type="dxa" w:w="125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−5</w:t>
            </w:r>
          </w:p>
        </w:tc>
        <w:tc>
          <w:tcPr>
            <w:tcW w:type="dxa" w:w="950"/>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8"/>
                <w:szCs w:val="18"/>
              </w:rPr>
              <w:t xml:space="preserve">—</w:t>
            </w:r>
          </w:p>
        </w:tc>
        <w:tc>
          <w:tcPr>
            <w:tcW w:type="dxa" w:w="1988"/>
            <w:tcMar>
              <w:top w:type="dxa" w:w="40"/>
              <w:left w:type="dxa" w:w="80"/>
              <w:bottom w:type="dxa" w:w="40"/>
              <w:right w:type="dxa" w:w="80"/>
            </w:tcMar>
          </w:tcPr>
          <w:p>
            <w:pPr>
              <w:spacing w:after="0" w:line="240"/>
            </w:pPr>
            <w:r>
              <w:rPr>
                <w:rFonts w:ascii="Calibri" w:cs="Calibri" w:eastAsia="Calibri" w:hAnsi="Calibri"/>
                <w:sz w:val="16"/>
                <w:szCs w:val="16"/>
              </w:rPr>
              <w:t xml:space="preserve">Surveillance / tirage</w:t>
            </w:r>
          </w:p>
          <w:p>
            <w:pPr>
              <w:spacing w:after="0" w:line="240"/>
            </w:pPr>
            <w:r>
              <w:rPr>
                <w:rFonts w:ascii="Calibri" w:cs="Calibri" w:eastAsia="Calibri" w:hAnsi="Calibri"/>
                <w:i/>
                <w:iCs/>
                <w:color w:val="595959"/>
                <w:sz w:val="15"/>
                <w:szCs w:val="15"/>
              </w:rPr>
              <w:t xml:space="preserve">Planning des déblocages du business plan</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Limite de division des risques dépassée</w:t>
            </w:r>
          </w:p>
          <w:p>
            <w:pPr>
              <w:spacing w:after="0" w:line="240"/>
            </w:pPr>
            <w:r>
              <w:rPr>
                <w:rFonts w:ascii="Calibri" w:cs="Calibri" w:eastAsia="Calibri" w:hAnsi="Calibri"/>
                <w:color w:val="595959"/>
                <w:sz w:val="14"/>
                <w:szCs w:val="14"/>
              </w:rPr>
              <w:t xml:space="preserve">RF_DIVISION_RISQUES</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Limite de division des risques dépassée = Oui</w:t>
            </w:r>
          </w:p>
        </w:tc>
        <w:tc>
          <w:tcPr>
            <w:tcW w:type="dxa" w:w="1250"/>
            <w:shd w:fill="F2F5FB" w:color="auto" w:val="clear"/>
            <w:tcMar>
              <w:top w:type="dxa" w:w="40"/>
              <w:left w:type="dxa" w:w="80"/>
              <w:bottom w:type="dxa" w:w="40"/>
              <w:right w:type="dxa" w:w="80"/>
            </w:tcMar>
          </w:tcPr>
          <w:p>
            <w:pPr>
              <w:spacing w:after="0" w:line="240"/>
            </w:pPr>
            <w:r>
              <w:rPr>
                <w:rFonts w:ascii="Calibri" w:cs="Calibri" w:eastAsia="Calibri" w:hAnsi="Calibri"/>
                <w:b/>
                <w:bCs/>
                <w:color w:val="595959"/>
                <w:sz w:val="18"/>
                <w:szCs w:val="18"/>
              </w:rPr>
              <w:t xml:space="preserve">Moyenne</w:t>
            </w:r>
          </w:p>
        </w:tc>
        <w:tc>
          <w:tcPr>
            <w:tcW w:type="dxa" w:w="12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0</w:t>
            </w:r>
          </w:p>
        </w:tc>
        <w:tc>
          <w:tcPr>
            <w:tcW w:type="dxa" w:w="95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Oui</w:t>
            </w:r>
          </w:p>
        </w:tc>
        <w:tc>
          <w:tcPr>
            <w:tcW w:type="dxa" w:w="1988"/>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Réglementaire</w:t>
            </w:r>
          </w:p>
          <w:p>
            <w:pPr>
              <w:spacing w:after="0" w:line="240"/>
            </w:pPr>
            <w:r>
              <w:rPr>
                <w:rFonts w:ascii="Calibri" w:cs="Calibri" w:eastAsia="Calibri" w:hAnsi="Calibri"/>
                <w:i/>
                <w:iCs/>
                <w:color w:val="595959"/>
                <w:sz w:val="15"/>
                <w:szCs w:val="15"/>
              </w:rPr>
              <w:t xml:space="preserve">Division des risques — limite par contrepartie / groupe d'intérêt</w:t>
            </w:r>
          </w:p>
        </w:tc>
      </w:tr>
    </w:tbl>
    <w:p>
      <w:r>
        <w:br w:type="page"/>
      </w:r>
    </w:p>
    <w:p>
      <w:pPr>
        <w:pStyle w:val="Heading1"/>
      </w:pPr>
      <w:r>
        <w:t xml:space="preserve">8. Coefficient réglementaire BAM et ajustements territoriaux</w:t>
      </w:r>
    </w:p>
    <w:p>
      <w:pPr>
        <w:pStyle w:val="Heading2"/>
        <w:keepNext/>
      </w:pPr>
      <w:r>
        <w:t xml:space="preserve">Coefficient par classe réglementaire</w:t>
      </w:r>
    </w:p>
    <w:p>
      <w:pPr>
        <w:spacing w:after="120" w:before="0" w:line="276"/>
      </w:pPr>
      <w:r>
        <w:rPr>
          <w:rFonts w:ascii="Calibri" w:cs="Calibri" w:eastAsia="Calibri" w:hAnsi="Calibri"/>
          <w:sz w:val="21"/>
          <w:szCs w:val="21"/>
        </w:rPr>
        <w:t xml:space="preserve">Le score après pénalités est multiplié par le coefficient de la classe réglementaire (circulaires 19/G/2002 et 1/W). Une classe en défaut (pré-douteuse, douteuse, compromise, contentieux) impose en outre une décision NO_GO.</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4000"/>
        <w:gridCol w:w="2000"/>
        <w:gridCol w:w="3638"/>
      </w:tblGrid>
      <w:tr>
        <w:trPr>
          <w:cantSplit/>
          <w:tblHeader/>
        </w:trPr>
        <w:tc>
          <w:tcPr>
            <w:tcW w:type="dxa" w:w="4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Classe</w:t>
            </w:r>
          </w:p>
        </w:tc>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Coefficient</w:t>
            </w:r>
          </w:p>
        </w:tc>
        <w:tc>
          <w:tcPr>
            <w:tcW w:type="dxa" w:w="36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Effet sur un score de 80</w:t>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bCs/>
                <w:sz w:val="18"/>
                <w:szCs w:val="18"/>
              </w:rPr>
              <w:t xml:space="preserve">Saine</w:t>
            </w:r>
          </w:p>
        </w:tc>
        <w:tc>
          <w:tcPr>
            <w:tcW w:type="dxa" w:w="20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1</w:t>
            </w:r>
          </w:p>
        </w:tc>
        <w:tc>
          <w:tcPr>
            <w:tcW w:type="dxa" w:w="3638"/>
            <w:tcMar>
              <w:top w:type="dxa" w:w="40"/>
              <w:left w:type="dxa" w:w="80"/>
              <w:bottom w:type="dxa" w:w="40"/>
              <w:right w:type="dxa" w:w="80"/>
            </w:tcMar>
          </w:tcPr>
          <w:p>
            <w:pPr>
              <w:spacing w:after="0" w:line="240"/>
              <w:jc w:val="center"/>
            </w:pPr>
            <w:r>
              <w:rPr>
                <w:rFonts w:ascii="Calibri" w:cs="Calibri" w:eastAsia="Calibri" w:hAnsi="Calibri"/>
                <w:sz w:val="18"/>
                <w:szCs w:val="18"/>
              </w:rPr>
              <w:t xml:space="preserve">80</w:t>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Sensible (surveillance)</w:t>
            </w:r>
          </w:p>
        </w:tc>
        <w:tc>
          <w:tcPr>
            <w:tcW w:type="dxa" w:w="20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0,9</w:t>
            </w:r>
          </w:p>
        </w:tc>
        <w:tc>
          <w:tcPr>
            <w:tcW w:type="dxa" w:w="36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72</w:t>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bCs/>
                <w:sz w:val="18"/>
                <w:szCs w:val="18"/>
              </w:rPr>
              <w:t xml:space="preserve">Pré-douteuse</w:t>
            </w:r>
          </w:p>
        </w:tc>
        <w:tc>
          <w:tcPr>
            <w:tcW w:type="dxa" w:w="20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0,7</w:t>
            </w:r>
          </w:p>
        </w:tc>
        <w:tc>
          <w:tcPr>
            <w:tcW w:type="dxa" w:w="3638"/>
            <w:tcMar>
              <w:top w:type="dxa" w:w="40"/>
              <w:left w:type="dxa" w:w="80"/>
              <w:bottom w:type="dxa" w:w="40"/>
              <w:right w:type="dxa" w:w="80"/>
            </w:tcMar>
          </w:tcPr>
          <w:p>
            <w:pPr>
              <w:spacing w:after="0" w:line="240"/>
              <w:jc w:val="center"/>
            </w:pPr>
            <w:r>
              <w:rPr>
                <w:rFonts w:ascii="Calibri" w:cs="Calibri" w:eastAsia="Calibri" w:hAnsi="Calibri"/>
                <w:sz w:val="18"/>
                <w:szCs w:val="18"/>
              </w:rPr>
              <w:t xml:space="preserve">56</w:t>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Douteuse</w:t>
            </w:r>
          </w:p>
        </w:tc>
        <w:tc>
          <w:tcPr>
            <w:tcW w:type="dxa" w:w="20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0,4</w:t>
            </w:r>
          </w:p>
        </w:tc>
        <w:tc>
          <w:tcPr>
            <w:tcW w:type="dxa" w:w="36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32</w:t>
            </w:r>
          </w:p>
        </w:tc>
      </w:tr>
      <w:tr>
        <w:trPr>
          <w:cantSplit/>
        </w:trPr>
        <w:tc>
          <w:tcPr>
            <w:tcW w:type="dxa" w:w="4000"/>
            <w:tcMar>
              <w:top w:type="dxa" w:w="40"/>
              <w:left w:type="dxa" w:w="80"/>
              <w:bottom w:type="dxa" w:w="40"/>
              <w:right w:type="dxa" w:w="80"/>
            </w:tcMar>
          </w:tcPr>
          <w:p>
            <w:pPr>
              <w:spacing w:after="0" w:line="240"/>
            </w:pPr>
            <w:r>
              <w:rPr>
                <w:rFonts w:ascii="Calibri" w:cs="Calibri" w:eastAsia="Calibri" w:hAnsi="Calibri"/>
                <w:b/>
                <w:bCs/>
                <w:sz w:val="18"/>
                <w:szCs w:val="18"/>
              </w:rPr>
              <w:t xml:space="preserve">Compromise</w:t>
            </w:r>
          </w:p>
        </w:tc>
        <w:tc>
          <w:tcPr>
            <w:tcW w:type="dxa" w:w="20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0,2</w:t>
            </w:r>
          </w:p>
        </w:tc>
        <w:tc>
          <w:tcPr>
            <w:tcW w:type="dxa" w:w="36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16</w:t>
            </w:r>
          </w:p>
        </w:tc>
      </w:tr>
      <w:tr>
        <w:trPr>
          <w:cantSplit/>
        </w:trPr>
        <w:tc>
          <w:tcPr>
            <w:tcW w:type="dxa" w:w="40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Contentieux</w:t>
            </w:r>
          </w:p>
        </w:tc>
        <w:tc>
          <w:tcPr>
            <w:tcW w:type="dxa" w:w="20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0</w:t>
            </w:r>
          </w:p>
        </w:tc>
        <w:tc>
          <w:tcPr>
            <w:tcW w:type="dxa" w:w="36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0</w:t>
            </w:r>
          </w:p>
        </w:tc>
      </w:tr>
    </w:tbl>
    <w:p>
      <w:pPr>
        <w:pStyle w:val="Heading2"/>
        <w:keepNext/>
      </w:pPr>
      <w:r>
        <w:t xml:space="preserve">Ajustement par segment (α) et par zone (β)</w:t>
      </w:r>
    </w:p>
    <w:p>
      <w:pPr>
        <w:spacing w:after="120" w:before="0" w:line="276"/>
      </w:pPr>
      <w:r>
        <w:rPr>
          <w:rFonts w:ascii="Calibri" w:cs="Calibri" w:eastAsia="Calibri" w:hAnsi="Calibri"/>
          <w:sz w:val="21"/>
          <w:szCs w:val="21"/>
        </w:rPr>
        <w:t xml:space="preserve">S_ajusté = S_éco × (1 + α + β). Ces coefficients ne sont pas encore étayés par une analyse de micro-marché : l'application les signale et permet de comparer le score avec et sans coefficients.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900"/>
        <w:gridCol w:w="1500"/>
        <w:gridCol w:w="3238"/>
        <w:gridCol w:w="2000"/>
      </w:tblGrid>
      <w:tr>
        <w:trPr>
          <w:cantSplit/>
          <w:tblHeader/>
        </w:trPr>
        <w:tc>
          <w:tcPr>
            <w:tcW w:type="dxa" w:w="2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Segment</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α</w:t>
            </w:r>
          </w:p>
        </w:tc>
        <w:tc>
          <w:tcPr>
            <w:tcW w:type="dxa" w:w="3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Zone</w:t>
            </w:r>
          </w:p>
        </w:tc>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β</w:t>
            </w:r>
          </w:p>
        </w:tc>
      </w:tr>
      <w:tr>
        <w:trPr>
          <w:cantSplit/>
        </w:trPr>
        <w:tc>
          <w:tcPr>
            <w:tcW w:type="dxa" w:w="2900"/>
            <w:tcMar>
              <w:top w:type="dxa" w:w="40"/>
              <w:left w:type="dxa" w:w="80"/>
              <w:bottom w:type="dxa" w:w="40"/>
              <w:right w:type="dxa" w:w="80"/>
            </w:tcMar>
          </w:tcPr>
          <w:p>
            <w:pPr>
              <w:spacing w:after="0" w:line="240"/>
            </w:pPr>
            <w:r>
              <w:rPr>
                <w:rFonts w:ascii="Calibri" w:cs="Calibri" w:eastAsia="Calibri" w:hAnsi="Calibri"/>
                <w:sz w:val="18"/>
                <w:szCs w:val="18"/>
              </w:rPr>
              <w:t xml:space="preserve">Logement social</w:t>
            </w:r>
          </w:p>
        </w:tc>
        <w:tc>
          <w:tcPr>
            <w:tcW w:type="dxa" w:w="1500"/>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0 %</w:t>
            </w:r>
          </w:p>
        </w:tc>
        <w:tc>
          <w:tcPr>
            <w:tcW w:type="dxa" w:w="3238"/>
            <w:tcMar>
              <w:top w:type="dxa" w:w="40"/>
              <w:left w:type="dxa" w:w="80"/>
              <w:bottom w:type="dxa" w:w="40"/>
              <w:right w:type="dxa" w:w="80"/>
            </w:tcMar>
          </w:tcPr>
          <w:p>
            <w:pPr>
              <w:spacing w:after="0" w:line="240"/>
            </w:pPr>
            <w:r>
              <w:rPr>
                <w:rFonts w:ascii="Calibri" w:cs="Calibri" w:eastAsia="Calibri" w:hAnsi="Calibri"/>
                <w:sz w:val="18"/>
                <w:szCs w:val="18"/>
              </w:rPr>
              <w:t xml:space="preserve">Agadir</w:t>
            </w:r>
          </w:p>
        </w:tc>
        <w:tc>
          <w:tcPr>
            <w:tcW w:type="dxa" w:w="2000"/>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0 %</w:t>
            </w:r>
          </w:p>
        </w:tc>
      </w:tr>
      <w:tr>
        <w:trPr>
          <w:cantSplit/>
        </w:trPr>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Villas</w:t>
            </w:r>
          </w:p>
        </w:tc>
        <w:tc>
          <w:tcPr>
            <w:tcW w:type="dxa" w:w="15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−4 %</w:t>
            </w:r>
          </w:p>
        </w:tc>
        <w:tc>
          <w:tcPr>
            <w:tcW w:type="dxa" w:w="3238"/>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Tanger</w:t>
            </w:r>
          </w:p>
        </w:tc>
        <w:tc>
          <w:tcPr>
            <w:tcW w:type="dxa" w:w="2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0 %</w:t>
            </w:r>
          </w:p>
        </w:tc>
      </w:tr>
      <w:tr>
        <w:trPr>
          <w:cantSplit/>
        </w:trPr>
        <w:tc>
          <w:tcPr>
            <w:tcW w:type="dxa" w:w="2900"/>
            <w:tcMar>
              <w:top w:type="dxa" w:w="40"/>
              <w:left w:type="dxa" w:w="80"/>
              <w:bottom w:type="dxa" w:w="40"/>
              <w:right w:type="dxa" w:w="80"/>
            </w:tcMar>
          </w:tcPr>
          <w:p>
            <w:pPr>
              <w:spacing w:after="0" w:line="240"/>
            </w:pPr>
            <w:r>
              <w:rPr>
                <w:rFonts w:ascii="Calibri" w:cs="Calibri" w:eastAsia="Calibri" w:hAnsi="Calibri"/>
                <w:sz w:val="18"/>
                <w:szCs w:val="18"/>
              </w:rPr>
              <w:t xml:space="preserve">Bureaux</w:t>
            </w:r>
          </w:p>
        </w:tc>
        <w:tc>
          <w:tcPr>
            <w:tcW w:type="dxa" w:w="150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−5 %</w:t>
            </w:r>
          </w:p>
        </w:tc>
        <w:tc>
          <w:tcPr>
            <w:tcW w:type="dxa" w:w="3238"/>
            <w:tcMar>
              <w:top w:type="dxa" w:w="40"/>
              <w:left w:type="dxa" w:w="80"/>
              <w:bottom w:type="dxa" w:w="40"/>
              <w:right w:type="dxa" w:w="80"/>
            </w:tcMar>
          </w:tcPr>
          <w:p>
            <w:pPr>
              <w:spacing w:after="0" w:line="240"/>
            </w:pPr>
            <w:r>
              <w:rPr>
                <w:rFonts w:ascii="Calibri" w:cs="Calibri" w:eastAsia="Calibri" w:hAnsi="Calibri"/>
                <w:sz w:val="18"/>
                <w:szCs w:val="18"/>
              </w:rPr>
              <w:t xml:space="preserve">Marrakech</w:t>
            </w:r>
          </w:p>
        </w:tc>
        <w:tc>
          <w:tcPr>
            <w:tcW w:type="dxa" w:w="200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−7 %</w:t>
            </w:r>
          </w:p>
        </w:tc>
      </w:tr>
      <w:tr>
        <w:trPr>
          <w:cantSplit/>
        </w:trPr>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Commerces</w:t>
            </w:r>
          </w:p>
        </w:tc>
        <w:tc>
          <w:tcPr>
            <w:tcW w:type="dxa" w:w="15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−3 %</w:t>
            </w:r>
          </w:p>
        </w:tc>
        <w:tc>
          <w:tcPr>
            <w:tcW w:type="dxa" w:w="3238"/>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Casablanca — centre</w:t>
            </w:r>
          </w:p>
        </w:tc>
        <w:tc>
          <w:tcPr>
            <w:tcW w:type="dxa" w:w="2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0 %</w:t>
            </w:r>
          </w:p>
        </w:tc>
      </w:tr>
      <w:tr>
        <w:trPr>
          <w:cantSplit/>
        </w:trPr>
        <w:tc>
          <w:tcPr>
            <w:tcW w:type="dxa" w:w="2900"/>
            <w:tcMar>
              <w:top w:type="dxa" w:w="40"/>
              <w:left w:type="dxa" w:w="80"/>
              <w:bottom w:type="dxa" w:w="40"/>
              <w:right w:type="dxa" w:w="80"/>
            </w:tcMar>
          </w:tcPr>
          <w:p>
            <w:pPr>
              <w:spacing w:after="0" w:line="240"/>
            </w:pPr>
            <w:r>
              <w:rPr>
                <w:rFonts w:ascii="Calibri" w:cs="Calibri" w:eastAsia="Calibri" w:hAnsi="Calibri"/>
                <w:sz w:val="18"/>
                <w:szCs w:val="18"/>
              </w:rPr>
              <w:t xml:space="preserve">Moyen-haut standing</w:t>
            </w:r>
          </w:p>
        </w:tc>
        <w:tc>
          <w:tcPr>
            <w:tcW w:type="dxa" w:w="1500"/>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0 %</w:t>
            </w:r>
          </w:p>
        </w:tc>
        <w:tc>
          <w:tcPr>
            <w:tcW w:type="dxa" w:w="3238"/>
            <w:tcMar>
              <w:top w:type="dxa" w:w="40"/>
              <w:left w:type="dxa" w:w="80"/>
              <w:bottom w:type="dxa" w:w="40"/>
              <w:right w:type="dxa" w:w="80"/>
            </w:tcMar>
          </w:tcPr>
          <w:p>
            <w:pPr>
              <w:spacing w:after="0" w:line="240"/>
            </w:pPr>
            <w:r>
              <w:rPr>
                <w:rFonts w:ascii="Calibri" w:cs="Calibri" w:eastAsia="Calibri" w:hAnsi="Calibri"/>
                <w:sz w:val="18"/>
                <w:szCs w:val="18"/>
              </w:rPr>
              <w:t xml:space="preserve">Fès / Oriental</w:t>
            </w:r>
          </w:p>
        </w:tc>
        <w:tc>
          <w:tcPr>
            <w:tcW w:type="dxa" w:w="200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−3 %</w:t>
            </w:r>
          </w:p>
        </w:tc>
      </w:tr>
      <w:tr>
        <w:trPr>
          <w:cantSplit/>
        </w:trPr>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Touristique / hôtelier</w:t>
            </w:r>
          </w:p>
        </w:tc>
        <w:tc>
          <w:tcPr>
            <w:tcW w:type="dxa" w:w="15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−7 %</w:t>
            </w:r>
          </w:p>
        </w:tc>
        <w:tc>
          <w:tcPr>
            <w:tcW w:type="dxa" w:w="3238"/>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Rabat — centre</w:t>
            </w:r>
          </w:p>
        </w:tc>
        <w:tc>
          <w:tcPr>
            <w:tcW w:type="dxa" w:w="2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18"/>
                <w:szCs w:val="18"/>
              </w:rPr>
              <w:t xml:space="preserve">+2 %</w:t>
            </w:r>
          </w:p>
        </w:tc>
      </w:tr>
      <w:tr>
        <w:trPr>
          <w:cantSplit/>
        </w:trPr>
        <w:tc>
          <w:tcPr>
            <w:tcW w:type="dxa" w:w="2900"/>
            <w:tcMar>
              <w:top w:type="dxa" w:w="40"/>
              <w:left w:type="dxa" w:w="80"/>
              <w:bottom w:type="dxa" w:w="40"/>
              <w:right w:type="dxa" w:w="80"/>
            </w:tcMar>
          </w:tcPr>
          <w:p>
            <w:pPr>
              <w:spacing w:after="0" w:line="240"/>
            </w:pPr>
            <w:r>
              <w:rPr>
                <w:rFonts w:ascii="Calibri" w:cs="Calibri" w:eastAsia="Calibri" w:hAnsi="Calibri"/>
                <w:sz w:val="18"/>
                <w:szCs w:val="18"/>
              </w:rPr>
              <w:t xml:space="preserve">Logement intermédiaire</w:t>
            </w:r>
          </w:p>
        </w:tc>
        <w:tc>
          <w:tcPr>
            <w:tcW w:type="dxa" w:w="150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−5 %</w:t>
            </w:r>
          </w:p>
        </w:tc>
        <w:tc>
          <w:tcPr>
            <w:tcW w:type="dxa" w:w="3238"/>
            <w:tcMar>
              <w:top w:type="dxa" w:w="40"/>
              <w:left w:type="dxa" w:w="80"/>
              <w:bottom w:type="dxa" w:w="40"/>
              <w:right w:type="dxa" w:w="80"/>
            </w:tcMar>
          </w:tcPr>
          <w:p>
            <w:pPr>
              <w:spacing w:after="0" w:line="240"/>
            </w:pPr>
            <w:r>
              <w:rPr>
                <w:rFonts w:ascii="Calibri" w:cs="Calibri" w:eastAsia="Calibri" w:hAnsi="Calibri"/>
                <w:sz w:val="18"/>
                <w:szCs w:val="18"/>
              </w:rPr>
              <w:t xml:space="preserve">Casablanca — périphérie</w:t>
            </w:r>
          </w:p>
        </w:tc>
        <w:tc>
          <w:tcPr>
            <w:tcW w:type="dxa" w:w="200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−5 %</w:t>
            </w:r>
          </w:p>
        </w:tc>
      </w:tr>
      <w:tr>
        <w:trPr>
          <w:cantSplit/>
        </w:trPr>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
            </w:r>
          </w:p>
        </w:tc>
        <w:tc>
          <w:tcPr>
            <w:tcW w:type="dxa" w:w="15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
            </w:r>
          </w:p>
        </w:tc>
        <w:tc>
          <w:tcPr>
            <w:tcW w:type="dxa" w:w="3238"/>
            <w:shd w:fill="F2F5FB"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Rabat — périphérie</w:t>
            </w:r>
          </w:p>
        </w:tc>
        <w:tc>
          <w:tcPr>
            <w:tcW w:type="dxa" w:w="2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0 %</w:t>
            </w:r>
          </w:p>
        </w:tc>
      </w:tr>
      <w:tr>
        <w:trPr>
          <w:cantSplit/>
        </w:trPr>
        <w:tc>
          <w:tcPr>
            <w:tcW w:type="dxa" w:w="2900"/>
            <w:tcMar>
              <w:top w:type="dxa" w:w="40"/>
              <w:left w:type="dxa" w:w="80"/>
              <w:bottom w:type="dxa" w:w="40"/>
              <w:right w:type="dxa" w:w="80"/>
            </w:tcMar>
          </w:tcPr>
          <w:p>
            <w:pPr>
              <w:spacing w:after="0" w:line="240"/>
            </w:pPr>
            <w:r>
              <w:rPr>
                <w:rFonts w:ascii="Calibri" w:cs="Calibri" w:eastAsia="Calibri" w:hAnsi="Calibri"/>
                <w:sz w:val="18"/>
                <w:szCs w:val="18"/>
              </w:rPr>
              <w:t xml:space="preserve"/>
            </w:r>
          </w:p>
        </w:tc>
        <w:tc>
          <w:tcPr>
            <w:tcW w:type="dxa" w:w="1500"/>
            <w:tcMar>
              <w:top w:type="dxa" w:w="40"/>
              <w:left w:type="dxa" w:w="80"/>
              <w:bottom w:type="dxa" w:w="40"/>
              <w:right w:type="dxa" w:w="80"/>
            </w:tcMar>
          </w:tcPr>
          <w:p>
            <w:pPr>
              <w:spacing w:after="0" w:line="240"/>
              <w:jc w:val="center"/>
            </w:pPr>
            <w:r>
              <w:rPr>
                <w:rFonts w:ascii="Calibri" w:cs="Calibri" w:eastAsia="Calibri" w:hAnsi="Calibri"/>
                <w:b/>
                <w:bCs/>
                <w:color w:val="595959"/>
                <w:sz w:val="18"/>
                <w:szCs w:val="18"/>
              </w:rPr>
              <w:t xml:space="preserve"/>
            </w:r>
          </w:p>
        </w:tc>
        <w:tc>
          <w:tcPr>
            <w:tcW w:type="dxa" w:w="3238"/>
            <w:tcMar>
              <w:top w:type="dxa" w:w="40"/>
              <w:left w:type="dxa" w:w="80"/>
              <w:bottom w:type="dxa" w:w="40"/>
              <w:right w:type="dxa" w:w="80"/>
            </w:tcMar>
          </w:tcPr>
          <w:p>
            <w:pPr>
              <w:spacing w:after="0" w:line="240"/>
            </w:pPr>
            <w:r>
              <w:rPr>
                <w:rFonts w:ascii="Calibri" w:cs="Calibri" w:eastAsia="Calibri" w:hAnsi="Calibri"/>
                <w:sz w:val="18"/>
                <w:szCs w:val="18"/>
              </w:rPr>
              <w:t xml:space="preserve">Régions intérieures</w:t>
            </w:r>
          </w:p>
        </w:tc>
        <w:tc>
          <w:tcPr>
            <w:tcW w:type="dxa" w:w="2000"/>
            <w:tcMar>
              <w:top w:type="dxa" w:w="40"/>
              <w:left w:type="dxa" w:w="80"/>
              <w:bottom w:type="dxa" w:w="40"/>
              <w:right w:type="dxa" w:w="80"/>
            </w:tcMar>
          </w:tcPr>
          <w:p>
            <w:pPr>
              <w:spacing w:after="0" w:line="240"/>
              <w:jc w:val="center"/>
            </w:pPr>
            <w:r>
              <w:rPr>
                <w:rFonts w:ascii="Calibri" w:cs="Calibri" w:eastAsia="Calibri" w:hAnsi="Calibri"/>
                <w:b/>
                <w:bCs/>
                <w:color w:val="C00000"/>
                <w:sz w:val="18"/>
                <w:szCs w:val="18"/>
              </w:rPr>
              <w:t xml:space="preserve">−5 %</w:t>
            </w:r>
          </w:p>
        </w:tc>
      </w:tr>
    </w:tbl>
    <w:p>
      <w:r>
        <w:br w:type="page"/>
      </w:r>
    </w:p>
    <w:p>
      <w:pPr>
        <w:pStyle w:val="Heading1"/>
      </w:pPr>
      <w:r>
        <w:t xml:space="preserve">9. Décision</w:t>
      </w:r>
    </w:p>
    <w:p>
      <w:pPr>
        <w:pStyle w:val="Heading2"/>
        <w:keepNext/>
      </w:pPr>
      <w:r>
        <w:t xml:space="preserve">Hiérarchie des verrous</w:t>
      </w:r>
    </w:p>
    <w:p>
      <w:pPr>
        <w:spacing w:after="120" w:before="0" w:line="276"/>
      </w:pPr>
      <w:r>
        <w:rPr>
          <w:rFonts w:ascii="Calibri" w:cs="Calibri" w:eastAsia="Calibri" w:hAnsi="Calibri"/>
          <w:sz w:val="21"/>
          <w:szCs w:val="21"/>
        </w:rPr>
        <w:t xml:space="preserve">Les situations suivantes sont examinées dans cet ordre ; la première qui s'applique décide. Les seuils de score n'interviennent qu'en dernier.</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1000"/>
        <w:gridCol w:w="4200"/>
        <w:gridCol w:w="2438"/>
        <w:gridCol w:w="2000"/>
      </w:tblGrid>
      <w:tr>
        <w:trPr>
          <w:cantSplit/>
          <w:tblHeader/>
        </w:trPr>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Priorité</w:t>
            </w:r>
          </w:p>
        </w:tc>
        <w:tc>
          <w:tcPr>
            <w:tcW w:type="dxa" w:w="4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Situation</w:t>
            </w:r>
          </w:p>
        </w:tc>
        <w:tc>
          <w:tcPr>
            <w:tcW w:type="dxa" w:w="24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Décision</w:t>
            </w:r>
          </w:p>
        </w:tc>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Classe interne</w:t>
            </w:r>
          </w:p>
        </w:tc>
      </w:tr>
      <w:tr>
        <w:trPr>
          <w:cantSplit/>
        </w:trPr>
        <w:tc>
          <w:tcPr>
            <w:tcW w:type="dxa" w:w="10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1</w:t>
            </w:r>
          </w:p>
        </w:tc>
        <w:tc>
          <w:tcPr>
            <w:tcW w:type="dxa" w:w="42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Classe contentieux (CTX)</w:t>
            </w:r>
          </w:p>
        </w:tc>
        <w:tc>
          <w:tcPr>
            <w:tcW w:type="dxa" w:w="2438"/>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NO_GO — score 0</w:t>
            </w:r>
          </w:p>
        </w:tc>
        <w:tc>
          <w:tcPr>
            <w:tcW w:type="dxa" w:w="20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Souffrance</w:t>
            </w:r>
          </w:p>
        </w:tc>
      </w:tr>
      <w:tr>
        <w:trPr>
          <w:cantSplit/>
        </w:trPr>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2</w:t>
            </w:r>
          </w:p>
        </w:tc>
        <w:tc>
          <w:tcPr>
            <w:tcW w:type="dxa" w:w="42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Alerte bloquante : impayé ≥ 90 jours, projet à l'arrêt ≥ 12 mois, contentieux</w:t>
            </w:r>
          </w:p>
        </w:tc>
        <w:tc>
          <w:tcPr>
            <w:tcW w:type="dxa" w:w="2438"/>
            <w:shd w:fill="F2F5FB" w:color="auto" w:val="clear"/>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NO_GO</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Souffrance</w:t>
            </w:r>
          </w:p>
        </w:tc>
      </w:tr>
      <w:tr>
        <w:trPr>
          <w:cantSplit/>
        </w:trPr>
        <w:tc>
          <w:tcPr>
            <w:tcW w:type="dxa" w:w="10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3</w:t>
            </w:r>
          </w:p>
        </w:tc>
        <w:tc>
          <w:tcPr>
            <w:tcW w:type="dxa" w:w="42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Classe en défaut avéré (pré-douteuse, douteuse, compromise)</w:t>
            </w:r>
          </w:p>
        </w:tc>
        <w:tc>
          <w:tcPr>
            <w:tcW w:type="dxa" w:w="2438"/>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NO_GO</w:t>
            </w:r>
          </w:p>
        </w:tc>
        <w:tc>
          <w:tcPr>
            <w:tcW w:type="dxa" w:w="20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Défaut avéré</w:t>
            </w:r>
          </w:p>
        </w:tc>
      </w:tr>
      <w:tr>
        <w:trPr>
          <w:cantSplit/>
        </w:trPr>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4</w:t>
            </w:r>
          </w:p>
        </w:tc>
        <w:tc>
          <w:tcPr>
            <w:tcW w:type="dxa" w:w="42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Donnée décisionnelle absente, ou classe réglementaire non renseignée</w:t>
            </w:r>
          </w:p>
        </w:tc>
        <w:tc>
          <w:tcPr>
            <w:tcW w:type="dxa" w:w="2438"/>
            <w:shd w:fill="F2F5FB" w:color="auto" w:val="clear"/>
            <w:tcMar>
              <w:top w:type="dxa" w:w="40"/>
              <w:left w:type="dxa" w:w="80"/>
              <w:bottom w:type="dxa" w:w="40"/>
              <w:right w:type="dxa" w:w="80"/>
            </w:tcMar>
          </w:tcPr>
          <w:p>
            <w:pPr>
              <w:spacing w:after="0" w:line="240"/>
            </w:pPr>
            <w:r>
              <w:rPr>
                <w:rFonts w:ascii="Calibri" w:cs="Calibri" w:eastAsia="Calibri" w:hAnsi="Calibri"/>
                <w:b/>
                <w:bCs/>
                <w:color w:val="595959"/>
                <w:sz w:val="18"/>
                <w:szCs w:val="18"/>
              </w:rPr>
              <w:t xml:space="preserve">DOSSIER_INCOMPLET</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Dossier incomplet</w:t>
            </w:r>
          </w:p>
        </w:tc>
      </w:tr>
      <w:tr>
        <w:trPr>
          <w:cantSplit/>
        </w:trPr>
        <w:tc>
          <w:tcPr>
            <w:tcW w:type="dxa" w:w="10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5</w:t>
            </w:r>
          </w:p>
        </w:tc>
        <w:tc>
          <w:tcPr>
            <w:tcW w:type="dxa" w:w="42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Critère éliminatoire franchi (note ≤ seuil)</w:t>
            </w:r>
          </w:p>
        </w:tc>
        <w:tc>
          <w:tcPr>
            <w:tcW w:type="dxa" w:w="2438"/>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NO_GO + condition à lever</w:t>
            </w:r>
          </w:p>
        </w:tc>
        <w:tc>
          <w:tcPr>
            <w:tcW w:type="dxa" w:w="20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selon le score</w:t>
            </w:r>
          </w:p>
        </w:tc>
      </w:tr>
      <w:tr>
        <w:trPr>
          <w:cantSplit/>
        </w:trPr>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6</w:t>
            </w:r>
          </w:p>
        </w:tc>
        <w:tc>
          <w:tcPr>
            <w:tcW w:type="dxa" w:w="42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Aucun verrou : seuils de score (ci-dessous)</w:t>
            </w:r>
          </w:p>
        </w:tc>
        <w:tc>
          <w:tcPr>
            <w:tcW w:type="dxa" w:w="2438"/>
            <w:shd w:fill="F2F5FB" w:color="auto" w:val="clear"/>
            <w:tcMar>
              <w:top w:type="dxa" w:w="40"/>
              <w:left w:type="dxa" w:w="80"/>
              <w:bottom w:type="dxa" w:w="40"/>
              <w:right w:type="dxa" w:w="80"/>
            </w:tcMar>
          </w:tcPr>
          <w:p>
            <w:pPr>
              <w:spacing w:after="0" w:line="240"/>
            </w:pPr>
            <w:r>
              <w:rPr>
                <w:rFonts w:ascii="Calibri" w:cs="Calibri" w:eastAsia="Calibri" w:hAnsi="Calibri"/>
                <w:b/>
                <w:bCs/>
                <w:color w:val="1F3864"/>
                <w:sz w:val="18"/>
                <w:szCs w:val="18"/>
              </w:rPr>
              <w:t xml:space="preserve">GO · GO sous conditions · Watch list · NO_GO</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Sain · Surveillance · Sensible probable · Sensible</w:t>
            </w:r>
          </w:p>
        </w:tc>
      </w:tr>
    </w:tbl>
    <w:p>
      <w:pPr>
        <w:pStyle w:val="Heading2"/>
        <w:keepNext/>
      </w:pPr>
      <w:r>
        <w:t xml:space="preserve">Seuils de score final</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3400"/>
        <w:gridCol w:w="3000"/>
        <w:gridCol w:w="3238"/>
      </w:tblGrid>
      <w:tr>
        <w:trPr>
          <w:cantSplit/>
          <w:tblHeader/>
        </w:trPr>
        <w:tc>
          <w:tcPr>
            <w:tcW w:type="dxa" w:w="34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Décision</w:t>
            </w:r>
          </w:p>
        </w:tc>
        <w:tc>
          <w:tcPr>
            <w:tcW w:type="dxa" w:w="3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Score final</w:t>
            </w:r>
          </w:p>
        </w:tc>
        <w:tc>
          <w:tcPr>
            <w:tcW w:type="dxa" w:w="32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Classe interne</w:t>
            </w:r>
          </w:p>
        </w:tc>
      </w:tr>
      <w:tr>
        <w:trPr>
          <w:cantSplit/>
        </w:trPr>
        <w:tc>
          <w:tcPr>
            <w:tcW w:type="dxa" w:w="3400"/>
            <w:shd w:fill="E4F2E5" w:color="auto" w:val="clear"/>
            <w:tcMar>
              <w:top w:type="dxa" w:w="40"/>
              <w:left w:type="dxa" w:w="80"/>
              <w:bottom w:type="dxa" w:w="40"/>
              <w:right w:type="dxa" w:w="80"/>
            </w:tcMar>
          </w:tcPr>
          <w:p>
            <w:pPr>
              <w:spacing w:after="0" w:line="240"/>
            </w:pPr>
            <w:r>
              <w:rPr>
                <w:rFonts w:ascii="Calibri" w:cs="Calibri" w:eastAsia="Calibri" w:hAnsi="Calibri"/>
                <w:b/>
                <w:bCs/>
                <w:color w:val="2E7D32"/>
                <w:sz w:val="18"/>
                <w:szCs w:val="18"/>
              </w:rPr>
              <w:t xml:space="preserve">GO</w:t>
            </w:r>
          </w:p>
        </w:tc>
        <w:tc>
          <w:tcPr>
            <w:tcW w:type="dxa" w:w="3000"/>
            <w:shd w:fill="E4F2E5"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 75</w:t>
            </w:r>
          </w:p>
        </w:tc>
        <w:tc>
          <w:tcPr>
            <w:tcW w:type="dxa" w:w="3238"/>
            <w:shd w:fill="E4F2E5"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Sain</w:t>
            </w:r>
          </w:p>
        </w:tc>
      </w:tr>
      <w:tr>
        <w:trPr>
          <w:cantSplit/>
        </w:trPr>
        <w:tc>
          <w:tcPr>
            <w:tcW w:type="dxa" w:w="3400"/>
            <w:shd w:fill="EEF5E1" w:color="auto" w:val="clear"/>
            <w:tcMar>
              <w:top w:type="dxa" w:w="40"/>
              <w:left w:type="dxa" w:w="80"/>
              <w:bottom w:type="dxa" w:w="40"/>
              <w:right w:type="dxa" w:w="80"/>
            </w:tcMar>
          </w:tcPr>
          <w:p>
            <w:pPr>
              <w:spacing w:after="0" w:line="240"/>
            </w:pPr>
            <w:r>
              <w:rPr>
                <w:rFonts w:ascii="Calibri" w:cs="Calibri" w:eastAsia="Calibri" w:hAnsi="Calibri"/>
                <w:b/>
                <w:bCs/>
                <w:color w:val="5F8D2B"/>
                <w:sz w:val="18"/>
                <w:szCs w:val="18"/>
              </w:rPr>
              <w:t xml:space="preserve">GO sous conditions</w:t>
            </w:r>
          </w:p>
        </w:tc>
        <w:tc>
          <w:tcPr>
            <w:tcW w:type="dxa" w:w="3000"/>
            <w:shd w:fill="EEF5E1"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 65 et &lt; 75</w:t>
            </w:r>
          </w:p>
        </w:tc>
        <w:tc>
          <w:tcPr>
            <w:tcW w:type="dxa" w:w="3238"/>
            <w:shd w:fill="EEF5E1"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Surveillance</w:t>
            </w:r>
          </w:p>
        </w:tc>
      </w:tr>
      <w:tr>
        <w:trPr>
          <w:cantSplit/>
        </w:trPr>
        <w:tc>
          <w:tcPr>
            <w:tcW w:type="dxa" w:w="3400"/>
            <w:shd w:fill="FFF1DC" w:color="auto" w:val="clear"/>
            <w:tcMar>
              <w:top w:type="dxa" w:w="40"/>
              <w:left w:type="dxa" w:w="80"/>
              <w:bottom w:type="dxa" w:w="40"/>
              <w:right w:type="dxa" w:w="80"/>
            </w:tcMar>
          </w:tcPr>
          <w:p>
            <w:pPr>
              <w:spacing w:after="0" w:line="240"/>
            </w:pPr>
            <w:r>
              <w:rPr>
                <w:rFonts w:ascii="Calibri" w:cs="Calibri" w:eastAsia="Calibri" w:hAnsi="Calibri"/>
                <w:b/>
                <w:bCs/>
                <w:color w:val="B45F06"/>
                <w:sz w:val="18"/>
                <w:szCs w:val="18"/>
              </w:rPr>
              <w:t xml:space="preserve">Watch list</w:t>
            </w:r>
          </w:p>
        </w:tc>
        <w:tc>
          <w:tcPr>
            <w:tcW w:type="dxa" w:w="3000"/>
            <w:shd w:fill="FFF1DC"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 50 et &lt; 65</w:t>
            </w:r>
          </w:p>
        </w:tc>
        <w:tc>
          <w:tcPr>
            <w:tcW w:type="dxa" w:w="3238"/>
            <w:shd w:fill="FFF1DC"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Sensible probable</w:t>
            </w:r>
          </w:p>
        </w:tc>
      </w:tr>
      <w:tr>
        <w:trPr>
          <w:cantSplit/>
        </w:trPr>
        <w:tc>
          <w:tcPr>
            <w:tcW w:type="dxa" w:w="3400"/>
            <w:shd w:fill="FBE4E1" w:color="auto" w:val="clear"/>
            <w:tcMar>
              <w:top w:type="dxa" w:w="40"/>
              <w:left w:type="dxa" w:w="80"/>
              <w:bottom w:type="dxa" w:w="40"/>
              <w:right w:type="dxa" w:w="80"/>
            </w:tcMar>
          </w:tcPr>
          <w:p>
            <w:pPr>
              <w:spacing w:after="0" w:line="240"/>
            </w:pPr>
            <w:r>
              <w:rPr>
                <w:rFonts w:ascii="Calibri" w:cs="Calibri" w:eastAsia="Calibri" w:hAnsi="Calibri"/>
                <w:b/>
                <w:bCs/>
                <w:color w:val="C00000"/>
                <w:sz w:val="18"/>
                <w:szCs w:val="18"/>
              </w:rPr>
              <w:t xml:space="preserve">NO_GO</w:t>
            </w:r>
          </w:p>
        </w:tc>
        <w:tc>
          <w:tcPr>
            <w:tcW w:type="dxa" w:w="3000"/>
            <w:shd w:fill="FBE4E1"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&lt; 50</w:t>
            </w:r>
          </w:p>
        </w:tc>
        <w:tc>
          <w:tcPr>
            <w:tcW w:type="dxa" w:w="3238"/>
            <w:shd w:fill="FBE4E1" w:color="auto" w:val="clear"/>
            <w:tcMar>
              <w:top w:type="dxa" w:w="40"/>
              <w:left w:type="dxa" w:w="80"/>
              <w:bottom w:type="dxa" w:w="40"/>
              <w:right w:type="dxa" w:w="80"/>
            </w:tcMar>
          </w:tcPr>
          <w:p>
            <w:pPr>
              <w:spacing w:after="0" w:line="240"/>
            </w:pPr>
            <w:r>
              <w:rPr>
                <w:rFonts w:ascii="Calibri" w:cs="Calibri" w:eastAsia="Calibri" w:hAnsi="Calibri"/>
                <w:sz w:val="18"/>
                <w:szCs w:val="18"/>
              </w:rPr>
              <w:t xml:space="preserve">Sensible</w:t>
            </w:r>
          </w:p>
        </w:tc>
      </w:tr>
    </w:tbl>
    <w:p>
      <w:pPr>
        <w:spacing w:after="60" w:before="0" w:line="276"/>
      </w:pPr>
      <w:r>
        <w:rPr>
          <w:rFonts w:ascii="Calibri" w:cs="Calibri" w:eastAsia="Calibri" w:hAnsi="Calibri"/>
          <w:sz w:val="21"/>
          <w:szCs w:val="21"/>
        </w:rPr>
        <w:t xml:space="preserve"/>
      </w:r>
    </w:p>
    <w:tbl>
      <w:tblPr>
        <w:tblW w:type="dxa" w:w="9638"/>
        <w:tblBorders>
          <w:top w:val="single" w:color="B45F06" w:sz="4"/>
          <w:left w:val="single" w:color="B45F06" w:sz="4"/>
          <w:bottom w:val="single" w:color="B45F06" w:sz="4"/>
          <w:right w:val="single" w:color="B45F06" w:sz="4"/>
          <w:insideH w:val="none"/>
          <w:insideV w:val="none"/>
        </w:tblBorders>
      </w:tblPr>
      <w:tblGrid>
        <w:gridCol w:w="9638"/>
      </w:tblGrid>
      <w:tr>
        <w:trPr>
          <w:cantSplit/>
        </w:trPr>
        <w:tc>
          <w:tcPr>
            <w:tcW w:type="dxa" w:w="9638"/>
            <w:shd w:fill="FFF4E5" w:color="auto" w:val="clear"/>
            <w:tcMar>
              <w:top w:type="dxa" w:w="100"/>
              <w:left w:type="dxa" w:w="160"/>
              <w:bottom w:type="dxa" w:w="100"/>
              <w:right w:type="dxa" w:w="160"/>
            </w:tcMar>
          </w:tcPr>
          <w:p>
            <w:pPr>
              <w:spacing w:after="40"/>
            </w:pPr>
            <w:r>
              <w:rPr>
                <w:rFonts w:ascii="Calibri" w:cs="Calibri" w:eastAsia="Calibri" w:hAnsi="Calibri"/>
                <w:b/>
                <w:bCs/>
                <w:color w:val="B45F06"/>
                <w:sz w:val="21"/>
                <w:szCs w:val="21"/>
              </w:rPr>
              <w:t xml:space="preserve">PD indicative</w:t>
            </w:r>
          </w:p>
          <w:p>
            <w:pPr>
              <w:spacing w:after="0" w:line="276"/>
            </w:pPr>
            <w:r>
              <w:rPr>
                <w:rFonts w:ascii="Calibri" w:cs="Calibri" w:eastAsia="Calibri" w:hAnsi="Calibri"/>
                <w:sz w:val="21"/>
                <w:szCs w:val="21"/>
              </w:rPr>
              <w:t xml:space="preserve">Une probabilité de défaut indicative est déduite du score : PD = 1 / (1 + e^−(2,223 − 0,0802 × score final)). Elle n'est pas calibrée sur l'historique de la banque : elle ne sert ni au provisionnement, ni aux pertes attendues, ni au capital.</w:t>
            </w:r>
          </w:p>
        </w:tc>
      </w:tr>
    </w:tbl>
    <w:p>
      <w:r>
        <w:br w:type="page"/>
      </w:r>
    </w:p>
    <w:p>
      <w:pPr>
        <w:pStyle w:val="Heading1"/>
      </w:pPr>
      <w:r>
        <w:t xml:space="preserve">10. Exemple chiffré</w:t>
      </w:r>
    </w:p>
    <w:p>
      <w:pPr>
        <w:spacing w:after="120" w:before="0" w:line="276"/>
      </w:pPr>
      <w:r>
        <w:rPr>
          <w:rFonts w:ascii="Calibri" w:cs="Calibri" w:eastAsia="Calibri" w:hAnsi="Calibri"/>
          <w:sz w:val="21"/>
          <w:szCs w:val="21"/>
        </w:rPr>
        <w:t xml:space="preserve">Dossier de démonstration (cas de référence T06 des autotests : trésorerie tendue) : segment non renseigné, zone non renseignée, classe réglementaire saine. Les scores de domaine ci-dessous ont été recalculés ici et vérifiés identiques à ceux du moteur de l'application.</w:t>
      </w:r>
    </w:p>
    <w:p>
      <w:pPr>
        <w:pStyle w:val="Heading2"/>
        <w:keepNext/>
      </w:pPr>
      <w:r>
        <w:t xml:space="preserve">D1 — Sponsor &amp; Gouvernance : score 100</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4300"/>
        <w:gridCol w:w="1600"/>
        <w:gridCol w:w="900"/>
        <w:gridCol w:w="1000"/>
        <w:gridCol w:w="1838"/>
      </w:tblGrid>
      <w:tr>
        <w:trPr>
          <w:cantSplit/>
          <w:tblHeader/>
        </w:trPr>
        <w:tc>
          <w:tcPr>
            <w:tcW w:type="dxa" w:w="4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Critère</w:t>
            </w:r>
          </w:p>
        </w:tc>
        <w:tc>
          <w:tcPr>
            <w:tcW w:type="dxa" w:w="1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w:t>
            </w:r>
          </w:p>
        </w:tc>
        <w:tc>
          <w:tcPr>
            <w:tcW w:type="dxa" w:w="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w:t>
            </w:r>
          </w:p>
        </w:tc>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w:t>
            </w:r>
          </w:p>
        </w:tc>
        <w:tc>
          <w:tcPr>
            <w:tcW w:type="dxa" w:w="18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 poids</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D1C1 Projets similaires livrés (5 ans)</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8</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2</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D1C2 Gearing promoteur (dettes nettes / FP)</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85</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25 %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2,5</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D1C3 Gouvernance &amp; structure juridique</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claire</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D1C4 Concentration mono-projet (CA projet / CA total)</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35</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D1C5 Typologie promoteur</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structure</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D1C6 Apport effectif (injecté / prévu)</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r>
    </w:tbl>
    <w:p>
      <w:pPr>
        <w:spacing w:after="120" w:before="60" w:line="276"/>
      </w:pPr>
      <w:r>
        <w:rPr>
          <w:rFonts w:ascii="Calibri" w:cs="Calibri" w:eastAsia="Calibri" w:hAnsi="Calibri"/>
          <w:i/>
          <w:iCs/>
          <w:sz w:val="19"/>
          <w:szCs w:val="19"/>
        </w:rPr>
        <w:t xml:space="preserve">Score du domaine = (10 ÷ 1) ÷ 10 × 100 = 100</w:t>
      </w:r>
    </w:p>
    <w:p>
      <w:pPr>
        <w:pStyle w:val="Heading2"/>
        <w:keepNext/>
      </w:pPr>
      <w:r>
        <w:t xml:space="preserve">D2 — Qualité intrinsèque du projet : score 100</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4300"/>
        <w:gridCol w:w="1600"/>
        <w:gridCol w:w="900"/>
        <w:gridCol w:w="1000"/>
        <w:gridCol w:w="1838"/>
      </w:tblGrid>
      <w:tr>
        <w:trPr>
          <w:cantSplit/>
          <w:tblHeader/>
        </w:trPr>
        <w:tc>
          <w:tcPr>
            <w:tcW w:type="dxa" w:w="4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Critère</w:t>
            </w:r>
          </w:p>
        </w:tc>
        <w:tc>
          <w:tcPr>
            <w:tcW w:type="dxa" w:w="1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w:t>
            </w:r>
          </w:p>
        </w:tc>
        <w:tc>
          <w:tcPr>
            <w:tcW w:type="dxa" w:w="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w:t>
            </w:r>
          </w:p>
        </w:tc>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w:t>
            </w:r>
          </w:p>
        </w:tc>
        <w:tc>
          <w:tcPr>
            <w:tcW w:type="dxa" w:w="18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 poids</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D2C1 Foncier &amp; autorisations</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definitives</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D2C2 Marché &amp; positionnement</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aligne</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D2C3 Complexité technique</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standard</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D2C4 Avancement vs planning</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D2C5 Litiges clients / SAV</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faible</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0,5</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D2C6 Sensibilité macro / subvention</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faible</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0,5</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D2C7 Coût foncier / CA</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22</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0,5</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D2C8 Chaîne d'autorisations (complétude)</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D2C9 Tension du marché régional</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porteur</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D2C10 Entreprise de travaux et garanties de marché</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qualifiee_garantie</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D2C11 Équipements exigés non budgétés (% du coût)</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0</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0,5</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D2C12 Autonomie du périmètre financé (tranche)</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programme_entier</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0,5</w:t>
            </w:r>
          </w:p>
        </w:tc>
      </w:tr>
    </w:tbl>
    <w:p>
      <w:pPr>
        <w:spacing w:after="120" w:before="60" w:line="276"/>
      </w:pPr>
      <w:r>
        <w:rPr>
          <w:rFonts w:ascii="Calibri" w:cs="Calibri" w:eastAsia="Calibri" w:hAnsi="Calibri"/>
          <w:i/>
          <w:iCs/>
          <w:sz w:val="19"/>
          <w:szCs w:val="19"/>
        </w:rPr>
        <w:t xml:space="preserve">Score du domaine = (10 ÷ 1) ÷ 10 × 100 = 100</w:t>
      </w:r>
    </w:p>
    <w:p>
      <w:pPr>
        <w:pStyle w:val="Heading2"/>
        <w:keepNext/>
      </w:pPr>
      <w:r>
        <w:t xml:space="preserve">D3 — Commercial &amp; Cash-flow : score 82</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4300"/>
        <w:gridCol w:w="1600"/>
        <w:gridCol w:w="900"/>
        <w:gridCol w:w="1000"/>
        <w:gridCol w:w="1838"/>
      </w:tblGrid>
      <w:tr>
        <w:trPr>
          <w:cantSplit/>
          <w:tblHeader/>
        </w:trPr>
        <w:tc>
          <w:tcPr>
            <w:tcW w:type="dxa" w:w="4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Critère</w:t>
            </w:r>
          </w:p>
        </w:tc>
        <w:tc>
          <w:tcPr>
            <w:tcW w:type="dxa" w:w="1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w:t>
            </w:r>
          </w:p>
        </w:tc>
        <w:tc>
          <w:tcPr>
            <w:tcW w:type="dxa" w:w="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w:t>
            </w:r>
          </w:p>
        </w:tc>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w:t>
            </w:r>
          </w:p>
        </w:tc>
        <w:tc>
          <w:tcPr>
            <w:tcW w:type="dxa" w:w="18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 poids</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D3C1 Préventes sécurisées (encaissées / CA)</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62</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D3C2 Ventes vs planning</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100</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D3C3 DSO (jours)</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90</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0,5</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D3C4 Cash coverage (cash / échéances)</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0,99</w:t>
            </w:r>
          </w:p>
        </w:tc>
        <w:tc>
          <w:tcPr>
            <w:tcW w:type="dxa" w:w="900"/>
            <w:shd w:fill="FBE4E1"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20"/>
                <w:szCs w:val="20"/>
              </w:rPr>
              <w:t xml:space="preserve">1</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20 %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0,2</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D3C5 Impasse brute</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0</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D3C6 Rotation stock (mois)</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16</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0,5</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D3C7 Marge brute stressée (prix -10%)</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18</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D3C8 Ventes sécurisées (financement acquéreur)</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55</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0,5</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D3C9 Part du CA en produits à écoulement lent</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0,5</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D3C10 Taux de désistement des réservations</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bl>
    <w:p>
      <w:pPr>
        <w:spacing w:after="120" w:before="60" w:line="276"/>
      </w:pPr>
      <w:r>
        <w:rPr>
          <w:rFonts w:ascii="Calibri" w:cs="Calibri" w:eastAsia="Calibri" w:hAnsi="Calibri"/>
          <w:i/>
          <w:iCs/>
          <w:sz w:val="19"/>
          <w:szCs w:val="19"/>
        </w:rPr>
        <w:t xml:space="preserve">Score du domaine = (8,2 ÷ 1) ÷ 10 × 100 = 82</w:t>
      </w:r>
    </w:p>
    <w:p>
      <w:pPr>
        <w:pStyle w:val="Heading2"/>
        <w:keepNext/>
      </w:pPr>
      <w:r>
        <w:t xml:space="preserve">D4 — Structuration financière &amp; LGD : score 96</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4300"/>
        <w:gridCol w:w="1600"/>
        <w:gridCol w:w="900"/>
        <w:gridCol w:w="1000"/>
        <w:gridCol w:w="1838"/>
      </w:tblGrid>
      <w:tr>
        <w:trPr>
          <w:cantSplit/>
          <w:tblHeader/>
        </w:trPr>
        <w:tc>
          <w:tcPr>
            <w:tcW w:type="dxa" w:w="4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Critère</w:t>
            </w:r>
          </w:p>
        </w:tc>
        <w:tc>
          <w:tcPr>
            <w:tcW w:type="dxa" w:w="1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Valeur</w:t>
            </w:r>
          </w:p>
        </w:tc>
        <w:tc>
          <w:tcPr>
            <w:tcW w:type="dxa" w:w="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w:t>
            </w:r>
          </w:p>
        </w:tc>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w:t>
            </w:r>
          </w:p>
        </w:tc>
        <w:tc>
          <w:tcPr>
            <w:tcW w:type="dxa" w:w="18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Note × poids</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D4C1 Marge brute (CA - coûts directs)/CA</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27</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15 %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1,5</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D4C2 LTC (dette / coût total)</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61</w:t>
            </w:r>
          </w:p>
        </w:tc>
        <w:tc>
          <w:tcPr>
            <w:tcW w:type="dxa" w:w="900"/>
            <w:shd w:fill="FFF1DC" w:color="auto" w:val="clear"/>
            <w:tcMar>
              <w:top w:type="dxa" w:w="40"/>
              <w:left w:type="dxa" w:w="80"/>
              <w:bottom w:type="dxa" w:w="40"/>
              <w:right w:type="dxa" w:w="80"/>
            </w:tcMar>
          </w:tcPr>
          <w:p>
            <w:pPr>
              <w:spacing w:after="0" w:line="240"/>
              <w:jc w:val="center"/>
            </w:pPr>
            <w:r>
              <w:rPr>
                <w:rFonts w:ascii="Calibri" w:cs="Calibri" w:eastAsia="Calibri" w:hAnsi="Calibri"/>
                <w:b/>
                <w:bCs/>
                <w:color w:val="B45F06"/>
                <w:sz w:val="20"/>
                <w:szCs w:val="20"/>
              </w:rPr>
              <w:t xml:space="preserve">6</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0,6</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D4C3 LTV stressée (dette / valeur×0,90)</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65</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2</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D4C4 Couverture garanties réalisable</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125</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D4C5 Rang bancaire 1er rang</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oui</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D4C6 Interest coverage (EBITDA / charges fin.)</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3,2</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D4C7 Quotité de désengagement vs équilibre</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5 %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0,5</w:t>
            </w:r>
          </w:p>
        </w:tc>
      </w:tr>
      <w:tr>
        <w:trPr>
          <w:cantSplit/>
        </w:trPr>
        <w:tc>
          <w:tcPr>
            <w:tcW w:type="dxa" w:w="4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D4C8 Déblocages vs avancement certifié</w:t>
            </w:r>
          </w:p>
        </w:tc>
        <w:tc>
          <w:tcPr>
            <w:tcW w:type="dxa" w:w="16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98</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r>
        <w:trPr>
          <w:cantSplit/>
        </w:trPr>
        <w:tc>
          <w:tcPr>
            <w:tcW w:type="dxa" w:w="4300"/>
            <w:tcMar>
              <w:top w:type="dxa" w:w="40"/>
              <w:left w:type="dxa" w:w="80"/>
              <w:bottom w:type="dxa" w:w="40"/>
              <w:right w:type="dxa" w:w="80"/>
            </w:tcMar>
          </w:tcPr>
          <w:p>
            <w:pPr>
              <w:spacing w:after="0" w:line="240"/>
            </w:pPr>
            <w:r>
              <w:rPr>
                <w:rFonts w:ascii="Calibri" w:cs="Calibri" w:eastAsia="Calibri" w:hAnsi="Calibri"/>
                <w:sz w:val="16"/>
                <w:szCs w:val="16"/>
              </w:rPr>
              <w:t xml:space="preserve">D4C9 Dépassement du coût à terminaison</w:t>
            </w:r>
          </w:p>
        </w:tc>
        <w:tc>
          <w:tcPr>
            <w:tcW w:type="dxa" w:w="1600"/>
            <w:tcMar>
              <w:top w:type="dxa" w:w="40"/>
              <w:left w:type="dxa" w:w="80"/>
              <w:bottom w:type="dxa" w:w="40"/>
              <w:right w:type="dxa" w:w="80"/>
            </w:tcMar>
          </w:tcPr>
          <w:p>
            <w:pPr>
              <w:spacing w:after="0" w:line="240"/>
              <w:jc w:val="center"/>
            </w:pPr>
            <w:r>
              <w:rPr>
                <w:rFonts w:ascii="Calibri" w:cs="Calibri" w:eastAsia="Calibri" w:hAnsi="Calibri"/>
                <w:sz w:val="18"/>
                <w:szCs w:val="18"/>
              </w:rPr>
              <w:t xml:space="preserve">2</w:t>
            </w:r>
          </w:p>
        </w:tc>
        <w:tc>
          <w:tcPr>
            <w:tcW w:type="dxa" w:w="900"/>
            <w:shd w:fill="E4F2E5" w:color="auto" w:val="clear"/>
            <w:tcMar>
              <w:top w:type="dxa" w:w="40"/>
              <w:left w:type="dxa" w:w="80"/>
              <w:bottom w:type="dxa" w:w="40"/>
              <w:right w:type="dxa" w:w="80"/>
            </w:tcMar>
          </w:tcPr>
          <w:p>
            <w:pPr>
              <w:spacing w:after="0" w:line="240"/>
              <w:jc w:val="center"/>
            </w:pPr>
            <w:r>
              <w:rPr>
                <w:rFonts w:ascii="Calibri" w:cs="Calibri" w:eastAsia="Calibri" w:hAnsi="Calibri"/>
                <w:b/>
                <w:bCs/>
                <w:color w:val="2E7D32"/>
                <w:sz w:val="20"/>
                <w:szCs w:val="20"/>
              </w:rPr>
              <w:t xml:space="preserve">10</w:t>
            </w:r>
          </w:p>
        </w:tc>
        <w:tc>
          <w:tcPr>
            <w:tcW w:type="dxa" w:w="1000"/>
            <w:tcMar>
              <w:top w:type="dxa" w:w="40"/>
              <w:left w:type="dxa" w:w="80"/>
              <w:bottom w:type="dxa" w:w="40"/>
              <w:right w:type="dxa" w:w="80"/>
            </w:tcMar>
          </w:tcPr>
          <w:p>
            <w:pPr>
              <w:spacing w:after="0" w:line="240"/>
              <w:jc w:val="center"/>
            </w:pPr>
            <w:r>
              <w:rPr>
                <w:rFonts w:ascii="Calibri" w:cs="Calibri" w:eastAsia="Calibri" w:hAnsi="Calibri"/>
                <w:sz w:val="18"/>
                <w:szCs w:val="18"/>
              </w:rPr>
              <w:t xml:space="preserve">10 %</w:t>
            </w:r>
          </w:p>
        </w:tc>
        <w:tc>
          <w:tcPr>
            <w:tcW w:type="dxa" w:w="1838"/>
            <w:tcMar>
              <w:top w:type="dxa" w:w="40"/>
              <w:left w:type="dxa" w:w="80"/>
              <w:bottom w:type="dxa" w:w="40"/>
              <w:right w:type="dxa" w:w="80"/>
            </w:tcMar>
          </w:tcPr>
          <w:p>
            <w:pPr>
              <w:spacing w:after="0" w:line="240"/>
              <w:jc w:val="center"/>
            </w:pPr>
            <w:r>
              <w:rPr>
                <w:rFonts w:ascii="Calibri" w:cs="Calibri" w:eastAsia="Calibri" w:hAnsi="Calibri"/>
                <w:sz w:val="18"/>
                <w:szCs w:val="18"/>
              </w:rPr>
              <w:t xml:space="preserve">1</w:t>
            </w:r>
          </w:p>
        </w:tc>
      </w:tr>
    </w:tbl>
    <w:p>
      <w:pPr>
        <w:spacing w:after="120" w:before="60" w:line="276"/>
      </w:pPr>
      <w:r>
        <w:rPr>
          <w:rFonts w:ascii="Calibri" w:cs="Calibri" w:eastAsia="Calibri" w:hAnsi="Calibri"/>
          <w:i/>
          <w:iCs/>
          <w:sz w:val="19"/>
          <w:szCs w:val="19"/>
        </w:rPr>
        <w:t xml:space="preserve">Score du domaine = (9,6 ÷ 1) ÷ 10 × 100 = 96</w:t>
      </w:r>
    </w:p>
    <w:p>
      <w:pPr>
        <w:pStyle w:val="Heading2"/>
        <w:keepNext/>
      </w:pPr>
      <w:r>
        <w:t xml:space="preserve">Du score de domaine à la décision</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200"/>
        <w:gridCol w:w="4938"/>
        <w:gridCol w:w="2500"/>
      </w:tblGrid>
      <w:tr>
        <w:trPr>
          <w:cantSplit/>
          <w:tblHeader/>
        </w:trPr>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Étape</w:t>
            </w:r>
          </w:p>
        </w:tc>
        <w:tc>
          <w:tcPr>
            <w:tcW w:type="dxa" w:w="49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Calcul</w:t>
            </w:r>
          </w:p>
        </w:tc>
        <w:tc>
          <w:tcPr>
            <w:tcW w:type="dxa" w:w="2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Résultat</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8"/>
                <w:szCs w:val="18"/>
              </w:rPr>
              <w:t xml:space="preserve">Score économique</w:t>
            </w:r>
          </w:p>
        </w:tc>
        <w:tc>
          <w:tcPr>
            <w:tcW w:type="dxa" w:w="49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0,25 × 100 + 0,2 × 100 + 0,31 × 82 + 0,24 × 96</w:t>
            </w:r>
          </w:p>
        </w:tc>
        <w:tc>
          <w:tcPr>
            <w:tcW w:type="dxa" w:w="25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93,46</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Ajustement</w:t>
            </w:r>
          </w:p>
        </w:tc>
        <w:tc>
          <w:tcPr>
            <w:tcW w:type="dxa" w:w="49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aucun segment ni zone renseigné : α = β = 0, aucun ajustement</w:t>
            </w:r>
          </w:p>
        </w:tc>
        <w:tc>
          <w:tcPr>
            <w:tcW w:type="dxa" w:w="25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93,46</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8"/>
                <w:szCs w:val="18"/>
              </w:rPr>
              <w:t xml:space="preserve">Malus des alertes</w:t>
            </w:r>
          </w:p>
        </w:tc>
        <w:tc>
          <w:tcPr>
            <w:tcW w:type="dxa" w:w="49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RF_CASH_LT_ECH</w:t>
            </w:r>
          </w:p>
        </w:tc>
        <w:tc>
          <w:tcPr>
            <w:tcW w:type="dxa" w:w="25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− 25</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Après pénalités</w:t>
            </w:r>
          </w:p>
        </w:tc>
        <w:tc>
          <w:tcPr>
            <w:tcW w:type="dxa" w:w="49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
            </w:r>
          </w:p>
        </w:tc>
        <w:tc>
          <w:tcPr>
            <w:tcW w:type="dxa" w:w="25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68,46</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8"/>
                <w:szCs w:val="18"/>
              </w:rPr>
              <w:t xml:space="preserve">Coefficient BAM</w:t>
            </w:r>
          </w:p>
        </w:tc>
        <w:tc>
          <w:tcPr>
            <w:tcW w:type="dxa" w:w="49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classe saine</w:t>
            </w:r>
          </w:p>
        </w:tc>
        <w:tc>
          <w:tcPr>
            <w:tcW w:type="dxa" w:w="25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 1</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Score final</w:t>
            </w:r>
          </w:p>
        </w:tc>
        <w:tc>
          <w:tcPr>
            <w:tcW w:type="dxa" w:w="49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
            </w:r>
          </w:p>
        </w:tc>
        <w:tc>
          <w:tcPr>
            <w:tcW w:type="dxa" w:w="25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68,46</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b/>
                <w:bCs/>
                <w:sz w:val="18"/>
                <w:szCs w:val="18"/>
              </w:rPr>
              <w:t xml:space="preserve">Décision</w:t>
            </w:r>
          </w:p>
        </w:tc>
        <w:tc>
          <w:tcPr>
            <w:tcW w:type="dxa" w:w="4938"/>
            <w:tcMar>
              <w:top w:type="dxa" w:w="40"/>
              <w:left w:type="dxa" w:w="80"/>
              <w:bottom w:type="dxa" w:w="40"/>
              <w:right w:type="dxa" w:w="80"/>
            </w:tcMar>
          </w:tcPr>
          <w:p>
            <w:pPr>
              <w:spacing w:after="0" w:line="240"/>
            </w:pPr>
            <w:r>
              <w:rPr>
                <w:rFonts w:ascii="Calibri" w:cs="Calibri" w:eastAsia="Calibri" w:hAnsi="Calibri"/>
                <w:b/>
                <w:bCs/>
                <w:sz w:val="18"/>
                <w:szCs w:val="18"/>
              </w:rPr>
              <w:t xml:space="preserve">68,46 ≥ 65 et &lt; 75</w:t>
            </w:r>
          </w:p>
        </w:tc>
        <w:tc>
          <w:tcPr>
            <w:tcW w:type="dxa" w:w="25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GO_WITH_CONDITIONS — Surveillance</w:t>
            </w:r>
          </w:p>
        </w:tc>
      </w:tr>
    </w:tbl>
    <w:p>
      <w:r>
        <w:br w:type="page"/>
      </w:r>
    </w:p>
    <w:p>
      <w:pPr>
        <w:pStyle w:val="Heading1"/>
      </w:pPr>
      <w:r>
        <w:t xml:space="preserve">11. Données décisionnelles, notes plancher et jalons</w:t>
      </w:r>
    </w:p>
    <w:p>
      <w:pPr>
        <w:spacing w:after="120" w:before="0" w:line="276"/>
      </w:pPr>
      <w:r>
        <w:rPr>
          <w:rFonts w:ascii="Calibri" w:cs="Calibri" w:eastAsia="Calibri" w:hAnsi="Calibri"/>
          <w:sz w:val="21"/>
          <w:szCs w:val="21"/>
        </w:rPr>
        <w:t xml:space="preserve">Données dont l'absence rend le dossier « incomplet » (aucune décision officielle possible) :</w:t>
      </w:r>
    </w:p>
    <w:p>
      <w:pPr>
        <w:pStyle w:val="ListParagraph"/>
        <w:numPr>
          <w:ilvl w:val="0"/>
          <w:numId w:val="2"/>
        </w:numPr>
        <w:spacing w:after="60" w:line="276"/>
      </w:pPr>
      <w:r>
        <w:rPr>
          <w:rFonts w:ascii="Calibri" w:cs="Calibri" w:eastAsia="Calibri" w:hAnsi="Calibri"/>
          <w:b/>
          <w:bCs/>
          <w:sz w:val="21"/>
          <w:szCs w:val="21"/>
        </w:rPr>
        <w:t xml:space="preserve">Retard de paiement (jours)</w:t>
      </w:r>
      <w:r>
        <w:rPr>
          <w:rFonts w:ascii="Calibri" w:cs="Calibri" w:eastAsia="Calibri" w:hAnsi="Calibri"/>
          <w:color w:val="595959"/>
          <w:sz w:val="18"/>
          <w:szCs w:val="18"/>
        </w:rPr>
        <w:t xml:space="preserve">  (dpd_days)</w:t>
      </w:r>
    </w:p>
    <w:p>
      <w:pPr>
        <w:pStyle w:val="ListParagraph"/>
        <w:numPr>
          <w:ilvl w:val="0"/>
          <w:numId w:val="2"/>
        </w:numPr>
        <w:spacing w:after="60" w:line="276"/>
      </w:pPr>
      <w:r>
        <w:rPr>
          <w:rFonts w:ascii="Calibri" w:cs="Calibri" w:eastAsia="Calibri" w:hAnsi="Calibri"/>
          <w:b/>
          <w:bCs/>
          <w:sz w:val="21"/>
          <w:szCs w:val="21"/>
        </w:rPr>
        <w:t xml:space="preserve">Cash coverage (x)</w:t>
      </w:r>
      <w:r>
        <w:rPr>
          <w:rFonts w:ascii="Calibri" w:cs="Calibri" w:eastAsia="Calibri" w:hAnsi="Calibri"/>
          <w:color w:val="595959"/>
          <w:sz w:val="18"/>
          <w:szCs w:val="18"/>
        </w:rPr>
        <w:t xml:space="preserve">  (cash_coverage)</w:t>
      </w:r>
    </w:p>
    <w:p>
      <w:pPr>
        <w:pStyle w:val="ListParagraph"/>
        <w:numPr>
          <w:ilvl w:val="0"/>
          <w:numId w:val="2"/>
        </w:numPr>
        <w:spacing w:after="60" w:line="276"/>
      </w:pPr>
      <w:r>
        <w:rPr>
          <w:rFonts w:ascii="Calibri" w:cs="Calibri" w:eastAsia="Calibri" w:hAnsi="Calibri"/>
          <w:b/>
          <w:bCs/>
          <w:sz w:val="21"/>
          <w:szCs w:val="21"/>
        </w:rPr>
        <w:t xml:space="preserve">Arrêt du projet (mois)</w:t>
      </w:r>
      <w:r>
        <w:rPr>
          <w:rFonts w:ascii="Calibri" w:cs="Calibri" w:eastAsia="Calibri" w:hAnsi="Calibri"/>
          <w:color w:val="595959"/>
          <w:sz w:val="18"/>
          <w:szCs w:val="18"/>
        </w:rPr>
        <w:t xml:space="preserve">  (project_stopped_months)</w:t>
      </w:r>
    </w:p>
    <w:p>
      <w:pPr>
        <w:pStyle w:val="ListParagraph"/>
        <w:numPr>
          <w:ilvl w:val="0"/>
          <w:numId w:val="2"/>
        </w:numPr>
        <w:spacing w:after="60" w:line="276"/>
      </w:pPr>
      <w:r>
        <w:rPr>
          <w:rFonts w:ascii="Calibri" w:cs="Calibri" w:eastAsia="Calibri" w:hAnsi="Calibri"/>
          <w:b/>
          <w:bCs/>
          <w:sz w:val="21"/>
          <w:szCs w:val="21"/>
        </w:rPr>
        <w:t xml:space="preserve">Retard chantier (mois)</w:t>
      </w:r>
      <w:r>
        <w:rPr>
          <w:rFonts w:ascii="Calibri" w:cs="Calibri" w:eastAsia="Calibri" w:hAnsi="Calibri"/>
          <w:color w:val="595959"/>
          <w:sz w:val="18"/>
          <w:szCs w:val="18"/>
        </w:rPr>
        <w:t xml:space="preserve">  (construction_delay_months)</w:t>
      </w:r>
    </w:p>
    <w:p>
      <w:pPr>
        <w:pStyle w:val="ListParagraph"/>
        <w:numPr>
          <w:ilvl w:val="0"/>
          <w:numId w:val="2"/>
        </w:numPr>
        <w:spacing w:after="60" w:line="276"/>
      </w:pPr>
      <w:r>
        <w:rPr>
          <w:rFonts w:ascii="Calibri" w:cs="Calibri" w:eastAsia="Calibri" w:hAnsi="Calibri"/>
          <w:b/>
          <w:bCs/>
          <w:sz w:val="21"/>
          <w:szCs w:val="21"/>
        </w:rPr>
        <w:t xml:space="preserve">Apport effectif injecté / prévu (%)</w:t>
      </w:r>
      <w:r>
        <w:rPr>
          <w:rFonts w:ascii="Calibri" w:cs="Calibri" w:eastAsia="Calibri" w:hAnsi="Calibri"/>
          <w:color w:val="595959"/>
          <w:sz w:val="18"/>
          <w:szCs w:val="18"/>
        </w:rPr>
        <w:t xml:space="preserve">  (equity_injected_ratio)</w:t>
      </w:r>
    </w:p>
    <w:p>
      <w:pPr>
        <w:pStyle w:val="ListParagraph"/>
        <w:numPr>
          <w:ilvl w:val="0"/>
          <w:numId w:val="2"/>
        </w:numPr>
        <w:spacing w:after="60" w:line="276"/>
      </w:pPr>
      <w:r>
        <w:rPr>
          <w:rFonts w:ascii="Calibri" w:cs="Calibri" w:eastAsia="Calibri" w:hAnsi="Calibri"/>
          <w:b/>
          <w:bCs/>
          <w:sz w:val="21"/>
          <w:szCs w:val="21"/>
        </w:rPr>
        <w:t xml:space="preserve">Foncier &amp; autorisations</w:t>
      </w:r>
      <w:r>
        <w:rPr>
          <w:rFonts w:ascii="Calibri" w:cs="Calibri" w:eastAsia="Calibri" w:hAnsi="Calibri"/>
          <w:color w:val="595959"/>
          <w:sz w:val="18"/>
          <w:szCs w:val="18"/>
        </w:rPr>
        <w:t xml:space="preserve">  (land_permits_status)</w:t>
      </w:r>
    </w:p>
    <w:p>
      <w:pPr>
        <w:pStyle w:val="ListParagraph"/>
        <w:numPr>
          <w:ilvl w:val="0"/>
          <w:numId w:val="2"/>
        </w:numPr>
        <w:spacing w:after="60" w:line="276"/>
      </w:pPr>
      <w:r>
        <w:rPr>
          <w:rFonts w:ascii="Calibri" w:cs="Calibri" w:eastAsia="Calibri" w:hAnsi="Calibri"/>
          <w:b/>
          <w:bCs/>
          <w:sz w:val="21"/>
          <w:szCs w:val="21"/>
        </w:rPr>
        <w:t xml:space="preserve">Préventes sécurisées (%)</w:t>
      </w:r>
      <w:r>
        <w:rPr>
          <w:rFonts w:ascii="Calibri" w:cs="Calibri" w:eastAsia="Calibri" w:hAnsi="Calibri"/>
          <w:color w:val="595959"/>
          <w:sz w:val="18"/>
          <w:szCs w:val="18"/>
        </w:rPr>
        <w:t xml:space="preserve">  (pre_sale_rate)</w:t>
      </w:r>
    </w:p>
    <w:p>
      <w:pPr>
        <w:pStyle w:val="ListParagraph"/>
        <w:numPr>
          <w:ilvl w:val="0"/>
          <w:numId w:val="2"/>
        </w:numPr>
        <w:spacing w:after="60" w:line="276"/>
      </w:pPr>
      <w:r>
        <w:rPr>
          <w:rFonts w:ascii="Calibri" w:cs="Calibri" w:eastAsia="Calibri" w:hAnsi="Calibri"/>
          <w:b/>
          <w:bCs/>
          <w:sz w:val="21"/>
          <w:szCs w:val="21"/>
        </w:rPr>
        <w:t xml:space="preserve">Impasse brute (%)</w:t>
      </w:r>
      <w:r>
        <w:rPr>
          <w:rFonts w:ascii="Calibri" w:cs="Calibri" w:eastAsia="Calibri" w:hAnsi="Calibri"/>
          <w:color w:val="595959"/>
          <w:sz w:val="18"/>
          <w:szCs w:val="18"/>
        </w:rPr>
        <w:t xml:space="preserve">  (funding_gap_pct)</w:t>
      </w:r>
    </w:p>
    <w:p>
      <w:pPr>
        <w:pStyle w:val="ListParagraph"/>
        <w:numPr>
          <w:ilvl w:val="0"/>
          <w:numId w:val="2"/>
        </w:numPr>
        <w:spacing w:after="60" w:line="276"/>
      </w:pPr>
      <w:r>
        <w:rPr>
          <w:rFonts w:ascii="Calibri" w:cs="Calibri" w:eastAsia="Calibri" w:hAnsi="Calibri"/>
          <w:b/>
          <w:bCs/>
          <w:sz w:val="21"/>
          <w:szCs w:val="21"/>
        </w:rPr>
        <w:t xml:space="preserve">Marge brute (%)</w:t>
      </w:r>
      <w:r>
        <w:rPr>
          <w:rFonts w:ascii="Calibri" w:cs="Calibri" w:eastAsia="Calibri" w:hAnsi="Calibri"/>
          <w:color w:val="595959"/>
          <w:sz w:val="18"/>
          <w:szCs w:val="18"/>
        </w:rPr>
        <w:t xml:space="preserve">  (gross_margin_pct)</w:t>
      </w:r>
    </w:p>
    <w:p>
      <w:pPr>
        <w:spacing w:after="40" w:before="0" w:line="276"/>
      </w:pPr>
      <w:r>
        <w:rPr>
          <w:rFonts w:ascii="Calibri" w:cs="Calibri" w:eastAsia="Calibri" w:hAnsi="Calibri"/>
          <w:sz w:val="21"/>
          <w:szCs w:val="21"/>
        </w:rPr>
        <w:t xml:space="preserve"/>
      </w:r>
    </w:p>
    <w:p>
      <w:pPr>
        <w:pStyle w:val="Heading2"/>
        <w:keepNext/>
      </w:pPr>
      <w:r>
        <w:t xml:space="preserve">Critères éliminatoires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4200"/>
        <w:gridCol w:w="1400"/>
        <w:gridCol w:w="1500"/>
        <w:gridCol w:w="2538"/>
      </w:tblGrid>
      <w:tr>
        <w:trPr>
          <w:cantSplit/>
          <w:tblHeader/>
        </w:trPr>
        <w:tc>
          <w:tcPr>
            <w:tcW w:type="dxa" w:w="4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Critère</w:t>
            </w:r>
          </w:p>
        </w:tc>
        <w:tc>
          <w:tcPr>
            <w:tcW w:type="dxa" w:w="14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Seuil</w:t>
            </w:r>
          </w:p>
        </w:tc>
        <w:tc>
          <w:tcPr>
            <w:tcW w:type="dxa" w:w="1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Jalon</w:t>
            </w:r>
          </w:p>
        </w:tc>
        <w:tc>
          <w:tcPr>
            <w:tcW w:type="dxa" w:w="25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Effet</w:t>
            </w:r>
          </w:p>
        </w:tc>
      </w:tr>
      <w:tr>
        <w:trPr>
          <w:cantSplit/>
        </w:trPr>
        <w:tc>
          <w:tcPr>
            <w:tcW w:type="dxa" w:w="4200"/>
            <w:tcMar>
              <w:top w:type="dxa" w:w="40"/>
              <w:left w:type="dxa" w:w="80"/>
              <w:bottom w:type="dxa" w:w="40"/>
              <w:right w:type="dxa" w:w="80"/>
            </w:tcMar>
          </w:tcPr>
          <w:p>
            <w:pPr>
              <w:spacing w:after="0" w:line="240"/>
            </w:pPr>
            <w:r>
              <w:rPr>
                <w:rFonts w:ascii="Calibri" w:cs="Calibri" w:eastAsia="Calibri" w:hAnsi="Calibri"/>
                <w:b/>
                <w:bCs/>
                <w:sz w:val="18"/>
                <w:szCs w:val="18"/>
              </w:rPr>
              <w:t xml:space="preserve">D1C6 — Apport effectif (injecté / prévu)</w:t>
            </w:r>
          </w:p>
        </w:tc>
        <w:tc>
          <w:tcPr>
            <w:tcW w:type="dxa" w:w="1400"/>
            <w:tcMar>
              <w:top w:type="dxa" w:w="40"/>
              <w:left w:type="dxa" w:w="80"/>
              <w:bottom w:type="dxa" w:w="40"/>
              <w:right w:type="dxa" w:w="80"/>
            </w:tcMar>
          </w:tcPr>
          <w:p>
            <w:pPr>
              <w:spacing w:after="0" w:line="240"/>
              <w:jc w:val="center"/>
            </w:pPr>
            <w:r>
              <w:rPr>
                <w:rFonts w:ascii="Calibri" w:cs="Calibri" w:eastAsia="Calibri" w:hAnsi="Calibri"/>
                <w:sz w:val="18"/>
                <w:szCs w:val="18"/>
              </w:rPr>
              <w:t xml:space="preserve">note ≤ 1</w:t>
            </w:r>
          </w:p>
        </w:tc>
        <w:tc>
          <w:tcPr>
            <w:tcW w:type="dxa" w:w="1500"/>
            <w:tcMar>
              <w:top w:type="dxa" w:w="40"/>
              <w:left w:type="dxa" w:w="80"/>
              <w:bottom w:type="dxa" w:w="40"/>
              <w:right w:type="dxa" w:w="80"/>
            </w:tcMar>
          </w:tcPr>
          <w:p>
            <w:pPr>
              <w:spacing w:after="0" w:line="240"/>
              <w:jc w:val="center"/>
            </w:pPr>
            <w:r>
              <w:rPr>
                <w:rFonts w:ascii="Calibri" w:cs="Calibri" w:eastAsia="Calibri" w:hAnsi="Calibri"/>
                <w:sz w:val="18"/>
                <w:szCs w:val="18"/>
              </w:rPr>
              <w:t xml:space="preserve">SIGNATURE</w:t>
            </w:r>
          </w:p>
        </w:tc>
        <w:tc>
          <w:tcPr>
            <w:tcW w:type="dxa" w:w="2538"/>
            <w:tcMar>
              <w:top w:type="dxa" w:w="40"/>
              <w:left w:type="dxa" w:w="80"/>
              <w:bottom w:type="dxa" w:w="40"/>
              <w:right w:type="dxa" w:w="80"/>
            </w:tcMar>
          </w:tcPr>
          <w:p>
            <w:pPr>
              <w:spacing w:after="0" w:line="240"/>
            </w:pPr>
            <w:r>
              <w:rPr>
                <w:rFonts w:ascii="Calibri" w:cs="Calibri" w:eastAsia="Calibri" w:hAnsi="Calibri"/>
                <w:sz w:val="17"/>
                <w:szCs w:val="17"/>
              </w:rPr>
              <w:t xml:space="preserve">NO_GO + condition nommée à lever avant le jalon</w:t>
            </w:r>
          </w:p>
        </w:tc>
      </w:tr>
      <w:tr>
        <w:trPr>
          <w:cantSplit/>
        </w:trPr>
        <w:tc>
          <w:tcPr>
            <w:tcW w:type="dxa" w:w="42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D2C1 — Foncier &amp; autorisations</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note ≤ 1</w:t>
            </w:r>
          </w:p>
        </w:tc>
        <w:tc>
          <w:tcPr>
            <w:tcW w:type="dxa" w:w="1500"/>
            <w:shd w:fill="F2F5FB" w:color="auto" w:val="clear"/>
            <w:tcMar>
              <w:top w:type="dxa" w:w="40"/>
              <w:left w:type="dxa" w:w="80"/>
              <w:bottom w:type="dxa" w:w="40"/>
              <w:right w:type="dxa" w:w="80"/>
            </w:tcMar>
          </w:tcPr>
          <w:p>
            <w:pPr>
              <w:spacing w:after="0" w:line="240"/>
              <w:jc w:val="center"/>
            </w:pPr>
            <w:r>
              <w:rPr>
                <w:rFonts w:ascii="Calibri" w:cs="Calibri" w:eastAsia="Calibri" w:hAnsi="Calibri"/>
                <w:sz w:val="18"/>
                <w:szCs w:val="18"/>
              </w:rPr>
              <w:t xml:space="preserve">TIRAGE</w:t>
            </w:r>
          </w:p>
        </w:tc>
        <w:tc>
          <w:tcPr>
            <w:tcW w:type="dxa" w:w="2538"/>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NO_GO + condition nommée à lever avant le jalon</w:t>
            </w:r>
          </w:p>
        </w:tc>
      </w:tr>
    </w:tbl>
    <w:p>
      <w:pPr>
        <w:pStyle w:val="Heading2"/>
        <w:keepNext/>
      </w:pPr>
      <w:r>
        <w:t xml:space="preserve">Note économique et note de sûretés</w:t>
      </w:r>
    </w:p>
    <w:p>
      <w:pPr>
        <w:spacing w:after="120" w:before="0" w:line="276"/>
      </w:pPr>
      <w:r>
        <w:rPr>
          <w:rFonts w:ascii="Calibri" w:cs="Calibri" w:eastAsia="Calibri" w:hAnsi="Calibri"/>
          <w:sz w:val="21"/>
          <w:szCs w:val="21"/>
        </w:rPr>
        <w:t xml:space="preserve">Les critères de la famille « sûretés » : D4C3 LTV stressée (dette / valeur×0,90) ; D4C4 Couverture garanties réalisable ; D4C5 Rang bancaire 1er rang ; D4C7 Quotité de désengagement vs équilibre ; D4C8 Déblocages vs avancement certifié. La note de sûretés est la moyenne pondérée de ces critères ; la note économique, celle des autres. Elles sont affichées séparément à titre d'information ; le score final reste calculé sur l'ensemble des critères.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F2" w:sz="4" w:space="4"/>
      </w:pBdr>
      <w:spacing w:after="0"/>
      <w:jc w:val="right"/>
    </w:pPr>
    <w:r>
      <w:rPr>
        <w:rFonts w:ascii="Calibri" w:cs="Calibri" w:eastAsia="Calibri" w:hAnsi="Calibri"/>
        <w:color w:val="595959"/>
        <w:sz w:val="15"/>
        <w:szCs w:val="15"/>
      </w:rPr>
      <w:t xml:space="preserve">Grilles de scoring détaillées — PI_PROMOTION v5.0.0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1F2" w:sz="6" w:space="4"/>
      </w:pBdr>
      <w:spacing w:after="14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Grilles de scoring détaillées — PI_PROMOTION v5.0.0</dc:title>
  <dc:creator>Outil de scoring PI</dc:creator>
  <cp:lastModifiedBy>Un-named</cp:lastModifiedBy>
  <cp:revision>1</cp:revision>
  <dcterms:created xsi:type="dcterms:W3CDTF">2026-10-01T08:02:36.511Z</dcterms:created>
  <dcterms:modified xsi:type="dcterms:W3CDTF">2026-10-01T08:02:36.511Z</dcterms:modified>
</cp:coreProperties>
</file>

<file path=docProps/custom.xml><?xml version="1.0" encoding="utf-8"?>
<Properties xmlns="http://schemas.openxmlformats.org/officeDocument/2006/custom-properties" xmlns:vt="http://schemas.openxmlformats.org/officeDocument/2006/docPropsVTypes"/>
</file>