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3864"/>
          <w:sz w:val="48"/>
          <w:szCs w:val="48"/>
        </w:rPr>
        <w:t xml:space="preserve">GUIDE DU CHARGÉ D'AFFAIRES</w:t>
      </w:r>
    </w:p>
    <w:p>
      <w:pPr>
        <w:spacing w:before="80"/>
        <w:jc w:val="center"/>
      </w:pPr>
      <w:r>
        <w:rPr>
          <w:rFonts w:ascii="Calibri" w:cs="Calibri" w:eastAsia="Calibri" w:hAnsi="Calibri"/>
          <w:b/>
          <w:bCs/>
          <w:color w:val="2E5496"/>
          <w:sz w:val="34"/>
          <w:szCs w:val="34"/>
        </w:rPr>
        <w:t xml:space="preserve">Crédit à la promotion immobilière</w:t>
      </w:r>
    </w:p>
    <w:p>
      <w:pPr>
        <w:pBdr>
          <w:top w:val="single" w:color="D9E1F2" w:sz="12" w:space="8"/>
        </w:pBdr>
        <w:spacing w:before="240"/>
        <w:jc w:val="center"/>
      </w:pPr>
      <w:r>
        <w:rPr>
          <w:rFonts w:ascii="Calibri" w:cs="Calibri" w:eastAsia="Calibri" w:hAnsi="Calibri"/>
          <w:sz w:val="2"/>
          <w:szCs w:val="2"/>
        </w:rPr>
        <w:t xml:space="preserve"/>
      </w:r>
    </w:p>
    <w:p>
      <w:pPr>
        <w:spacing w:before="280"/>
        <w:jc w:val="center"/>
      </w:pPr>
      <w:r>
        <w:rPr>
          <w:rFonts w:ascii="Calibri" w:cs="Calibri" w:eastAsia="Calibri" w:hAnsi="Calibri"/>
          <w:i/>
          <w:iCs/>
          <w:color w:val="595959"/>
          <w:sz w:val="26"/>
          <w:szCs w:val="26"/>
        </w:rPr>
        <w:t xml:space="preserve">Quelles pièces réunir, où saisir chaque donnée, comment lire le résultat et suivre le dossier</w:t>
      </w:r>
    </w:p>
    <w:p>
      <w:pPr>
        <w:spacing w:before="1300"/>
        <w:jc w:val="center"/>
      </w:pPr>
      <w:r>
        <w:rPr>
          <w:rFonts w:ascii="Calibri" w:cs="Calibri" w:eastAsia="Calibri" w:hAnsi="Calibri"/>
          <w:b/>
          <w:bCs/>
          <w:color w:val="1F3864"/>
          <w:sz w:val="22"/>
          <w:szCs w:val="22"/>
        </w:rPr>
        <w:t xml:space="preserve">Modèle de scoring PI_PROMOTION v5.0.0 · outil Excel 4.1</w:t>
      </w:r>
    </w:p>
    <w:p>
      <w:pPr>
        <w:spacing w:before="40"/>
        <w:jc w:val="center"/>
      </w:pPr>
      <w:r>
        <w:rPr>
          <w:rFonts w:ascii="Calibri" w:cs="Calibri" w:eastAsia="Calibri" w:hAnsi="Calibri"/>
          <w:color w:val="595959"/>
          <w:sz w:val="20"/>
          <w:szCs w:val="20"/>
        </w:rPr>
        <w:t xml:space="preserve">1er octobre 2026</w:t>
      </w:r>
    </w:p>
    <w:p>
      <w:r>
        <w:br w:type="page"/>
      </w:r>
    </w:p>
    <w:p>
      <w:pPr>
        <w:pStyle w:val="Heading1"/>
        <w:spacing w:after="120" w:before="0" w:line="276"/>
      </w:pPr>
      <w:r>
        <w:rPr>
          <w:rFonts w:ascii="Calibri" w:cs="Calibri" w:eastAsia="Calibri" w:hAnsi="Calibri"/>
          <w:sz w:val="21"/>
          <w:szCs w:val="21"/>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L'essentiel en une page</w:t>
      </w:r>
    </w:p>
    <w:p>
      <w:pPr>
        <w:spacing w:after="120" w:before="0" w:line="276"/>
      </w:pPr>
      <w:r>
        <w:rPr>
          <w:rFonts w:ascii="Calibri" w:cs="Calibri" w:eastAsia="Calibri" w:hAnsi="Calibri"/>
          <w:sz w:val="21"/>
          <w:szCs w:val="21"/>
        </w:rPr>
        <w:t xml:space="preserve">Votre dossier est noté par le modèle PI_PROMOTION v5.0.0 : 37 critères répartis en 4 domaines, 18 alertes, puis une décision. La qualité de cette note dépend entièrement des pièces que vous réunissez et de la rigueur de la saisie.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600"/>
        <w:gridCol w:w="900"/>
        <w:gridCol w:w="6138"/>
      </w:tblGrid>
      <w:tr>
        <w:trPr>
          <w:cantSplit/>
          <w:tblHeader/>
        </w:trPr>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Domaine</w:t>
            </w:r>
          </w:p>
        </w:tc>
        <w:tc>
          <w:tcPr>
            <w:tcW w:type="dxa" w:w="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Poids</w:t>
            </w:r>
          </w:p>
        </w:tc>
        <w:tc>
          <w:tcPr>
            <w:tcW w:type="dxa" w:w="6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Ce qui est apprécié</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D1 — Sponsor &amp; Gouvernance</w:t>
            </w:r>
          </w:p>
        </w:tc>
        <w:tc>
          <w:tcPr>
            <w:tcW w:type="dxa" w:w="900"/>
            <w:tcMar>
              <w:top w:type="dxa" w:w="40"/>
              <w:left w:type="dxa" w:w="80"/>
              <w:bottom w:type="dxa" w:w="40"/>
              <w:right w:type="dxa" w:w="80"/>
            </w:tcMar>
          </w:tcPr>
          <w:p>
            <w:pPr>
              <w:spacing w:after="0" w:line="240"/>
              <w:jc w:val="center"/>
            </w:pPr>
            <w:r>
              <w:rPr>
                <w:rFonts w:ascii="Calibri" w:cs="Calibri" w:eastAsia="Calibri" w:hAnsi="Calibri"/>
                <w:sz w:val="17"/>
                <w:szCs w:val="17"/>
              </w:rPr>
              <w:t xml:space="preserve">25 %</w:t>
            </w:r>
          </w:p>
        </w:tc>
        <w:tc>
          <w:tcPr>
            <w:tcW w:type="dxa" w:w="6138"/>
            <w:tcMar>
              <w:top w:type="dxa" w:w="40"/>
              <w:left w:type="dxa" w:w="80"/>
              <w:bottom w:type="dxa" w:w="40"/>
              <w:right w:type="dxa" w:w="80"/>
            </w:tcMar>
          </w:tcPr>
          <w:p>
            <w:pPr>
              <w:spacing w:after="0" w:line="240"/>
            </w:pPr>
            <w:r>
              <w:rPr>
                <w:rFonts w:ascii="Calibri" w:cs="Calibri" w:eastAsia="Calibri" w:hAnsi="Calibri"/>
                <w:sz w:val="17"/>
                <w:szCs w:val="17"/>
              </w:rPr>
              <w:t xml:space="preserve">Projets similaires livrés (5 ans) · Gearing promoteur · Gouvernance · Concentration mono-projet · Typologie promoteur · Apport effectif injecté / prévu</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D2 — Qualité intrinsèque du projet</w:t>
            </w:r>
          </w:p>
        </w:tc>
        <w:tc>
          <w:tcPr>
            <w:tcW w:type="dxa" w:w="9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20 %</w:t>
            </w:r>
          </w:p>
        </w:tc>
        <w:tc>
          <w:tcPr>
            <w:tcW w:type="dxa" w:w="61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Foncier &amp; autorisations · Marché &amp; positionnement · Complexité technique · Avancement vs planning · Litiges clients / SAV · Sensibilité macro / subvention · Coût foncier / CA · Chaîne d'autorisations — complétude · Tension du marché régional · Entreprise de travaux et garanties de marché · Équipements exigés non budgétés (% du coût) · Autonomie du périmètre financé (tranche)</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D3 — Commercial &amp; Cash-flow</w:t>
            </w:r>
          </w:p>
        </w:tc>
        <w:tc>
          <w:tcPr>
            <w:tcW w:type="dxa" w:w="900"/>
            <w:tcMar>
              <w:top w:type="dxa" w:w="40"/>
              <w:left w:type="dxa" w:w="80"/>
              <w:bottom w:type="dxa" w:w="40"/>
              <w:right w:type="dxa" w:w="80"/>
            </w:tcMar>
          </w:tcPr>
          <w:p>
            <w:pPr>
              <w:spacing w:after="0" w:line="240"/>
              <w:jc w:val="center"/>
            </w:pPr>
            <w:r>
              <w:rPr>
                <w:rFonts w:ascii="Calibri" w:cs="Calibri" w:eastAsia="Calibri" w:hAnsi="Calibri"/>
                <w:sz w:val="17"/>
                <w:szCs w:val="17"/>
              </w:rPr>
              <w:t xml:space="preserve">31 %</w:t>
            </w:r>
          </w:p>
        </w:tc>
        <w:tc>
          <w:tcPr>
            <w:tcW w:type="dxa" w:w="6138"/>
            <w:tcMar>
              <w:top w:type="dxa" w:w="40"/>
              <w:left w:type="dxa" w:w="80"/>
              <w:bottom w:type="dxa" w:w="40"/>
              <w:right w:type="dxa" w:w="80"/>
            </w:tcMar>
          </w:tcPr>
          <w:p>
            <w:pPr>
              <w:spacing w:after="0" w:line="240"/>
            </w:pPr>
            <w:r>
              <w:rPr>
                <w:rFonts w:ascii="Calibri" w:cs="Calibri" w:eastAsia="Calibri" w:hAnsi="Calibri"/>
                <w:sz w:val="17"/>
                <w:szCs w:val="17"/>
              </w:rPr>
              <w:t xml:space="preserve">Préventes sécurisées · Ventes vs planning · DSO · Cash coverage · Impasse brute · Rotation stock · Marge stressée -10% · Ventes sécurisées par le financement acquéreur · Part du CA en commerces, bureaux, hôtel · Taux de désistement des réservations</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D4 — Structuration financière &amp; LGD</w:t>
            </w:r>
          </w:p>
        </w:tc>
        <w:tc>
          <w:tcPr>
            <w:tcW w:type="dxa" w:w="9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24 %</w:t>
            </w:r>
          </w:p>
        </w:tc>
        <w:tc>
          <w:tcPr>
            <w:tcW w:type="dxa" w:w="61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Marge brute · LTC · LTV stressée · Couverture garanties · Rang bancaire 1er rang · Interest coverage · Quotité de désengagement − équilibre · Déblocages vs avancement certifié · Dépassement du coût à terminaison</w:t>
            </w:r>
          </w:p>
        </w:tc>
      </w:tr>
    </w:tbl>
    <w:p>
      <w:pPr>
        <w:spacing w:after="60" w:before="0" w:line="276"/>
      </w:pPr>
      <w:r>
        <w:rPr>
          <w:rFonts w:ascii="Calibri" w:cs="Calibri" w:eastAsia="Calibri" w:hAnsi="Calibri"/>
          <w:sz w:val="21"/>
          <w:szCs w:val="21"/>
        </w:rPr>
        <w:t xml:space="preserve"/>
      </w:r>
    </w:p>
    <w:p>
      <w:pPr>
        <w:pStyle w:val="Heading2"/>
        <w:keepNext/>
      </w:pPr>
      <w:r>
        <w:t xml:space="preserve">Les cinq règles à retenir</w:t>
      </w:r>
    </w:p>
    <w:p>
      <w:pPr>
        <w:pStyle w:val="ListParagraph"/>
        <w:numPr>
          <w:ilvl w:val="0"/>
          <w:numId w:val="2"/>
        </w:numPr>
        <w:spacing w:after="60" w:line="276"/>
      </w:pPr>
      <w:r>
        <w:rPr>
          <w:rFonts w:ascii="Calibri" w:cs="Calibri" w:eastAsia="Calibri" w:hAnsi="Calibri"/>
          <w:b/>
          <w:bCs/>
          <w:sz w:val="21"/>
          <w:szCs w:val="21"/>
        </w:rPr>
        <w:t xml:space="preserve">Un champ vide = donnée absente. </w:t>
      </w:r>
      <w:r>
        <w:rPr>
          <w:rFonts w:ascii="Calibri" w:cs="Calibri" w:eastAsia="Calibri" w:hAnsi="Calibri"/>
          <w:sz w:val="21"/>
          <w:szCs w:val="21"/>
        </w:rPr>
        <w:t xml:space="preserve">Jamais 0, jamais « Non » par défaut. Une donnée absente reçoit la note la plus basse ; une donnée décisionnelle absente rend le dossier « Dossier incomplet ».</w:t>
      </w:r>
    </w:p>
    <w:p>
      <w:pPr>
        <w:pStyle w:val="ListParagraph"/>
        <w:numPr>
          <w:ilvl w:val="0"/>
          <w:numId w:val="2"/>
        </w:numPr>
        <w:spacing w:after="60" w:line="276"/>
      </w:pPr>
      <w:r>
        <w:rPr>
          <w:rFonts w:ascii="Calibri" w:cs="Calibri" w:eastAsia="Calibri" w:hAnsi="Calibri"/>
          <w:b/>
          <w:bCs/>
          <w:sz w:val="21"/>
          <w:szCs w:val="21"/>
        </w:rPr>
        <w:t xml:space="preserve">Chaque valeur saisie doit renvoyer à une pièce datée. </w:t>
      </w:r>
      <w:r>
        <w:rPr>
          <w:rFonts w:ascii="Calibri" w:cs="Calibri" w:eastAsia="Calibri" w:hAnsi="Calibri"/>
          <w:sz w:val="21"/>
          <w:szCs w:val="21"/>
        </w:rPr>
        <w:t xml:space="preserve">La section 5 donne, pour chaque donnée, la pièce source et la méthode de calcul.</w:t>
      </w:r>
    </w:p>
    <w:p>
      <w:pPr>
        <w:pStyle w:val="ListParagraph"/>
        <w:numPr>
          <w:ilvl w:val="0"/>
          <w:numId w:val="2"/>
        </w:numPr>
        <w:spacing w:after="60" w:line="276"/>
      </w:pPr>
      <w:r>
        <w:rPr>
          <w:rFonts w:ascii="Calibri" w:cs="Calibri" w:eastAsia="Calibri" w:hAnsi="Calibri"/>
          <w:b/>
          <w:bCs/>
          <w:sz w:val="21"/>
          <w:szCs w:val="21"/>
        </w:rPr>
        <w:t xml:space="preserve">Synchronisez avant de calculer. </w:t>
      </w:r>
      <w:r>
        <w:rPr>
          <w:rFonts w:ascii="Calibri" w:cs="Calibri" w:eastAsia="Calibri" w:hAnsi="Calibri"/>
          <w:sz w:val="21"/>
          <w:szCs w:val="21"/>
        </w:rPr>
        <w:t xml:space="preserve">Le bouton « Synchroniser vers le scoring » reporte automatiquement les données issues du suivi (ventes, autorisations, financement des acquéreurs, impayés, arrêt de chantier…).</w:t>
      </w:r>
    </w:p>
    <w:p>
      <w:pPr>
        <w:pStyle w:val="ListParagraph"/>
        <w:numPr>
          <w:ilvl w:val="0"/>
          <w:numId w:val="2"/>
        </w:numPr>
        <w:spacing w:after="60" w:line="276"/>
      </w:pPr>
      <w:r>
        <w:rPr>
          <w:rFonts w:ascii="Calibri" w:cs="Calibri" w:eastAsia="Calibri" w:hAnsi="Calibri"/>
          <w:b/>
          <w:bCs/>
          <w:sz w:val="21"/>
          <w:szCs w:val="21"/>
        </w:rPr>
        <w:t xml:space="preserve">Lisez l'encart « Lecture du résultat ». </w:t>
      </w:r>
      <w:r>
        <w:rPr>
          <w:rFonts w:ascii="Calibri" w:cs="Calibri" w:eastAsia="Calibri" w:hAnsi="Calibri"/>
          <w:sz w:val="21"/>
          <w:szCs w:val="21"/>
        </w:rPr>
        <w:t xml:space="preserve">Il liste les données manquantes, les conditions à lever et les alertes qui imposent un retour en comité.</w:t>
      </w:r>
    </w:p>
    <w:p>
      <w:pPr>
        <w:pStyle w:val="ListParagraph"/>
        <w:numPr>
          <w:ilvl w:val="0"/>
          <w:numId w:val="2"/>
        </w:numPr>
        <w:spacing w:after="60" w:line="276"/>
      </w:pPr>
      <w:r>
        <w:rPr>
          <w:rFonts w:ascii="Calibri" w:cs="Calibri" w:eastAsia="Calibri" w:hAnsi="Calibri"/>
          <w:b/>
          <w:bCs/>
          <w:sz w:val="21"/>
          <w:szCs w:val="21"/>
        </w:rPr>
        <w:t xml:space="preserve">Tout événement matériel se déclare au journal. </w:t>
      </w:r>
      <w:r>
        <w:rPr>
          <w:rFonts w:ascii="Calibri" w:cs="Calibri" w:eastAsia="Calibri" w:hAnsi="Calibri"/>
          <w:sz w:val="21"/>
          <w:szCs w:val="21"/>
        </w:rPr>
        <w:t xml:space="preserve">Impayé, arrêt de chantier, avenant, litige : il déclenche un nouveau calcul et, souvent, un retour en comité.</w:t>
      </w:r>
    </w:p>
    <w:p>
      <w:pPr>
        <w:spacing w:after="60" w:before="0" w:line="276"/>
      </w:pPr>
      <w:r>
        <w:rPr>
          <w:rFonts w:ascii="Calibri" w:cs="Calibri" w:eastAsia="Calibri" w:hAnsi="Calibri"/>
          <w:sz w:val="21"/>
          <w:szCs w:val="21"/>
        </w:rPr>
        <w:t xml:space="preserve"/>
      </w:r>
    </w:p>
    <w:tbl>
      <w:tblPr>
        <w:tblW w:type="dxa" w:w="9638"/>
        <w:tblBorders>
          <w:top w:val="single" w:color="C00000" w:sz="4"/>
          <w:left w:val="single" w:color="C00000" w:sz="4"/>
          <w:bottom w:val="single" w:color="C00000" w:sz="4"/>
          <w:right w:val="single" w:color="C00000" w:sz="4"/>
          <w:insideH w:val="none"/>
          <w:insideV w:val="none"/>
        </w:tblBorders>
      </w:tblPr>
      <w:tblGrid>
        <w:gridCol w:w="9638"/>
      </w:tblGrid>
      <w:tr>
        <w:tc>
          <w:tcPr>
            <w:tcW w:type="dxa" w:w="9638"/>
            <w:shd w:fill="FDECEA" w:color="auto" w:val="clear"/>
            <w:tcMar>
              <w:top w:type="dxa" w:w="100"/>
              <w:left w:type="dxa" w:w="160"/>
              <w:bottom w:type="dxa" w:w="100"/>
              <w:right w:type="dxa" w:w="160"/>
            </w:tcMar>
          </w:tcPr>
          <w:p>
            <w:pPr>
              <w:spacing w:after="40"/>
            </w:pPr>
            <w:r>
              <w:rPr>
                <w:rFonts w:ascii="Calibri" w:cs="Calibri" w:eastAsia="Calibri" w:hAnsi="Calibri"/>
                <w:b/>
                <w:bCs/>
                <w:color w:val="C00000"/>
                <w:sz w:val="21"/>
                <w:szCs w:val="21"/>
              </w:rPr>
              <w:t xml:space="preserve">Données décisionnelles — à renseigner obligatoirement</w:t>
            </w:r>
          </w:p>
          <w:p>
            <w:pPr>
              <w:spacing w:after="0" w:line="276"/>
            </w:pPr>
            <w:r>
              <w:rPr>
                <w:rFonts w:ascii="Calibri" w:cs="Calibri" w:eastAsia="Calibri" w:hAnsi="Calibri"/>
                <w:sz w:val="21"/>
                <w:szCs w:val="21"/>
              </w:rPr>
              <w:t xml:space="preserve">Sans elles, la décision est « Dossier incomplet » : Retard de paiement (jours) · Cash coverage (x) · Arrêt du projet (mois) · Retard chantier (mois) · Apport effectif injecté / prévu (%) · Foncier &amp; autorisations · Préventes sécurisées (%) · Impasse brute (%) · Marge brute (%). Pour le retard de paiement, le retard de chantier et la durée d'arrêt, saisir 0 lorsqu'il n'y en a pas.</w:t>
            </w:r>
          </w:p>
        </w:tc>
      </w:tr>
    </w:tbl>
    <w:p>
      <w:r>
        <w:br w:type="page"/>
      </w:r>
    </w:p>
    <w:p>
      <w:pPr>
        <w:pStyle w:val="Heading1"/>
      </w:pPr>
      <w:r>
        <w:t xml:space="preserve">2. Votre rôle et le circuit du dossier</w:t>
      </w:r>
    </w:p>
    <w:p>
      <w:pPr>
        <w:spacing w:after="120" w:before="0" w:line="276"/>
      </w:pPr>
      <w:r>
        <w:rPr>
          <w:rFonts w:ascii="Calibri" w:cs="Calibri" w:eastAsia="Calibri" w:hAnsi="Calibri"/>
          <w:sz w:val="21"/>
          <w:szCs w:val="21"/>
        </w:rPr>
        <w:t xml:space="preserve">Dans l'application, le chargé d'affaires peut consulter et modifier ses projets, lancer un calcul et exporter le dossier de comité. Il ne valide pas un score et ne décide pas : ces étapes relèvent de la contre-étude et de la délégation.</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3000"/>
        <w:gridCol w:w="6638"/>
      </w:tblGrid>
      <w:tr>
        <w:trPr>
          <w:cantSplit/>
          <w:tblHeader/>
        </w:trPr>
        <w:tc>
          <w:tcPr>
            <w:tcW w:type="dxa" w:w="3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Rôle</w:t>
            </w:r>
          </w:p>
        </w:tc>
        <w:tc>
          <w:tcPr>
            <w:tcW w:type="dxa" w:w="66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Ce qu'il fait</w:t>
            </w:r>
          </w:p>
        </w:tc>
      </w:tr>
      <w:tr>
        <w:trPr>
          <w:cantSplit/>
        </w:trPr>
        <w:tc>
          <w:tcPr>
            <w:tcW w:type="dxa" w:w="3000"/>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Administrateur</w:t>
            </w:r>
          </w:p>
        </w:tc>
        <w:tc>
          <w:tcPr>
            <w:tcW w:type="dxa" w:w="6638"/>
            <w:tcMar>
              <w:top w:type="dxa" w:w="40"/>
              <w:left w:type="dxa" w:w="80"/>
              <w:bottom w:type="dxa" w:w="40"/>
              <w:right w:type="dxa" w:w="80"/>
            </w:tcMar>
          </w:tcPr>
          <w:p>
            <w:pPr>
              <w:spacing w:after="0" w:line="240"/>
            </w:pPr>
            <w:r>
              <w:rPr>
                <w:rFonts w:ascii="Calibri" w:cs="Calibri" w:eastAsia="Calibri" w:hAnsi="Calibri"/>
                <w:sz w:val="17"/>
                <w:szCs w:val="17"/>
              </w:rPr>
              <w:t xml:space="preserve">Administration des utilisateurs, du modèle et des référentiels.</w:t>
            </w:r>
          </w:p>
        </w:tc>
      </w:tr>
      <w:tr>
        <w:trPr>
          <w:cantSplit/>
        </w:trPr>
        <w:tc>
          <w:tcPr>
            <w:tcW w:type="dxa" w:w="3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Contre-étude (Risque)</w:t>
            </w:r>
          </w:p>
        </w:tc>
        <w:tc>
          <w:tcPr>
            <w:tcW w:type="dxa" w:w="66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Contre-étude : vérifie les données, recalcule, valide le score ou renvoie le dossier.</w:t>
            </w:r>
          </w:p>
        </w:tc>
      </w:tr>
      <w:tr>
        <w:trPr>
          <w:cantSplit/>
        </w:trPr>
        <w:tc>
          <w:tcPr>
            <w:tcW w:type="dxa" w:w="3000"/>
            <w:tcMar>
              <w:top w:type="dxa" w:w="40"/>
              <w:left w:type="dxa" w:w="80"/>
              <w:bottom w:type="dxa" w:w="40"/>
              <w:right w:type="dxa" w:w="80"/>
            </w:tcMar>
          </w:tcPr>
          <w:p>
            <w:pPr>
              <w:spacing w:after="0" w:line="240"/>
            </w:pPr>
            <w:r>
              <w:rPr>
                <w:rFonts w:ascii="Calibri" w:cs="Calibri" w:eastAsia="Calibri" w:hAnsi="Calibri"/>
                <w:b/>
                <w:bCs/>
                <w:color w:val="1F3864"/>
                <w:sz w:val="17"/>
                <w:szCs w:val="17"/>
              </w:rPr>
              <w:t xml:space="preserve">Chargé d'affaires</w:t>
            </w:r>
          </w:p>
        </w:tc>
        <w:tc>
          <w:tcPr>
            <w:tcW w:type="dxa" w:w="6638"/>
            <w:tcMar>
              <w:top w:type="dxa" w:w="40"/>
              <w:left w:type="dxa" w:w="80"/>
              <w:bottom w:type="dxa" w:w="40"/>
              <w:right w:type="dxa" w:w="80"/>
            </w:tcMar>
          </w:tcPr>
          <w:p>
            <w:pPr>
              <w:spacing w:after="0" w:line="240"/>
            </w:pPr>
            <w:r>
              <w:rPr>
                <w:rFonts w:ascii="Calibri" w:cs="Calibri" w:eastAsia="Calibri" w:hAnsi="Calibri"/>
                <w:sz w:val="17"/>
                <w:szCs w:val="17"/>
              </w:rPr>
              <w:t xml:space="preserve">Monte le dossier, réunit les pièces, saisit, synchronise, calcule le score, soumet, assure le suivi.</w:t>
            </w:r>
          </w:p>
        </w:tc>
      </w:tr>
      <w:tr>
        <w:trPr>
          <w:cantSplit/>
        </w:trPr>
        <w:tc>
          <w:tcPr>
            <w:tcW w:type="dxa" w:w="3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Directeur de centre d'affaires</w:t>
            </w:r>
          </w:p>
        </w:tc>
        <w:tc>
          <w:tcPr>
            <w:tcW w:type="dxa" w:w="66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Émet l'avis front ; peut renvoyer le dossier au chargé d'affaires.</w:t>
            </w:r>
          </w:p>
        </w:tc>
      </w:tr>
      <w:tr>
        <w:trPr>
          <w:cantSplit/>
        </w:trPr>
        <w:tc>
          <w:tcPr>
            <w:tcW w:type="dxa" w:w="3000"/>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Directeur de région</w:t>
            </w:r>
          </w:p>
        </w:tc>
        <w:tc>
          <w:tcPr>
            <w:tcW w:type="dxa" w:w="6638"/>
            <w:tcMar>
              <w:top w:type="dxa" w:w="40"/>
              <w:left w:type="dxa" w:w="80"/>
              <w:bottom w:type="dxa" w:w="40"/>
              <w:right w:type="dxa" w:w="80"/>
            </w:tcMar>
          </w:tcPr>
          <w:p>
            <w:pPr>
              <w:spacing w:after="0" w:line="240"/>
            </w:pPr>
            <w:r>
              <w:rPr>
                <w:rFonts w:ascii="Calibri" w:cs="Calibri" w:eastAsia="Calibri" w:hAnsi="Calibri"/>
                <w:sz w:val="17"/>
                <w:szCs w:val="17"/>
              </w:rPr>
              <w:t xml:space="preserve">Avis et décision dans sa délégation.</w:t>
            </w:r>
          </w:p>
        </w:tc>
      </w:tr>
      <w:tr>
        <w:trPr>
          <w:cantSplit/>
        </w:trPr>
        <w:tc>
          <w:tcPr>
            <w:tcW w:type="dxa" w:w="3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Comité de crédit</w:t>
            </w:r>
          </w:p>
        </w:tc>
        <w:tc>
          <w:tcPr>
            <w:tcW w:type="dxa" w:w="66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Décision ou comité de crédit.</w:t>
            </w:r>
          </w:p>
        </w:tc>
      </w:tr>
      <w:tr>
        <w:trPr>
          <w:cantSplit/>
        </w:trPr>
        <w:tc>
          <w:tcPr>
            <w:tcW w:type="dxa" w:w="3000"/>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Auditeur</w:t>
            </w:r>
          </w:p>
        </w:tc>
        <w:tc>
          <w:tcPr>
            <w:tcW w:type="dxa" w:w="6638"/>
            <w:tcMar>
              <w:top w:type="dxa" w:w="40"/>
              <w:left w:type="dxa" w:w="80"/>
              <w:bottom w:type="dxa" w:w="40"/>
              <w:right w:type="dxa" w:w="80"/>
            </w:tcMar>
          </w:tcPr>
          <w:p>
            <w:pPr>
              <w:spacing w:after="0" w:line="240"/>
            </w:pPr>
            <w:r>
              <w:rPr>
                <w:rFonts w:ascii="Calibri" w:cs="Calibri" w:eastAsia="Calibri" w:hAnsi="Calibri"/>
                <w:sz w:val="17"/>
                <w:szCs w:val="17"/>
              </w:rPr>
              <w:t xml:space="preserve">Consultation et piste d'audit.</w:t>
            </w:r>
          </w:p>
        </w:tc>
      </w:tr>
    </w:tbl>
    <w:p>
      <w:pPr>
        <w:pStyle w:val="Heading2"/>
        <w:keepNext/>
      </w:pPr>
      <w:r>
        <w:t xml:space="preserve">Le circuit</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3400"/>
        <w:gridCol w:w="6238"/>
      </w:tblGrid>
      <w:tr>
        <w:trPr>
          <w:cantSplit/>
          <w:tblHeader/>
        </w:trPr>
        <w:tc>
          <w:tcPr>
            <w:tcW w:type="dxa" w:w="34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Étape</w:t>
            </w:r>
          </w:p>
        </w:tc>
        <w:tc>
          <w:tcPr>
            <w:tcW w:type="dxa" w:w="6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Actions possibles</w:t>
            </w:r>
          </w:p>
        </w:tc>
      </w:tr>
      <w:tr>
        <w:trPr>
          <w:cantSplit/>
        </w:trPr>
        <w:tc>
          <w:tcPr>
            <w:tcW w:type="dxa" w:w="3400"/>
            <w:tcMar>
              <w:top w:type="dxa" w:w="40"/>
              <w:left w:type="dxa" w:w="80"/>
              <w:bottom w:type="dxa" w:w="40"/>
              <w:right w:type="dxa" w:w="80"/>
            </w:tcMar>
          </w:tcPr>
          <w:p>
            <w:pPr>
              <w:spacing w:after="0" w:line="240"/>
            </w:pPr>
            <w:r>
              <w:rPr>
                <w:rFonts w:ascii="Calibri" w:cs="Calibri" w:eastAsia="Calibri" w:hAnsi="Calibri"/>
                <w:b/>
                <w:bCs/>
                <w:sz w:val="17"/>
                <w:szCs w:val="17"/>
              </w:rPr>
              <w:t xml:space="preserve">Brouillon (chargé d'affaires)</w:t>
            </w:r>
          </w:p>
        </w:tc>
        <w:tc>
          <w:tcPr>
            <w:tcW w:type="dxa" w:w="6238"/>
            <w:tcMar>
              <w:top w:type="dxa" w:w="40"/>
              <w:left w:type="dxa" w:w="80"/>
              <w:bottom w:type="dxa" w:w="40"/>
              <w:right w:type="dxa" w:w="80"/>
            </w:tcMar>
          </w:tcPr>
          <w:p>
            <w:pPr>
              <w:spacing w:after="0" w:line="240"/>
            </w:pPr>
            <w:r>
              <w:rPr>
                <w:rFonts w:ascii="Calibri" w:cs="Calibri" w:eastAsia="Calibri" w:hAnsi="Calibri"/>
                <w:sz w:val="17"/>
                <w:szCs w:val="17"/>
              </w:rPr>
              <w:t xml:space="preserve">Soumettre</w:t>
            </w:r>
          </w:p>
        </w:tc>
      </w:tr>
      <w:tr>
        <w:trPr>
          <w:cantSplit/>
        </w:trPr>
        <w:tc>
          <w:tcPr>
            <w:tcW w:type="dxa" w:w="34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Soumis</w:t>
            </w:r>
          </w:p>
        </w:tc>
        <w:tc>
          <w:tcPr>
            <w:tcW w:type="dxa" w:w="62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Prendre pour avis (DCA) · Prendre en contre-étude · Rejeter</w:t>
            </w:r>
          </w:p>
        </w:tc>
      </w:tr>
      <w:tr>
        <w:trPr>
          <w:cantSplit/>
        </w:trPr>
        <w:tc>
          <w:tcPr>
            <w:tcW w:type="dxa" w:w="3400"/>
            <w:tcMar>
              <w:top w:type="dxa" w:w="40"/>
              <w:left w:type="dxa" w:w="80"/>
              <w:bottom w:type="dxa" w:w="40"/>
              <w:right w:type="dxa" w:w="80"/>
            </w:tcMar>
          </w:tcPr>
          <w:p>
            <w:pPr>
              <w:spacing w:after="0" w:line="240"/>
            </w:pPr>
            <w:r>
              <w:rPr>
                <w:rFonts w:ascii="Calibri" w:cs="Calibri" w:eastAsia="Calibri" w:hAnsi="Calibri"/>
                <w:b/>
                <w:bCs/>
                <w:sz w:val="17"/>
                <w:szCs w:val="17"/>
              </w:rPr>
              <w:t xml:space="preserve">Avis directeur de centre d'affaires</w:t>
            </w:r>
          </w:p>
        </w:tc>
        <w:tc>
          <w:tcPr>
            <w:tcW w:type="dxa" w:w="6238"/>
            <w:tcMar>
              <w:top w:type="dxa" w:w="40"/>
              <w:left w:type="dxa" w:w="80"/>
              <w:bottom w:type="dxa" w:w="40"/>
              <w:right w:type="dxa" w:w="80"/>
            </w:tcMar>
          </w:tcPr>
          <w:p>
            <w:pPr>
              <w:spacing w:after="0" w:line="240"/>
            </w:pPr>
            <w:r>
              <w:rPr>
                <w:rFonts w:ascii="Calibri" w:cs="Calibri" w:eastAsia="Calibri" w:hAnsi="Calibri"/>
                <w:sz w:val="17"/>
                <w:szCs w:val="17"/>
              </w:rPr>
              <w:t xml:space="preserve">Avis favorable — transmettre à la contre-étude · Renvoyer au chargé d'affaires · Avis défavorable — rejeter</w:t>
            </w:r>
          </w:p>
        </w:tc>
      </w:tr>
      <w:tr>
        <w:trPr>
          <w:cantSplit/>
        </w:trPr>
        <w:tc>
          <w:tcPr>
            <w:tcW w:type="dxa" w:w="34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Contre-étude (Risque)</w:t>
            </w:r>
          </w:p>
        </w:tc>
        <w:tc>
          <w:tcPr>
            <w:tcW w:type="dxa" w:w="62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Score validé — transmettre à la décision · Renvoyer au chargé d'affaires · Rejeter</w:t>
            </w:r>
          </w:p>
        </w:tc>
      </w:tr>
      <w:tr>
        <w:trPr>
          <w:cantSplit/>
        </w:trPr>
        <w:tc>
          <w:tcPr>
            <w:tcW w:type="dxa" w:w="3400"/>
            <w:tcMar>
              <w:top w:type="dxa" w:w="40"/>
              <w:left w:type="dxa" w:w="80"/>
              <w:bottom w:type="dxa" w:w="40"/>
              <w:right w:type="dxa" w:w="80"/>
            </w:tcMar>
          </w:tcPr>
          <w:p>
            <w:pPr>
              <w:spacing w:after="0" w:line="240"/>
            </w:pPr>
            <w:r>
              <w:rPr>
                <w:rFonts w:ascii="Calibri" w:cs="Calibri" w:eastAsia="Calibri" w:hAnsi="Calibri"/>
                <w:b/>
                <w:bCs/>
                <w:sz w:val="17"/>
                <w:szCs w:val="17"/>
              </w:rPr>
              <w:t xml:space="preserve">Décision (délégation)</w:t>
            </w:r>
          </w:p>
        </w:tc>
        <w:tc>
          <w:tcPr>
            <w:tcW w:type="dxa" w:w="6238"/>
            <w:tcMar>
              <w:top w:type="dxa" w:w="40"/>
              <w:left w:type="dxa" w:w="80"/>
              <w:bottom w:type="dxa" w:w="40"/>
              <w:right w:type="dxa" w:w="80"/>
            </w:tcMar>
          </w:tcPr>
          <w:p>
            <w:pPr>
              <w:spacing w:after="0" w:line="240"/>
            </w:pPr>
            <w:r>
              <w:rPr>
                <w:rFonts w:ascii="Calibri" w:cs="Calibri" w:eastAsia="Calibri" w:hAnsi="Calibri"/>
                <w:sz w:val="17"/>
                <w:szCs w:val="17"/>
              </w:rPr>
              <w:t xml:space="preserve">Passer en comité · Approuver · Rejeter</w:t>
            </w:r>
          </w:p>
        </w:tc>
      </w:tr>
      <w:tr>
        <w:trPr>
          <w:cantSplit/>
        </w:trPr>
        <w:tc>
          <w:tcPr>
            <w:tcW w:type="dxa" w:w="34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Comité de crédit</w:t>
            </w:r>
          </w:p>
        </w:tc>
        <w:tc>
          <w:tcPr>
            <w:tcW w:type="dxa" w:w="62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Décision favorable · Décision défavorable</w:t>
            </w:r>
          </w:p>
        </w:tc>
      </w:tr>
      <w:tr>
        <w:trPr>
          <w:cantSplit/>
        </w:trPr>
        <w:tc>
          <w:tcPr>
            <w:tcW w:type="dxa" w:w="3400"/>
            <w:tcMar>
              <w:top w:type="dxa" w:w="40"/>
              <w:left w:type="dxa" w:w="80"/>
              <w:bottom w:type="dxa" w:w="40"/>
              <w:right w:type="dxa" w:w="80"/>
            </w:tcMar>
          </w:tcPr>
          <w:p>
            <w:pPr>
              <w:spacing w:after="0" w:line="240"/>
            </w:pPr>
            <w:r>
              <w:rPr>
                <w:rFonts w:ascii="Calibri" w:cs="Calibri" w:eastAsia="Calibri" w:hAnsi="Calibri"/>
                <w:b/>
                <w:bCs/>
                <w:sz w:val="17"/>
                <w:szCs w:val="17"/>
              </w:rPr>
              <w:t xml:space="preserve">Approuvé</w:t>
            </w:r>
          </w:p>
        </w:tc>
        <w:tc>
          <w:tcPr>
            <w:tcW w:type="dxa" w:w="6238"/>
            <w:tcMar>
              <w:top w:type="dxa" w:w="40"/>
              <w:left w:type="dxa" w:w="80"/>
              <w:bottom w:type="dxa" w:w="40"/>
              <w:right w:type="dxa" w:w="80"/>
            </w:tcMar>
          </w:tcPr>
          <w:p>
            <w:pPr>
              <w:spacing w:after="0" w:line="240"/>
            </w:pPr>
            <w:r>
              <w:rPr>
                <w:rFonts w:ascii="Calibri" w:cs="Calibri" w:eastAsia="Calibri" w:hAnsi="Calibri"/>
                <w:sz w:val="17"/>
                <w:szCs w:val="17"/>
              </w:rPr>
              <w:t xml:space="preserve">Étape finale</w:t>
            </w:r>
          </w:p>
        </w:tc>
      </w:tr>
      <w:tr>
        <w:trPr>
          <w:cantSplit/>
        </w:trPr>
        <w:tc>
          <w:tcPr>
            <w:tcW w:type="dxa" w:w="34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Rejeté</w:t>
            </w:r>
          </w:p>
        </w:tc>
        <w:tc>
          <w:tcPr>
            <w:tcW w:type="dxa" w:w="62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Reprendre le dossier</w:t>
            </w:r>
          </w:p>
        </w:tc>
      </w:tr>
    </w:tbl>
    <w:p>
      <w:pPr>
        <w:spacing w:after="120" w:before="100" w:line="276"/>
      </w:pPr>
      <w:r>
        <w:rPr>
          <w:rFonts w:ascii="Calibri" w:cs="Calibri" w:eastAsia="Calibri" w:hAnsi="Calibri"/>
          <w:b/>
          <w:bCs/>
          <w:sz w:val="21"/>
          <w:szCs w:val="21"/>
        </w:rPr>
        <w:t xml:space="preserve">À retenir : </w:t>
      </w:r>
      <w:r>
        <w:rPr>
          <w:rFonts w:ascii="Calibri" w:cs="Calibri" w:eastAsia="Calibri" w:hAnsi="Calibri"/>
          <w:sz w:val="21"/>
          <w:szCs w:val="21"/>
        </w:rPr>
        <w:t xml:space="preserve">un dossier renvoyé revient à l'état « Brouillon (chargé d'affaires) ». Complétez, recalculez, puis soumettez de nouveau. Chaque transition est tracée avec son auteur.</w:t>
      </w:r>
    </w:p>
    <w:p>
      <w:r>
        <w:br w:type="page"/>
      </w:r>
    </w:p>
    <w:p>
      <w:pPr>
        <w:pStyle w:val="Heading1"/>
      </w:pPr>
      <w:r>
        <w:t xml:space="preserve">3. Le parcours en 10 étapes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500"/>
        <w:gridCol w:w="2600"/>
        <w:gridCol w:w="6538"/>
      </w:tblGrid>
      <w:tr>
        <w:trPr>
          <w:cantSplit/>
          <w:tblHeader/>
        </w:trPr>
        <w:tc>
          <w:tcPr>
            <w:tcW w:type="dxa" w:w="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w:t>
            </w:r>
          </w:p>
        </w:tc>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Étape</w:t>
            </w:r>
          </w:p>
        </w:tc>
        <w:tc>
          <w:tcPr>
            <w:tcW w:type="dxa" w:w="65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Où et comment</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b/>
                <w:bCs/>
                <w:color w:val="1F3864"/>
                <w:sz w:val="17"/>
                <w:szCs w:val="17"/>
              </w:rPr>
              <w:t xml:space="preserve">1</w:t>
            </w:r>
          </w:p>
        </w:tc>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Réunir les pièces</w:t>
            </w:r>
          </w:p>
        </w:tc>
        <w:tc>
          <w:tcPr>
            <w:tcW w:type="dxa" w:w="6538"/>
            <w:tcMar>
              <w:top w:type="dxa" w:w="40"/>
              <w:left w:type="dxa" w:w="80"/>
              <w:bottom w:type="dxa" w:w="40"/>
              <w:right w:type="dxa" w:w="80"/>
            </w:tcMar>
          </w:tcPr>
          <w:p>
            <w:pPr>
              <w:spacing w:after="0" w:line="240"/>
            </w:pPr>
            <w:r>
              <w:rPr>
                <w:rFonts w:ascii="Calibri" w:cs="Calibri" w:eastAsia="Calibri" w:hAnsi="Calibri"/>
                <w:sz w:val="17"/>
                <w:szCs w:val="17"/>
              </w:rPr>
              <w:t xml:space="preserve">Liste de la section 4 (check-list en annexe A) : chaque pièce datée, lisible, rattachée au bon programme.</w:t>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1F3864"/>
                <w:sz w:val="17"/>
                <w:szCs w:val="17"/>
              </w:rPr>
              <w:t xml:space="preserve">2</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Créer ou mettre à jour le promoteur</w:t>
            </w:r>
          </w:p>
        </w:tc>
        <w:tc>
          <w:tcPr>
            <w:tcW w:type="dxa" w:w="65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Promoteurs › Nouveau promoteur : signalétique, groupe d'intérêt, liens avec les autres sociétés.</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b/>
                <w:bCs/>
                <w:color w:val="1F3864"/>
                <w:sz w:val="17"/>
                <w:szCs w:val="17"/>
              </w:rPr>
              <w:t xml:space="preserve">3</w:t>
            </w:r>
          </w:p>
        </w:tc>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Créer le projet</w:t>
            </w:r>
          </w:p>
        </w:tc>
        <w:tc>
          <w:tcPr>
            <w:tcW w:type="dxa" w:w="6538"/>
            <w:tcMar>
              <w:top w:type="dxa" w:w="40"/>
              <w:left w:type="dxa" w:w="80"/>
              <w:bottom w:type="dxa" w:w="40"/>
              <w:right w:type="dxa" w:w="80"/>
            </w:tcMar>
          </w:tcPr>
          <w:p>
            <w:pPr>
              <w:spacing w:after="0" w:line="240"/>
            </w:pPr>
            <w:r>
              <w:rPr>
                <w:rFonts w:ascii="Calibri" w:cs="Calibri" w:eastAsia="Calibri" w:hAnsi="Calibri"/>
                <w:sz w:val="17"/>
                <w:szCs w:val="17"/>
              </w:rPr>
              <w:t xml:space="preserve">Projets › Nouveau projet : identification, segment et zone du modèle, foncier, calendrier, montants, mode de vente.</w:t>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1F3864"/>
                <w:sz w:val="17"/>
                <w:szCs w:val="17"/>
              </w:rPr>
              <w:t xml:space="preserve">4</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Renseigner le suivi</w:t>
            </w:r>
          </w:p>
        </w:tc>
        <w:tc>
          <w:tcPr>
            <w:tcW w:type="dxa" w:w="65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Fiche projet › Suivi : chaîne d'autorisations, nature du programme, quotité de désengagement, lots et financement des acquéreurs, facilités, événements, visites.</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b/>
                <w:bCs/>
                <w:color w:val="1F3864"/>
                <w:sz w:val="17"/>
                <w:szCs w:val="17"/>
              </w:rPr>
              <w:t xml:space="preserve">5</w:t>
            </w:r>
          </w:p>
        </w:tc>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Saisir les critères</w:t>
            </w:r>
          </w:p>
        </w:tc>
        <w:tc>
          <w:tcPr>
            <w:tcW w:type="dxa" w:w="6538"/>
            <w:tcMar>
              <w:top w:type="dxa" w:w="40"/>
              <w:left w:type="dxa" w:w="80"/>
              <w:bottom w:type="dxa" w:w="40"/>
              <w:right w:type="dxa" w:w="80"/>
            </w:tcMar>
          </w:tcPr>
          <w:p>
            <w:pPr>
              <w:spacing w:after="0" w:line="240"/>
            </w:pPr>
            <w:r>
              <w:rPr>
                <w:rFonts w:ascii="Calibri" w:cs="Calibri" w:eastAsia="Calibri" w:hAnsi="Calibri"/>
                <w:sz w:val="17"/>
                <w:szCs w:val="17"/>
              </w:rPr>
              <w:t xml:space="preserve">Wizard de scoring (7 étapes). Option : « Lecture IA des documents » pré-remplit, vous vérifiez chaque valeur.</w:t>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1F3864"/>
                <w:sz w:val="17"/>
                <w:szCs w:val="17"/>
              </w:rPr>
              <w:t xml:space="preserve">6</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Synchroniser vers le scoring</w:t>
            </w:r>
          </w:p>
        </w:tc>
        <w:tc>
          <w:tcPr>
            <w:tcW w:type="dxa" w:w="65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Reporte automatiquement préventes, ventes, avancement, autorisations, ventes sécurisées, désengagement, division des risques, impayés, arrêt de chantier.</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b/>
                <w:bCs/>
                <w:color w:val="1F3864"/>
                <w:sz w:val="17"/>
                <w:szCs w:val="17"/>
              </w:rPr>
              <w:t xml:space="preserve">7</w:t>
            </w:r>
          </w:p>
        </w:tc>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Calculer le score</w:t>
            </w:r>
          </w:p>
        </w:tc>
        <w:tc>
          <w:tcPr>
            <w:tcW w:type="dxa" w:w="6538"/>
            <w:tcMar>
              <w:top w:type="dxa" w:w="40"/>
              <w:left w:type="dxa" w:w="80"/>
              <w:bottom w:type="dxa" w:w="40"/>
              <w:right w:type="dxa" w:w="80"/>
            </w:tcMar>
          </w:tcPr>
          <w:p>
            <w:pPr>
              <w:spacing w:after="0" w:line="240"/>
            </w:pPr>
            <w:r>
              <w:rPr>
                <w:rFonts w:ascii="Calibri" w:cs="Calibri" w:eastAsia="Calibri" w:hAnsi="Calibri"/>
                <w:sz w:val="17"/>
                <w:szCs w:val="17"/>
              </w:rPr>
              <w:t xml:space="preserve">« Enregistrer &amp; calculer » : classification BAM, score, provision.</w:t>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1F3864"/>
                <w:sz w:val="17"/>
                <w:szCs w:val="17"/>
              </w:rPr>
              <w:t xml:space="preserve">8</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Lire le résultat</w:t>
            </w:r>
          </w:p>
        </w:tc>
        <w:tc>
          <w:tcPr>
            <w:tcW w:type="dxa" w:w="65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Fiche projet › Scoring › « Lecture du résultat » : données manquantes, conditions, alertes, retour en comité.</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b/>
                <w:bCs/>
                <w:color w:val="1F3864"/>
                <w:sz w:val="17"/>
                <w:szCs w:val="17"/>
              </w:rPr>
              <w:t xml:space="preserve">9</w:t>
            </w:r>
          </w:p>
        </w:tc>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Compléter ou argumenter</w:t>
            </w:r>
          </w:p>
        </w:tc>
        <w:tc>
          <w:tcPr>
            <w:tcW w:type="dxa" w:w="6538"/>
            <w:tcMar>
              <w:top w:type="dxa" w:w="40"/>
              <w:left w:type="dxa" w:w="80"/>
              <w:bottom w:type="dxa" w:w="40"/>
              <w:right w:type="dxa" w:w="80"/>
            </w:tcMar>
          </w:tcPr>
          <w:p>
            <w:pPr>
              <w:spacing w:after="0" w:line="240"/>
            </w:pPr>
            <w:r>
              <w:rPr>
                <w:rFonts w:ascii="Calibri" w:cs="Calibri" w:eastAsia="Calibri" w:hAnsi="Calibri"/>
                <w:sz w:val="17"/>
                <w:szCs w:val="17"/>
              </w:rPr>
              <w:t xml:space="preserve">Dossier incomplet → compléter ; alertes → mitigants ; conditions → calendrier de levée.</w:t>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1F3864"/>
                <w:sz w:val="17"/>
                <w:szCs w:val="17"/>
              </w:rPr>
              <w:t xml:space="preserve">10</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Soumettre</w:t>
            </w:r>
          </w:p>
        </w:tc>
        <w:tc>
          <w:tcPr>
            <w:tcW w:type="dxa" w:w="65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Circuit : avis du directeur de centre d'affaires, contre-étude Risque, décision ou comité.</w:t>
            </w:r>
          </w:p>
        </w:tc>
      </w:tr>
    </w:tbl>
    <w:p>
      <w:pPr>
        <w:spacing w:after="60" w:before="0" w:line="276"/>
      </w:pPr>
      <w:r>
        <w:rPr>
          <w:rFonts w:ascii="Calibri" w:cs="Calibri" w:eastAsia="Calibri" w:hAnsi="Calibri"/>
          <w:sz w:val="21"/>
          <w:szCs w:val="21"/>
        </w:rPr>
        <w:t xml:space="preserve"/>
      </w:r>
    </w:p>
    <w:tbl>
      <w:tblPr>
        <w:tblW w:type="dxa" w:w="9638"/>
        <w:tblBorders>
          <w:top w:val="single" w:color="2E5496" w:sz="4"/>
          <w:left w:val="single" w:color="2E5496" w:sz="4"/>
          <w:bottom w:val="single" w:color="2E5496" w:sz="4"/>
          <w:right w:val="single" w:color="2E5496" w:sz="4"/>
          <w:insideH w:val="none"/>
          <w:insideV w:val="none"/>
        </w:tblBorders>
      </w:tblPr>
      <w:tblGrid>
        <w:gridCol w:w="9638"/>
      </w:tblGrid>
      <w:tr>
        <w:tc>
          <w:tcPr>
            <w:tcW w:type="dxa" w:w="9638"/>
            <w:shd w:fill="EEF3FB" w:color="auto" w:val="clear"/>
            <w:tcMar>
              <w:top w:type="dxa" w:w="100"/>
              <w:left w:type="dxa" w:w="160"/>
              <w:bottom w:type="dxa" w:w="100"/>
              <w:right w:type="dxa" w:w="160"/>
            </w:tcMar>
          </w:tcPr>
          <w:p>
            <w:pPr>
              <w:spacing w:after="40"/>
            </w:pPr>
            <w:r>
              <w:rPr>
                <w:rFonts w:ascii="Calibri" w:cs="Calibri" w:eastAsia="Calibri" w:hAnsi="Calibri"/>
                <w:b/>
                <w:bCs/>
                <w:color w:val="2E5496"/>
                <w:sz w:val="21"/>
                <w:szCs w:val="21"/>
              </w:rPr>
              <w:t xml:space="preserve">Lecture IA des documents</w:t>
            </w:r>
          </w:p>
          <w:p>
            <w:pPr>
              <w:spacing w:after="0" w:line="276"/>
            </w:pPr>
            <w:r>
              <w:rPr>
                <w:rFonts w:ascii="Calibri" w:cs="Calibri" w:eastAsia="Calibri" w:hAnsi="Calibri"/>
                <w:sz w:val="21"/>
                <w:szCs w:val="21"/>
              </w:rPr>
              <w:t xml:space="preserve">Sur l'écran de saisie, « Lecture IA des documents » propose des valeurs extraites des pièces que vous déposez (business plan, autorisations, états financiers). Ce sont des propositions : chaque valeur doit être vérifiée contre la pièce avant d'être appliquée. L'IA ne remplit que ce que les documents établissent ; le reste reste à saisir.</w:t>
            </w:r>
          </w:p>
        </w:tc>
      </w:tr>
    </w:tbl>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Pr>
      <w:r>
        <w:t xml:space="preserve">4. Les pièces à réunir</w:t>
      </w:r>
    </w:p>
    <w:p>
      <w:pPr>
        <w:spacing w:after="120" w:before="0" w:line="276"/>
      </w:pPr>
      <w:r>
        <w:rPr>
          <w:rFonts w:ascii="Calibri" w:cs="Calibri" w:eastAsia="Calibri" w:hAnsi="Calibri"/>
          <w:sz w:val="21"/>
          <w:szCs w:val="21"/>
        </w:rPr>
        <w:t xml:space="preserve">Liste de référence par famille. Pour chaque pièce : qui la produit, sa fraîcheur recommandée et les données du modèle qu'elle alimente. La liste est à valider avec la politique de crédit et la procédure interne de l'établissement.</w:t>
      </w:r>
    </w:p>
    <w:p>
      <w:pPr>
        <w:pStyle w:val="Heading2"/>
        <w:keepNext/>
      </w:pPr>
      <w:r>
        <w:t xml:space="preserve">A. Promoteur et groupe</w:t>
      </w:r>
    </w:p>
    <w:tbl>
      <w:tblPr>
        <w:tblW w:type="dxa" w:w="14400"/>
        <w:tblBorders>
          <w:top w:val="single" w:color="AEB6C6" w:sz="2"/>
          <w:left w:val="single" w:color="AEB6C6" w:sz="2"/>
          <w:bottom w:val="single" w:color="AEB6C6" w:sz="2"/>
          <w:right w:val="single" w:color="AEB6C6" w:sz="2"/>
          <w:insideH w:val="single" w:color="D0D6E2" w:sz="1"/>
          <w:insideV w:val="single" w:color="D0D6E2" w:sz="1"/>
        </w:tblBorders>
      </w:tblPr>
      <w:tblGrid>
        <w:gridCol w:w="700"/>
        <w:gridCol w:w="5500"/>
        <w:gridCol w:w="2600"/>
        <w:gridCol w:w="2300"/>
        <w:gridCol w:w="3300"/>
      </w:tblGrid>
      <w:tr>
        <w:trPr>
          <w:cantSplit/>
          <w:tblHeader/>
        </w:trPr>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Réf.</w:t>
            </w:r>
          </w:p>
        </w:tc>
        <w:tc>
          <w:tcPr>
            <w:tcW w:type="dxa" w:w="5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w:t>
            </w:r>
          </w:p>
        </w:tc>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Émetteur</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Fraîcheur</w:t>
            </w:r>
          </w:p>
        </w:tc>
        <w:tc>
          <w:tcPr>
            <w:tcW w:type="dxa" w:w="3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Alimente</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P01</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Statuts à jour, modèle J du registre de commerce, ICE, IF, affiliation CNSS</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Promoteur / tribunal de commerce</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Modèle J de moins de 3 mois</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Fiche promoteur ; gouvernance</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P02</w:t>
            </w:r>
          </w:p>
        </w:tc>
        <w:tc>
          <w:tcPr>
            <w:tcW w:type="dxa" w:w="5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Procès-verbaux des organes (AG, conseil), liste des dirigeants et pouvoirs</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Promoteur</w:t>
            </w:r>
          </w:p>
        </w:tc>
        <w:tc>
          <w:tcPr>
            <w:tcW w:type="dxa" w:w="2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Dernier exercice</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Gouvernance &amp; structure juridique</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P03</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Organigramme du groupe : participations, sociétés sœurs, cautions croisées</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Promoteur</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À jour</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Groupe d'intérêt (effet groupe BAM, division des risques)</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P04</w:t>
            </w:r>
          </w:p>
        </w:tc>
        <w:tc>
          <w:tcPr>
            <w:tcW w:type="dxa" w:w="5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États de synthèse certifiés des 3 derniers exercices (bilan, CPC, ESG) et rapport du commissaire aux comptes</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Promoteur / CAC</w:t>
            </w:r>
          </w:p>
        </w:tc>
        <w:tc>
          <w:tcPr>
            <w:tcW w:type="dxa" w:w="2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3 derniers exercices clos</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Gearing, fonds propres négatifs, couverture des intérêts, dettes / FP, baisse du CA</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P05</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Références : programmes livrés sur 5 ans avec justificatifs (permis d'habiter, certificats de conformité, PV de réception)</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Promoteur ; administration</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5 dernières années</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Projets similaires livrés ; typologie promoteur ; SAV</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P06</w:t>
            </w:r>
          </w:p>
        </w:tc>
        <w:tc>
          <w:tcPr>
            <w:tcW w:type="dxa" w:w="5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Tableau des engagements bancaires toutes banques (encours, échéances, garanties)</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Promoteur ; attestations bancaires</w:t>
            </w:r>
          </w:p>
        </w:tc>
        <w:tc>
          <w:tcPr>
            <w:tcW w:type="dxa" w:w="2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Moins de 3 mois</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Gearing ; exposition du groupe ; division des risques</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P07</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Consultation du crédit bureau (promoteur, dirigeants, sociétés du groupe)</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Banque</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Moins de 1 mois à l'instruction</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Information négative crédit bureau (classification 1/W)</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P08</w:t>
            </w:r>
          </w:p>
        </w:tc>
        <w:tc>
          <w:tcPr>
            <w:tcW w:type="dxa" w:w="5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Chiffre d'affaires prévisionnel du groupe par programme</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Promoteur</w:t>
            </w:r>
          </w:p>
        </w:tc>
        <w:tc>
          <w:tcPr>
            <w:tcW w:type="dxa" w:w="2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À l'instruction</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Concentration mono-projet</w:t>
            </w:r>
          </w:p>
        </w:tc>
      </w:tr>
    </w:tbl>
    <w:p>
      <w:pPr>
        <w:pStyle w:val="Heading2"/>
        <w:keepNext/>
      </w:pPr>
      <w:r>
        <w:t xml:space="preserve">B. Foncier et autorisations</w:t>
      </w:r>
    </w:p>
    <w:tbl>
      <w:tblPr>
        <w:tblW w:type="dxa" w:w="14400"/>
        <w:tblBorders>
          <w:top w:val="single" w:color="AEB6C6" w:sz="2"/>
          <w:left w:val="single" w:color="AEB6C6" w:sz="2"/>
          <w:bottom w:val="single" w:color="AEB6C6" w:sz="2"/>
          <w:right w:val="single" w:color="AEB6C6" w:sz="2"/>
          <w:insideH w:val="single" w:color="D0D6E2" w:sz="1"/>
          <w:insideV w:val="single" w:color="D0D6E2" w:sz="1"/>
        </w:tblBorders>
      </w:tblPr>
      <w:tblGrid>
        <w:gridCol w:w="700"/>
        <w:gridCol w:w="5500"/>
        <w:gridCol w:w="2600"/>
        <w:gridCol w:w="2300"/>
        <w:gridCol w:w="3300"/>
      </w:tblGrid>
      <w:tr>
        <w:trPr>
          <w:cantSplit/>
          <w:tblHeader/>
        </w:trPr>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Réf.</w:t>
            </w:r>
          </w:p>
        </w:tc>
        <w:tc>
          <w:tcPr>
            <w:tcW w:type="dxa" w:w="5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w:t>
            </w:r>
          </w:p>
        </w:tc>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Émetteur</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Fraîcheur</w:t>
            </w:r>
          </w:p>
        </w:tc>
        <w:tc>
          <w:tcPr>
            <w:tcW w:type="dxa" w:w="3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Alimente</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P10</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Certificat de propriété du titre foncier, avec inscriptions (hypothèques, saisies, servitudes)</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ANCFCC — conservation foncière</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Récent (moins de 3 mois recommandé)</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Foncier &amp; autorisations ; titre purgé ; rang de l'hypothèque</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P11</w:t>
            </w:r>
          </w:p>
        </w:tc>
        <w:tc>
          <w:tcPr>
            <w:tcW w:type="dxa" w:w="5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Acte d'acquisition du terrain (ou compromis) et justificatifs de paiement</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Notaire / adoul ; banque</w:t>
            </w:r>
          </w:p>
        </w:tc>
        <w:tc>
          <w:tcPr>
            <w:tcW w:type="dxa" w:w="2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Coût foncier / CA ; apport effectif (terrain payé sur fonds propres)</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P12</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Note de renseignements urbanistiques</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Agence urbaine</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En cours de validité</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Chaîne d'autorisations (étude)</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P13</w:t>
            </w:r>
          </w:p>
        </w:tc>
        <w:tc>
          <w:tcPr>
            <w:tcW w:type="dxa" w:w="5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Autorisation de lotir (loi 25-90) et/ou permis de construire (loi 12-90), avec plans autorisés</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Commune / agence urbaine</w:t>
            </w:r>
          </w:p>
        </w:tc>
        <w:tc>
          <w:tcPr>
            <w:tcW w:type="dxa" w:w="2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En cours de validité</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Chaîne d'autorisations ; verrou de tirage des travaux</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P14</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Autorisation de morcellement / éclatement du titre mère</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ANCFCC</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Avant la vente des lots</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Chaîne d'autorisations (lotissement)</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P15</w:t>
            </w:r>
          </w:p>
        </w:tc>
        <w:tc>
          <w:tcPr>
            <w:tcW w:type="dxa" w:w="5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Réception provisoire, permis d'habiter, certificat de conformité, réception définitive</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Commune ; maître d'œuvre</w:t>
            </w:r>
          </w:p>
        </w:tc>
        <w:tc>
          <w:tcPr>
            <w:tcW w:type="dxa" w:w="2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Au fil du programme</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Chaîne d'autorisations (livraison) ; mainlevées</w:t>
            </w:r>
          </w:p>
        </w:tc>
      </w:tr>
    </w:tbl>
    <w:p>
      <w:pPr>
        <w:pStyle w:val="Heading2"/>
        <w:keepNext/>
      </w:pPr>
      <w:r>
        <w:t xml:space="preserve">C. Programme, technique et business plan</w:t>
      </w:r>
    </w:p>
    <w:tbl>
      <w:tblPr>
        <w:tblW w:type="dxa" w:w="14400"/>
        <w:tblBorders>
          <w:top w:val="single" w:color="AEB6C6" w:sz="2"/>
          <w:left w:val="single" w:color="AEB6C6" w:sz="2"/>
          <w:bottom w:val="single" w:color="AEB6C6" w:sz="2"/>
          <w:right w:val="single" w:color="AEB6C6" w:sz="2"/>
          <w:insideH w:val="single" w:color="D0D6E2" w:sz="1"/>
          <w:insideV w:val="single" w:color="D0D6E2" w:sz="1"/>
        </w:tblBorders>
      </w:tblPr>
      <w:tblGrid>
        <w:gridCol w:w="700"/>
        <w:gridCol w:w="5500"/>
        <w:gridCol w:w="2600"/>
        <w:gridCol w:w="2300"/>
        <w:gridCol w:w="3300"/>
      </w:tblGrid>
      <w:tr>
        <w:trPr>
          <w:cantSplit/>
          <w:tblHeader/>
        </w:trPr>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Réf.</w:t>
            </w:r>
          </w:p>
        </w:tc>
        <w:tc>
          <w:tcPr>
            <w:tcW w:type="dxa" w:w="5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w:t>
            </w:r>
          </w:p>
        </w:tc>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Émetteur</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Fraîcheur</w:t>
            </w:r>
          </w:p>
        </w:tc>
        <w:tc>
          <w:tcPr>
            <w:tcW w:type="dxa" w:w="3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Alimente</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P16</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Business plan du programme (bilan promoteur) : recettes, coût foncier, travaux, frais, marge, planning</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Promoteur</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Version datée et signée</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Marge brute, marge stressée, coût foncier / CA, LTC</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P17</w:t>
            </w:r>
          </w:p>
        </w:tc>
        <w:tc>
          <w:tcPr>
            <w:tcW w:type="dxa" w:w="5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Plan de trésorerie MENSUEL du programme (encaissements, décaissements, tirages, remboursements)</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Promoteur</w:t>
            </w:r>
          </w:p>
        </w:tc>
        <w:tc>
          <w:tcPr>
            <w:tcW w:type="dxa" w:w="2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Mis à jour à chaque revue</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Cash coverage, impasse brute, impasse persistante</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P18</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Étude de marché, grille de prix et références de transactions comparables</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Promoteur ; expert ; banque</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Moins de 12 mois</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Marché &amp; positionnement ; sensibilité macro / subvention</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P19</w:t>
            </w:r>
          </w:p>
        </w:tc>
        <w:tc>
          <w:tcPr>
            <w:tcW w:type="dxa" w:w="5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Dossier technique : plans, CPS, marchés des entreprises (montants, délais, pénalités), note du BET</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Promoteur ; architecte ; BET</w:t>
            </w:r>
          </w:p>
        </w:tc>
        <w:tc>
          <w:tcPr>
            <w:tcW w:type="dxa" w:w="2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Complexité technique</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P20</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Planning contractuel des travaux</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Promoteur ; entreprise</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Version en vigueur</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Avancement vs planning ; retard de chantier</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P21</w:t>
            </w:r>
          </w:p>
        </w:tc>
        <w:tc>
          <w:tcPr>
            <w:tcW w:type="dxa" w:w="5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Situations de travaux visées (architecte / BET) et rapports de visite de chantier</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Maître d'œuvre ; banque</w:t>
            </w:r>
          </w:p>
        </w:tc>
        <w:tc>
          <w:tcPr>
            <w:tcW w:type="dxa" w:w="2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Avant chaque tirage</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Avancement vs planning ; déblocages ; arrêt de chantier</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P34</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Plan de masse et découpage en tranches : tranches financées par la banque, ouvrages communs (accès, VRD, raccordements) et leur financement</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Promoteur ; architecte</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Version autorisée</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Périmètre financé ; autonomie de la tranche</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P35</w:t>
            </w:r>
          </w:p>
        </w:tc>
        <w:tc>
          <w:tcPr>
            <w:tcW w:type="dxa" w:w="5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Cahier des charges du lotissement, convention avec la commune ou prescriptions de l'autorisation fixant les équipements exigés (mosquée, école, voirie…), avec coût, calendrier et financeur</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Commune ; agence urbaine ; promoteur</w:t>
            </w:r>
          </w:p>
        </w:tc>
        <w:tc>
          <w:tcPr>
            <w:tcW w:type="dxa" w:w="2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Version signée</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Équipements exigés non budgétés ; équipement conditionnant la réception</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P36</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Marché de travaux de l'entreprise générale : classification / qualification, nature (forfait, régie), caution de bonne exécution, retenue de garantie</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Promoteur ; entreprise</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Version signée</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Entreprise de travaux et garanties de marché</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P37</w:t>
            </w:r>
          </w:p>
        </w:tc>
        <w:tc>
          <w:tcPr>
            <w:tcW w:type="dxa" w:w="5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Coût à terminaison actualisé (budget initial, engagé, reste à engager, écarts)</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Promoteur ; maître d'œuvre</w:t>
            </w:r>
          </w:p>
        </w:tc>
        <w:tc>
          <w:tcPr>
            <w:tcW w:type="dxa" w:w="2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À chaque revue</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Dépassement du coût à terminaison</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P39</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Note de conjoncture du marché régional (référentiel « Marché régional » de la Direction des risques) ou étude de marché régionale</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Direction des risques ; expert</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Moins de 12 mois</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Tension du marché régional</w:t>
            </w:r>
          </w:p>
        </w:tc>
      </w:tr>
    </w:tbl>
    <w:p>
      <w:pPr>
        <w:pStyle w:val="Heading2"/>
        <w:keepNext/>
      </w:pPr>
      <w:r>
        <w:t xml:space="preserve">D. Commercialisation et acquéreurs</w:t>
      </w:r>
    </w:p>
    <w:tbl>
      <w:tblPr>
        <w:tblW w:type="dxa" w:w="14400"/>
        <w:tblBorders>
          <w:top w:val="single" w:color="AEB6C6" w:sz="2"/>
          <w:left w:val="single" w:color="AEB6C6" w:sz="2"/>
          <w:bottom w:val="single" w:color="AEB6C6" w:sz="2"/>
          <w:right w:val="single" w:color="AEB6C6" w:sz="2"/>
          <w:insideH w:val="single" w:color="D0D6E2" w:sz="1"/>
          <w:insideV w:val="single" w:color="D0D6E2" w:sz="1"/>
        </w:tblBorders>
      </w:tblPr>
      <w:tblGrid>
        <w:gridCol w:w="700"/>
        <w:gridCol w:w="5500"/>
        <w:gridCol w:w="2600"/>
        <w:gridCol w:w="2300"/>
        <w:gridCol w:w="3300"/>
      </w:tblGrid>
      <w:tr>
        <w:trPr>
          <w:cantSplit/>
          <w:tblHeader/>
        </w:trPr>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Réf.</w:t>
            </w:r>
          </w:p>
        </w:tc>
        <w:tc>
          <w:tcPr>
            <w:tcW w:type="dxa" w:w="5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w:t>
            </w:r>
          </w:p>
        </w:tc>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Émetteur</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Fraîcheur</w:t>
            </w:r>
          </w:p>
        </w:tc>
        <w:tc>
          <w:tcPr>
            <w:tcW w:type="dxa" w:w="3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Alimente</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P22</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État des ventes lot par lot : prix, date, statut (réservé, compromis, vendu, livré, désisté), acomptes encaissés</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Promoteur</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Mensuel</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Préventes, ventes vs planning, rotation du stock, DSO</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P23</w:t>
            </w:r>
          </w:p>
        </w:tc>
        <w:tc>
          <w:tcPr>
            <w:tcW w:type="dxa" w:w="5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Contrats de réservation, contrats VEFA (loi 44-00 modifiée par la loi 107-12) et actes de vente</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Notaire ; promoteur</w:t>
            </w:r>
          </w:p>
        </w:tc>
        <w:tc>
          <w:tcPr>
            <w:tcW w:type="dxa" w:w="2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Préventes juridiquement sécurisées</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P24</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Financement de chaque acquéreur : attestation de déblocage, offre ou accord de crédit, dépôt de dossier, justificatif d'autofinancement, dispositif d'aide</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Banque de l'acquéreur ; acquéreur</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À chaque revue</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Ventes sécurisées par le financement acquéreur ; alerte acquéreurs non financés</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P25</w:t>
            </w:r>
          </w:p>
        </w:tc>
        <w:tc>
          <w:tcPr>
            <w:tcW w:type="dxa" w:w="5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État des réclamations clients, désistements et litiges</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Promoteur ; avocat</w:t>
            </w:r>
          </w:p>
        </w:tc>
        <w:tc>
          <w:tcPr>
            <w:tcW w:type="dxa" w:w="2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À chaque revue</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Litiges clients / SAV ; exposition contentieuse</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P38</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Lettre d'engagement d'un opérateur hôtelier, d'un investisseur ou de preneurs pour les composantes non résidentielles (hôtel, commerces, bureaux)</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Opérateur ; investisseur ; preneur</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En vigueur</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Composante sans preneur ; part du CA à écoulement lent</w:t>
            </w:r>
          </w:p>
        </w:tc>
      </w:tr>
    </w:tbl>
    <w:p>
      <w:pPr>
        <w:pStyle w:val="Heading2"/>
        <w:keepNext/>
      </w:pPr>
      <w:r>
        <w:t xml:space="preserve">E. Financement et garanties</w:t>
      </w:r>
    </w:p>
    <w:tbl>
      <w:tblPr>
        <w:tblW w:type="dxa" w:w="14400"/>
        <w:tblBorders>
          <w:top w:val="single" w:color="AEB6C6" w:sz="2"/>
          <w:left w:val="single" w:color="AEB6C6" w:sz="2"/>
          <w:bottom w:val="single" w:color="AEB6C6" w:sz="2"/>
          <w:right w:val="single" w:color="AEB6C6" w:sz="2"/>
          <w:insideH w:val="single" w:color="D0D6E2" w:sz="1"/>
          <w:insideV w:val="single" w:color="D0D6E2" w:sz="1"/>
        </w:tblBorders>
      </w:tblPr>
      <w:tblGrid>
        <w:gridCol w:w="700"/>
        <w:gridCol w:w="5500"/>
        <w:gridCol w:w="2600"/>
        <w:gridCol w:w="2300"/>
        <w:gridCol w:w="3300"/>
      </w:tblGrid>
      <w:tr>
        <w:trPr>
          <w:cantSplit/>
          <w:tblHeader/>
        </w:trPr>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Réf.</w:t>
            </w:r>
          </w:p>
        </w:tc>
        <w:tc>
          <w:tcPr>
            <w:tcW w:type="dxa" w:w="5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w:t>
            </w:r>
          </w:p>
        </w:tc>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Émetteur</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Fraîcheur</w:t>
            </w:r>
          </w:p>
        </w:tc>
        <w:tc>
          <w:tcPr>
            <w:tcW w:type="dxa" w:w="3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Alimente</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P26</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Demande de crédit : montant, natures de concours, échéancier, plan de tirage</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Promoteur ; chargé d'affaires</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LTC ; facilités ; déblocages</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P27</w:t>
            </w:r>
          </w:p>
        </w:tc>
        <w:tc>
          <w:tcPr>
            <w:tcW w:type="dxa" w:w="5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Rapport d'expertise immobilière indépendant (valeur actuelle, valeur à l'achèvement)</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Expert agréé</w:t>
            </w:r>
          </w:p>
        </w:tc>
        <w:tc>
          <w:tcPr>
            <w:tcW w:type="dxa" w:w="2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Moins de 12 mois</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LTV stressée ; couverture des garanties</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P28</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État des garanties proposées (hypothèque, cautions, nantissements, GFA) et projets d'actes</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Promoteur ; notaire</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Couverture des garanties ; rang ; garanties affectées</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P29</w:t>
            </w:r>
          </w:p>
        </w:tc>
        <w:tc>
          <w:tcPr>
            <w:tcW w:type="dxa" w:w="5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Convention de crédit : clause de mainlevée partielle (quotité de désengagement par lot)</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Banque</w:t>
            </w:r>
          </w:p>
        </w:tc>
        <w:tc>
          <w:tcPr>
            <w:tcW w:type="dxa" w:w="2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Version signée</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Quotité de désengagement ; alerte mainlevée sous-tarifée</w:t>
            </w:r>
          </w:p>
        </w:tc>
      </w:tr>
    </w:tbl>
    <w:p>
      <w:pPr>
        <w:pStyle w:val="Heading2"/>
        <w:keepNext/>
      </w:pPr>
      <w:r>
        <w:t xml:space="preserve">F. Situation bancaire et réglementaire (dossier en cours)</w:t>
      </w:r>
    </w:p>
    <w:tbl>
      <w:tblPr>
        <w:tblW w:type="dxa" w:w="14400"/>
        <w:tblBorders>
          <w:top w:val="single" w:color="AEB6C6" w:sz="2"/>
          <w:left w:val="single" w:color="AEB6C6" w:sz="2"/>
          <w:bottom w:val="single" w:color="AEB6C6" w:sz="2"/>
          <w:right w:val="single" w:color="AEB6C6" w:sz="2"/>
          <w:insideH w:val="single" w:color="D0D6E2" w:sz="1"/>
          <w:insideV w:val="single" w:color="D0D6E2" w:sz="1"/>
        </w:tblBorders>
      </w:tblPr>
      <w:tblGrid>
        <w:gridCol w:w="700"/>
        <w:gridCol w:w="5500"/>
        <w:gridCol w:w="2600"/>
        <w:gridCol w:w="2300"/>
        <w:gridCol w:w="3300"/>
      </w:tblGrid>
      <w:tr>
        <w:trPr>
          <w:cantSplit/>
          <w:tblHeader/>
        </w:trPr>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Réf.</w:t>
            </w:r>
          </w:p>
        </w:tc>
        <w:tc>
          <w:tcPr>
            <w:tcW w:type="dxa" w:w="5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w:t>
            </w:r>
          </w:p>
        </w:tc>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Émetteur</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Fraîcheur</w:t>
            </w:r>
          </w:p>
        </w:tc>
        <w:tc>
          <w:tcPr>
            <w:tcW w:type="dxa" w:w="3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Alimente</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P31</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Échéancier et état des impayés, dépassements, mouvements du compte</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SI bancaire (T24 / Evolan)</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À la date du calcul</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Retard de paiement ; dépassements ; crédit in fine (1/W art.10-12)</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P32</w:t>
            </w:r>
          </w:p>
        </w:tc>
        <w:tc>
          <w:tcPr>
            <w:tcW w:type="dxa" w:w="5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Avenants, protocoles de restructuration, reprofilage ou consolidation</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Banque</w:t>
            </w:r>
          </w:p>
        </w:tc>
        <w:tc>
          <w:tcPr>
            <w:tcW w:type="dxa" w:w="2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Restructuration (1/W art.17-31) ; retour en comité</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P33</w:t>
            </w:r>
          </w:p>
        </w:tc>
        <w:tc>
          <w:tcPr>
            <w:tcW w:type="dxa" w:w="5500"/>
            <w:tcMar>
              <w:top w:type="dxa" w:w="40"/>
              <w:left w:type="dxa" w:w="80"/>
              <w:bottom w:type="dxa" w:w="40"/>
              <w:right w:type="dxa" w:w="80"/>
            </w:tcMar>
          </w:tcPr>
          <w:p>
            <w:pPr>
              <w:spacing w:after="0" w:line="240"/>
            </w:pPr>
            <w:r>
              <w:rPr>
                <w:rFonts w:ascii="Calibri" w:cs="Calibri" w:eastAsia="Calibri" w:hAnsi="Calibri"/>
                <w:sz w:val="17"/>
                <w:szCs w:val="17"/>
              </w:rPr>
              <w:t xml:space="preserve">Notifications de saisie-arrêt / ATD, assignations, jugements (redressement, liquidation)</w:t>
            </w:r>
          </w:p>
        </w:tc>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Tribunal ; administration fiscale</w:t>
            </w:r>
          </w:p>
        </w:tc>
        <w:tc>
          <w:tcPr>
            <w:tcW w:type="dxa" w:w="2300"/>
            <w:tcMar>
              <w:top w:type="dxa" w:w="40"/>
              <w:left w:type="dxa" w:w="80"/>
              <w:bottom w:type="dxa" w:w="40"/>
              <w:right w:type="dxa" w:w="80"/>
            </w:tcMar>
          </w:tcPr>
          <w:p>
            <w:pPr>
              <w:spacing w:after="0" w:line="240"/>
            </w:pPr>
            <w:r>
              <w:rPr>
                <w:rFonts w:ascii="Calibri" w:cs="Calibri" w:eastAsia="Calibri" w:hAnsi="Calibri"/>
                <w:sz w:val="17"/>
                <w:szCs w:val="17"/>
              </w:rPr>
              <w:t xml:space="preserve">Dès réception</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Exposition contentieuse ; classification 1/W</w:t>
            </w:r>
          </w:p>
        </w:tc>
      </w:tr>
    </w:tbl>
    <w:p>
      <w:r>
        <w:br w:type="page"/>
      </w:r>
    </w:p>
    <w:p>
      <w:pPr>
        <w:pStyle w:val="Heading1"/>
      </w:pPr>
      <w:r>
        <w:t xml:space="preserve">5. Donnée par donnée : où saisir, quelle pièce, comment calculer</w:t>
      </w:r>
    </w:p>
    <w:p>
      <w:pPr>
        <w:spacing w:after="120" w:before="0" w:line="276"/>
      </w:pPr>
      <w:r>
        <w:rPr>
          <w:rFonts w:ascii="Calibri" w:cs="Calibri" w:eastAsia="Calibri" w:hAnsi="Calibri"/>
          <w:b/>
          <w:bCs/>
          <w:color w:val="C00000"/>
          <w:sz w:val="21"/>
          <w:szCs w:val="21"/>
        </w:rPr>
        <w:t xml:space="preserve">★ </w:t>
      </w:r>
      <w:r>
        <w:rPr>
          <w:rFonts w:ascii="Calibri" w:cs="Calibri" w:eastAsia="Calibri" w:hAnsi="Calibri"/>
          <w:sz w:val="21"/>
          <w:szCs w:val="21"/>
        </w:rPr>
        <w:t xml:space="preserve">donnée décisionnelle (absente = dossier incomplet) · </w:t>
      </w:r>
      <w:r>
        <w:rPr>
          <w:rFonts w:ascii="Calibri" w:cs="Calibri" w:eastAsia="Calibri" w:hAnsi="Calibri"/>
          <w:b/>
          <w:bCs/>
          <w:color w:val="C00000"/>
          <w:sz w:val="21"/>
          <w:szCs w:val="21"/>
        </w:rPr>
        <w:t xml:space="preserve">⛔ </w:t>
      </w:r>
      <w:r>
        <w:rPr>
          <w:rFonts w:ascii="Calibri" w:cs="Calibri" w:eastAsia="Calibri" w:hAnsi="Calibri"/>
          <w:sz w:val="21"/>
          <w:szCs w:val="21"/>
        </w:rPr>
        <w:t xml:space="preserve">critère éliminatoire (jalon indiqué) · </w:t>
      </w:r>
      <w:r>
        <w:rPr>
          <w:rFonts w:ascii="Calibri" w:cs="Calibri" w:eastAsia="Calibri" w:hAnsi="Calibri"/>
          <w:b/>
          <w:bCs/>
          <w:color w:val="2E5496"/>
          <w:sz w:val="21"/>
          <w:szCs w:val="21"/>
        </w:rPr>
        <w:t xml:space="preserve">S </w:t>
      </w:r>
      <w:r>
        <w:rPr>
          <w:rFonts w:ascii="Calibri" w:cs="Calibri" w:eastAsia="Calibri" w:hAnsi="Calibri"/>
          <w:sz w:val="21"/>
          <w:szCs w:val="21"/>
        </w:rPr>
        <w:t xml:space="preserve">note de sûretés. La colonne « Barème » donne la note de 1 à 10 selon la valeur.</w:t>
      </w:r>
    </w:p>
    <w:p>
      <w:pPr>
        <w:pStyle w:val="Heading2"/>
        <w:keepNext/>
      </w:pPr>
      <w:r>
        <w:t xml:space="preserve">D1 — Sponsor &amp; Gouvernance (25 %)</w:t>
      </w:r>
    </w:p>
    <w:tbl>
      <w:tblPr>
        <w:tblW w:type="dxa" w:w="14400"/>
        <w:tblBorders>
          <w:top w:val="single" w:color="AEB6C6" w:sz="2"/>
          <w:left w:val="single" w:color="AEB6C6" w:sz="2"/>
          <w:bottom w:val="single" w:color="AEB6C6" w:sz="2"/>
          <w:right w:val="single" w:color="AEB6C6" w:sz="2"/>
          <w:insideH w:val="single" w:color="D0D6E2" w:sz="1"/>
          <w:insideV w:val="single" w:color="D0D6E2" w:sz="1"/>
        </w:tblBorders>
      </w:tblPr>
      <w:tblGrid>
        <w:gridCol w:w="2600"/>
        <w:gridCol w:w="1100"/>
        <w:gridCol w:w="4300"/>
        <w:gridCol w:w="2600"/>
        <w:gridCol w:w="3800"/>
      </w:tblGrid>
      <w:tr>
        <w:trPr>
          <w:cantSplit/>
          <w:tblHeader/>
        </w:trPr>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Donnée (clé technique)</w:t>
            </w:r>
          </w:p>
        </w:tc>
        <w:tc>
          <w:tcPr>
            <w:tcW w:type="dxa" w:w="11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Pièces</w:t>
            </w:r>
          </w:p>
        </w:tc>
        <w:tc>
          <w:tcPr>
            <w:tcW w:type="dxa" w:w="4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Comment l'obtenir</w:t>
            </w:r>
          </w:p>
        </w:tc>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Barème</w:t>
            </w:r>
          </w:p>
        </w:tc>
        <w:tc>
          <w:tcPr>
            <w:tcW w:type="dxa" w:w="38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Attention</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Projets similaires livrés (5 ans)</w:t>
            </w:r>
            <w:r>
              <w:rPr>
                <w:rFonts w:ascii="Calibri" w:cs="Calibri" w:eastAsia="Calibri" w:hAnsi="Calibri"/>
                <w:color w:val="595959"/>
                <w:sz w:val="14"/>
                <w:szCs w:val="14"/>
              </w:rPr>
              <w:t xml:space="preserve">  D1C1 · promoter_completed_projects</w:t>
            </w:r>
            <w:r>
              <w:rPr>
                <w:rFonts w:ascii="Calibri" w:cs="Calibri" w:eastAsia="Calibri" w:hAnsi="Calibri"/>
                <w:i/>
                <w:iCs/>
                <w:color w:val="595959"/>
                <w:sz w:val="14"/>
                <w:szCs w:val="14"/>
              </w:rPr>
              <w:br/>
              <w:t xml:space="preserve">  Étape : Promoteur &amp; Gouvernance</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P05</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Nombre de programmes comparables (nature, taille, standing) LIVRÉS par le promoteur ou son équipe dirigeante sur 5 ans, justifiés par permis d'habiter, certificat de conformité ou PV de réception.</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&lt; 1 → 1 · 1 à &lt; 3 → 6 · ≥ 3 → 10</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Ne pas compter les programmes en cours ni ceux d'un autre métier (négoce, BTP pour tiers).</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Gearing promoteur (%)</w:t>
            </w:r>
            <w:r>
              <w:rPr>
                <w:rFonts w:ascii="Calibri" w:cs="Calibri" w:eastAsia="Calibri" w:hAnsi="Calibri"/>
                <w:color w:val="595959"/>
                <w:sz w:val="14"/>
                <w:szCs w:val="14"/>
              </w:rPr>
              <w:t xml:space="preserve">  D1C2 · promoter_gearing</w:t>
            </w:r>
            <w:r>
              <w:rPr>
                <w:rFonts w:ascii="Calibri" w:cs="Calibri" w:eastAsia="Calibri" w:hAnsi="Calibri"/>
                <w:i/>
                <w:iCs/>
                <w:color w:val="595959"/>
                <w:sz w:val="14"/>
                <w:szCs w:val="14"/>
              </w:rPr>
              <w:br/>
              <w:t xml:space="preserve">  Étape : Promoteur &amp; Gouvernance</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P04, P06</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(Dettes financières − trésorerie) / fonds propres × 100, sur le dernier bilan certifié, corrigé des engagements connus depuis la clôture.</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&lt; 100 → 10 · 100 à &lt; 150 → 6 · ≥ 150 → 1</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Inclure les comptes courants d'associés remboursables et les dettes des sociétés sœurs si elles sont garanties.</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Gouvernance</w:t>
            </w:r>
            <w:r>
              <w:rPr>
                <w:rFonts w:ascii="Calibri" w:cs="Calibri" w:eastAsia="Calibri" w:hAnsi="Calibri"/>
                <w:color w:val="595959"/>
                <w:sz w:val="14"/>
                <w:szCs w:val="14"/>
              </w:rPr>
              <w:t xml:space="preserve">  D1C3 · governance_quality</w:t>
            </w:r>
            <w:r>
              <w:rPr>
                <w:rFonts w:ascii="Calibri" w:cs="Calibri" w:eastAsia="Calibri" w:hAnsi="Calibri"/>
                <w:i/>
                <w:iCs/>
                <w:color w:val="595959"/>
                <w:sz w:val="14"/>
                <w:szCs w:val="14"/>
              </w:rPr>
              <w:br/>
              <w:t xml:space="preserve">  Étape : Promoteur &amp; Gouvernance</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P01, P02, P03</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Claire : organes réguliers, comptes certifiés, séparation patrimoine / société. Partielle : l'un de ces points manque. Opaque : actionnariat ou comptes non documentés.</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Opaque → 1 · Partielle → 6 · Claire / structurée → 10</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Une société de programme récente se juge sur son actionnaire de référence.</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Concentration mono-projet (%)</w:t>
            </w:r>
            <w:r>
              <w:rPr>
                <w:rFonts w:ascii="Calibri" w:cs="Calibri" w:eastAsia="Calibri" w:hAnsi="Calibri"/>
                <w:color w:val="595959"/>
                <w:sz w:val="14"/>
                <w:szCs w:val="14"/>
              </w:rPr>
              <w:t xml:space="preserve">  D1C4 · mono_project_concentration</w:t>
            </w:r>
            <w:r>
              <w:rPr>
                <w:rFonts w:ascii="Calibri" w:cs="Calibri" w:eastAsia="Calibri" w:hAnsi="Calibri"/>
                <w:i/>
                <w:iCs/>
                <w:color w:val="595959"/>
                <w:sz w:val="14"/>
                <w:szCs w:val="14"/>
              </w:rPr>
              <w:br/>
              <w:t xml:space="preserve">  Étape : Promoteur &amp; Gouvernance</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P08</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Chiffre d'affaires du programme / chiffre d'affaires total prévisionnel du promoteur (ou du groupe) × 100.</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&lt; 40 → 10 · 40 à &lt; 60 → 6 · ≥ 60 → 1</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Une société dédiée au seul programme est à 100 % : c'est l'information attendue, pas une erreur.</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Typologie promoteur</w:t>
            </w:r>
            <w:r>
              <w:rPr>
                <w:rFonts w:ascii="Calibri" w:cs="Calibri" w:eastAsia="Calibri" w:hAnsi="Calibri"/>
                <w:color w:val="595959"/>
                <w:sz w:val="14"/>
                <w:szCs w:val="14"/>
              </w:rPr>
              <w:t xml:space="preserve">  D1C5 · promoter_type</w:t>
            </w:r>
            <w:r>
              <w:rPr>
                <w:rFonts w:ascii="Calibri" w:cs="Calibri" w:eastAsia="Calibri" w:hAnsi="Calibri"/>
                <w:i/>
                <w:iCs/>
                <w:color w:val="595959"/>
                <w:sz w:val="14"/>
                <w:szCs w:val="14"/>
              </w:rPr>
              <w:br/>
              <w:t xml:space="preserve">  Étape : Promoteur &amp; Gouvernance</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P05, P04</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Structuré : équipe, historique et comptes solides, plusieurs programmes. Régional : actif sur une zone, taille moyenne. Opportuniste : premier programme ou activité ponctuelle.</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Opportuniste → 2 · Régional → 6 · Structuré → 10</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Se fonder sur les références justifiées, pas sur la notoriété déclarée.</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 </w:t>
            </w:r>
            <w:r>
              <w:rPr>
                <w:rFonts w:ascii="Calibri" w:cs="Calibri" w:eastAsia="Calibri" w:hAnsi="Calibri"/>
                <w:b/>
                <w:bCs/>
                <w:color w:val="C00000"/>
                <w:sz w:val="15"/>
                <w:szCs w:val="15"/>
              </w:rPr>
              <w:t xml:space="preserve">⛔ SIGNATURE </w:t>
            </w:r>
            <w:r>
              <w:rPr>
                <w:rFonts w:ascii="Calibri" w:cs="Calibri" w:eastAsia="Calibri" w:hAnsi="Calibri"/>
                <w:b/>
                <w:bCs/>
                <w:sz w:val="17"/>
                <w:szCs w:val="17"/>
              </w:rPr>
              <w:t xml:space="preserve">Apport effectif injecté / prévu (%)</w:t>
            </w:r>
            <w:r>
              <w:rPr>
                <w:rFonts w:ascii="Calibri" w:cs="Calibri" w:eastAsia="Calibri" w:hAnsi="Calibri"/>
                <w:color w:val="595959"/>
                <w:sz w:val="14"/>
                <w:szCs w:val="14"/>
              </w:rPr>
              <w:t xml:space="preserve">  D1C6 · equity_injected_ratio</w:t>
            </w:r>
            <w:r>
              <w:rPr>
                <w:rFonts w:ascii="Calibri" w:cs="Calibri" w:eastAsia="Calibri" w:hAnsi="Calibri"/>
                <w:i/>
                <w:iCs/>
                <w:color w:val="595959"/>
                <w:sz w:val="14"/>
                <w:szCs w:val="14"/>
              </w:rPr>
              <w:br/>
              <w:t xml:space="preserve">  Étape : Promoteur &amp; Gouvernance</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P11, P04, P17</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Apport effectivement injecté (terrain payé, fonds versés sur le compte du programme) / apport prévu au plan de financement × 100.</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&lt; 80 → 1 · 80 à &lt; 100 → 6 · ≥ 100 → 10</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DONNÉE DÉCISIONNELLE et critère éliminatoire (jalon SIGNATURE) : un apport promis n'est pas un apport injecté. Exiger les justificatifs de paiement.</w:t>
            </w:r>
          </w:p>
        </w:tc>
      </w:tr>
    </w:tbl>
    <w:p>
      <w:pPr>
        <w:pStyle w:val="Heading2"/>
        <w:keepNext/>
      </w:pPr>
      <w:r>
        <w:t xml:space="preserve">D2 — Qualité intrinsèque du projet (20 %)</w:t>
      </w:r>
    </w:p>
    <w:tbl>
      <w:tblPr>
        <w:tblW w:type="dxa" w:w="14400"/>
        <w:tblBorders>
          <w:top w:val="single" w:color="AEB6C6" w:sz="2"/>
          <w:left w:val="single" w:color="AEB6C6" w:sz="2"/>
          <w:bottom w:val="single" w:color="AEB6C6" w:sz="2"/>
          <w:right w:val="single" w:color="AEB6C6" w:sz="2"/>
          <w:insideH w:val="single" w:color="D0D6E2" w:sz="1"/>
          <w:insideV w:val="single" w:color="D0D6E2" w:sz="1"/>
        </w:tblBorders>
      </w:tblPr>
      <w:tblGrid>
        <w:gridCol w:w="2600"/>
        <w:gridCol w:w="1100"/>
        <w:gridCol w:w="4300"/>
        <w:gridCol w:w="2600"/>
        <w:gridCol w:w="3800"/>
      </w:tblGrid>
      <w:tr>
        <w:trPr>
          <w:cantSplit/>
          <w:tblHeader/>
        </w:trPr>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Donnée (clé technique)</w:t>
            </w:r>
          </w:p>
        </w:tc>
        <w:tc>
          <w:tcPr>
            <w:tcW w:type="dxa" w:w="11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Pièces</w:t>
            </w:r>
          </w:p>
        </w:tc>
        <w:tc>
          <w:tcPr>
            <w:tcW w:type="dxa" w:w="4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Comment l'obtenir</w:t>
            </w:r>
          </w:p>
        </w:tc>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Barème</w:t>
            </w:r>
          </w:p>
        </w:tc>
        <w:tc>
          <w:tcPr>
            <w:tcW w:type="dxa" w:w="38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Attention</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 </w:t>
            </w:r>
            <w:r>
              <w:rPr>
                <w:rFonts w:ascii="Calibri" w:cs="Calibri" w:eastAsia="Calibri" w:hAnsi="Calibri"/>
                <w:b/>
                <w:bCs/>
                <w:color w:val="C00000"/>
                <w:sz w:val="15"/>
                <w:szCs w:val="15"/>
              </w:rPr>
              <w:t xml:space="preserve">⛔ TIRAGE </w:t>
            </w:r>
            <w:r>
              <w:rPr>
                <w:rFonts w:ascii="Calibri" w:cs="Calibri" w:eastAsia="Calibri" w:hAnsi="Calibri"/>
                <w:b/>
                <w:bCs/>
                <w:sz w:val="17"/>
                <w:szCs w:val="17"/>
              </w:rPr>
              <w:t xml:space="preserve">Foncier &amp; autorisations</w:t>
            </w:r>
            <w:r>
              <w:rPr>
                <w:rFonts w:ascii="Calibri" w:cs="Calibri" w:eastAsia="Calibri" w:hAnsi="Calibri"/>
                <w:color w:val="595959"/>
                <w:sz w:val="14"/>
                <w:szCs w:val="14"/>
              </w:rPr>
              <w:t xml:space="preserve">  D2C1 · land_permits_status</w:t>
            </w:r>
            <w:r>
              <w:rPr>
                <w:rFonts w:ascii="Calibri" w:cs="Calibri" w:eastAsia="Calibri" w:hAnsi="Calibri"/>
                <w:i/>
                <w:iCs/>
                <w:color w:val="595959"/>
                <w:sz w:val="14"/>
                <w:szCs w:val="14"/>
              </w:rPr>
              <w:br/>
              <w:t xml:space="preserve">  Étape : Qualité du projet (Foncier / Autorisations)</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P10, P13</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Définitives : titre purgé ET autorisation (lotir / construire) obtenue. Partielles : l'une des deux manque. Absentes : ni titre purgé, ni autorisation.</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Titre non purgé / autorisations absentes → 1 · Partielles → 6 · Titre purgé + autorisations définitives → 10</w:t>
            </w:r>
          </w:p>
        </w:tc>
        <w:tc>
          <w:tcPr>
            <w:tcW w:type="dxa" w:w="3800"/>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DONNÉE DÉCISIONNELLE et critère éliminatoire (jalon TIRAGE) : aucun tirage travaux sans titre purgé et autorisation.</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Marché &amp; positionnement</w:t>
            </w:r>
            <w:r>
              <w:rPr>
                <w:rFonts w:ascii="Calibri" w:cs="Calibri" w:eastAsia="Calibri" w:hAnsi="Calibri"/>
                <w:color w:val="595959"/>
                <w:sz w:val="14"/>
                <w:szCs w:val="14"/>
              </w:rPr>
              <w:t xml:space="preserve">  D2C2 · market_positioning</w:t>
            </w:r>
            <w:r>
              <w:rPr>
                <w:rFonts w:ascii="Calibri" w:cs="Calibri" w:eastAsia="Calibri" w:hAnsi="Calibri"/>
                <w:i/>
                <w:iCs/>
                <w:color w:val="595959"/>
                <w:sz w:val="14"/>
                <w:szCs w:val="14"/>
              </w:rPr>
              <w:br/>
              <w:t xml:space="preserve">  Étape : Qualité du projet (Foncier / Autorisations)</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P18, P27</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Comparer la grille de prix aux transactions récentes de la zone et au pouvoir d'achat de la clientèle visée.</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Sur-positionné / sur-offre → 2 · Correct → 6 · Aligné / forte demande → 10</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Un prix au-dessus du marché gonfle la marge et les préventes affichées : le signaler ici.</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Complexité technique</w:t>
            </w:r>
            <w:r>
              <w:rPr>
                <w:rFonts w:ascii="Calibri" w:cs="Calibri" w:eastAsia="Calibri" w:hAnsi="Calibri"/>
                <w:color w:val="595959"/>
                <w:sz w:val="14"/>
                <w:szCs w:val="14"/>
              </w:rPr>
              <w:t xml:space="preserve">  D2C3 · technical_complexity</w:t>
            </w:r>
            <w:r>
              <w:rPr>
                <w:rFonts w:ascii="Calibri" w:cs="Calibri" w:eastAsia="Calibri" w:hAnsi="Calibri"/>
                <w:i/>
                <w:iCs/>
                <w:color w:val="595959"/>
                <w:sz w:val="14"/>
                <w:szCs w:val="14"/>
              </w:rPr>
              <w:br/>
              <w:t xml:space="preserve">  Étape : Qualité du projet (Foncier / Autorisations)</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P19</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Standard : bâtiment courant. Moyenne : sous-sols profonds, IGH, terrain difficile. Élevée : ouvrage complexe, nombreux corps d'état, contraintes de site.</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Élevée → 2 · Moyenne → 6 · Standard → 10</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S'appuyer sur la note du BET, pas sur le seul descriptif commercial.</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Avancement vs planning (%)</w:t>
            </w:r>
            <w:r>
              <w:rPr>
                <w:rFonts w:ascii="Calibri" w:cs="Calibri" w:eastAsia="Calibri" w:hAnsi="Calibri"/>
                <w:color w:val="595959"/>
                <w:sz w:val="14"/>
                <w:szCs w:val="14"/>
              </w:rPr>
              <w:t xml:space="preserve">  D2C4 · progress_vs_plan</w:t>
            </w:r>
            <w:r>
              <w:rPr>
                <w:rFonts w:ascii="Calibri" w:cs="Calibri" w:eastAsia="Calibri" w:hAnsi="Calibri"/>
                <w:i/>
                <w:iCs/>
                <w:color w:val="595959"/>
                <w:sz w:val="14"/>
                <w:szCs w:val="14"/>
              </w:rPr>
              <w:br/>
              <w:t xml:space="preserve">  Étape : Qualité du projet (Foncier / Autorisations)</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P21, P20</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Avancement constaté (dernière situation visée ou visite) / avancement prévu au planning à la même date × 100. Calculé automatiquement par « Synchroniser vers le scoring » si des rapports de visite existent.</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&lt; 80 → 1 · 80 à &lt; 100 → 6 · ≥ 100 → 10</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Utiliser l'avancement physique visé, pas le pourcentage de budget consommé.</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Litiges clients / SAV</w:t>
            </w:r>
            <w:r>
              <w:rPr>
                <w:rFonts w:ascii="Calibri" w:cs="Calibri" w:eastAsia="Calibri" w:hAnsi="Calibri"/>
                <w:color w:val="595959"/>
                <w:sz w:val="14"/>
                <w:szCs w:val="14"/>
              </w:rPr>
              <w:t xml:space="preserve">  D2C5 · sav_litigation</w:t>
            </w:r>
            <w:r>
              <w:rPr>
                <w:rFonts w:ascii="Calibri" w:cs="Calibri" w:eastAsia="Calibri" w:hAnsi="Calibri"/>
                <w:i/>
                <w:iCs/>
                <w:color w:val="595959"/>
                <w:sz w:val="14"/>
                <w:szCs w:val="14"/>
              </w:rPr>
              <w:br/>
              <w:t xml:space="preserve">  Étape : Qualité du projet (Foncier / Autorisations)</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P25, P05</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Faible : réclamations isolées et traitées. Moyen : réclamations récurrentes. Élevé : litiges en cours ou réputation dégradée.</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Élevé → 2 · Moyen → 6 · Faible → 10</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Interroger aussi les programmes livrés précédents.</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Sensibilité macro / subvention</w:t>
            </w:r>
            <w:r>
              <w:rPr>
                <w:rFonts w:ascii="Calibri" w:cs="Calibri" w:eastAsia="Calibri" w:hAnsi="Calibri"/>
                <w:color w:val="595959"/>
                <w:sz w:val="14"/>
                <w:szCs w:val="14"/>
              </w:rPr>
              <w:t xml:space="preserve">  D2C6 · macro_sensitivity</w:t>
            </w:r>
            <w:r>
              <w:rPr>
                <w:rFonts w:ascii="Calibri" w:cs="Calibri" w:eastAsia="Calibri" w:hAnsi="Calibri"/>
                <w:i/>
                <w:iCs/>
                <w:color w:val="595959"/>
                <w:sz w:val="14"/>
                <w:szCs w:val="14"/>
              </w:rPr>
              <w:br/>
              <w:t xml:space="preserve">  Étape : Qualité du projet (Foncier / Autorisations)</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P18</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Élevée : programme dépendant d'une aide publique ou d'une clientèle très exposée au crédit. Moyenne : dépendance partielle. Faible : clientèle diversifiée et solvable.</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Élevée → 2 · Moyenne → 6 · Faible → 10</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Le logement social et intermédiaire dépend des dispositifs d'aide : vérifier leur durée.</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Coût foncier / CA (%)</w:t>
            </w:r>
            <w:r>
              <w:rPr>
                <w:rFonts w:ascii="Calibri" w:cs="Calibri" w:eastAsia="Calibri" w:hAnsi="Calibri"/>
                <w:color w:val="595959"/>
                <w:sz w:val="14"/>
                <w:szCs w:val="14"/>
              </w:rPr>
              <w:t xml:space="preserve">  D2C7 · land_cost_ratio</w:t>
            </w:r>
            <w:r>
              <w:rPr>
                <w:rFonts w:ascii="Calibri" w:cs="Calibri" w:eastAsia="Calibri" w:hAnsi="Calibri"/>
                <w:i/>
                <w:iCs/>
                <w:color w:val="595959"/>
                <w:sz w:val="14"/>
                <w:szCs w:val="14"/>
              </w:rPr>
              <w:br/>
              <w:t xml:space="preserve">  Étape : Qualité du projet (Foncier / Autorisations)</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P11, P16</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Coût d'acquisition du terrain (frais inclus) / chiffre d'affaires total prévu × 100.</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&lt; 25 → 10 · 25 à &lt; 35 → 6 · ≥ 35 → 1</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Retenir le coût réel d'acquisition, pas la valeur d'apport réévaluée.</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Chaîne d'autorisations — complétude (%)</w:t>
            </w:r>
            <w:r>
              <w:rPr>
                <w:rFonts w:ascii="Calibri" w:cs="Calibri" w:eastAsia="Calibri" w:hAnsi="Calibri"/>
                <w:color w:val="595959"/>
                <w:sz w:val="14"/>
                <w:szCs w:val="14"/>
              </w:rPr>
              <w:t xml:space="preserve">  D2C8 · authorization_completeness_pct</w:t>
            </w:r>
            <w:r>
              <w:rPr>
                <w:rFonts w:ascii="Calibri" w:cs="Calibri" w:eastAsia="Calibri" w:hAnsi="Calibri"/>
                <w:i/>
                <w:iCs/>
                <w:color w:val="595959"/>
                <w:sz w:val="14"/>
                <w:szCs w:val="14"/>
              </w:rPr>
              <w:br/>
              <w:t xml:space="preserve">  Étape : Pratique marocaine (modèle v4)</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P10, P12, P13, P14, P15</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Pièces obtenues / pièces exigibles selon la nature du programme × 100. Cocher chaque pièce dans « Foncier, autorisations &amp; désengagement » : le pourcentage est calculé par « Synchroniser vers le scoring ».</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&lt; 50 % → 1 · 50 à &lt; 100 % → 6 · ≥ 100 % → 10</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Ne saisir le pourcentage à la main que si l'écran n'est pas utilisable. La nature (lotissement, construction, mixte) change la liste exigible.</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Tension du marché régional</w:t>
            </w:r>
            <w:r>
              <w:rPr>
                <w:rFonts w:ascii="Calibri" w:cs="Calibri" w:eastAsia="Calibri" w:hAnsi="Calibri"/>
                <w:color w:val="595959"/>
                <w:sz w:val="14"/>
                <w:szCs w:val="14"/>
              </w:rPr>
              <w:t xml:space="preserve">  D2C9 · regional_market_tension</w:t>
            </w:r>
            <w:r>
              <w:rPr>
                <w:rFonts w:ascii="Calibri" w:cs="Calibri" w:eastAsia="Calibri" w:hAnsi="Calibri"/>
                <w:i/>
                <w:iCs/>
                <w:color w:val="595959"/>
                <w:sz w:val="14"/>
                <w:szCs w:val="14"/>
              </w:rPr>
              <w:br/>
              <w:t xml:space="preserve">  Étape : Programme, tranche, équipements et déblocages (modèle v5)</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P39, P18</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Lue dans le référentiel « Marché régional » (région administrative du programme × segment) par « Synchroniser vers le scoring ». À défaut de référentiel, apprécier sur l'étude de marché régionale.</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Marché en surstock (écoulement lent, prix sous pression) → 2 · Marché équilibré → 6 · Marché porteur (demande soutenue) → 10</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Une appréciation de plus de 12 mois est signalée périmée. Région non renseignée ou hors référentiel : donnée absente, note plancher.</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Entreprise de travaux et garanties de marché</w:t>
            </w:r>
            <w:r>
              <w:rPr>
                <w:rFonts w:ascii="Calibri" w:cs="Calibri" w:eastAsia="Calibri" w:hAnsi="Calibri"/>
                <w:color w:val="595959"/>
                <w:sz w:val="14"/>
                <w:szCs w:val="14"/>
              </w:rPr>
              <w:t xml:space="preserve">  D2C10 · contractor_quality</w:t>
            </w:r>
            <w:r>
              <w:rPr>
                <w:rFonts w:ascii="Calibri" w:cs="Calibri" w:eastAsia="Calibri" w:hAnsi="Calibri"/>
                <w:i/>
                <w:iCs/>
                <w:color w:val="595959"/>
                <w:sz w:val="14"/>
                <w:szCs w:val="14"/>
              </w:rPr>
              <w:br/>
              <w:t xml:space="preserve">  Étape : Programme, tranche, équipements et déblocages (modèle v5)</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P36, P19</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Choisir la modalité au vu du marché de travaux : qualification et classification de l'entreprise, marché forfaitaire ou en régie, caution de bonne exécution et retenue de garantie.</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Entreprise non qualifiée, travaux en régie ou promoteur-constructeur sans structure → 2 · Entreprise qualifiée, garanties de marché partielles → 6 · Entreprise qualifiée et classée, marché forfaitaire avec caution de bonne exécution et retenue de garantie → 10</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Un promoteur qui construit lui-même sans structure dédiée relève de « non qualifiée ».</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Équipements exigés non budgétés (% du coût)</w:t>
            </w:r>
            <w:r>
              <w:rPr>
                <w:rFonts w:ascii="Calibri" w:cs="Calibri" w:eastAsia="Calibri" w:hAnsi="Calibri"/>
                <w:color w:val="595959"/>
                <w:sz w:val="14"/>
                <w:szCs w:val="14"/>
              </w:rPr>
              <w:t xml:space="preserve">  D2C11 · equipment_unbudgeted_pct</w:t>
            </w:r>
            <w:r>
              <w:rPr>
                <w:rFonts w:ascii="Calibri" w:cs="Calibri" w:eastAsia="Calibri" w:hAnsi="Calibri"/>
                <w:i/>
                <w:iCs/>
                <w:color w:val="595959"/>
                <w:sz w:val="14"/>
                <w:szCs w:val="14"/>
              </w:rPr>
              <w:br/>
              <w:t xml:space="preserve">  Étape : Programme, tranche, équipements et déblocages (modèle v5)</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P35, P16</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Calculé par la synchronisation : coût des équipements exigés non budgétés et à la charge du programme / coût total × 100. Saisir les équipements dans Suivi › « Programme, tranche financée, équipements ».</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0 % — tout est budgété → 10 · &gt; 0 à &lt; 3 % → 6 · ≥ 3 % → 1</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Équipements non déclarés = donnée absente (note plancher). S'il n'y en a aucun, le déclarer explicitement. Un équipement financé par la commune est exclu.</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Autonomie du périmètre financé (tranche)</w:t>
            </w:r>
            <w:r>
              <w:rPr>
                <w:rFonts w:ascii="Calibri" w:cs="Calibri" w:eastAsia="Calibri" w:hAnsi="Calibri"/>
                <w:color w:val="595959"/>
                <w:sz w:val="14"/>
                <w:szCs w:val="14"/>
              </w:rPr>
              <w:t xml:space="preserve">  D2C12 · tranche_dependency</w:t>
            </w:r>
            <w:r>
              <w:rPr>
                <w:rFonts w:ascii="Calibri" w:cs="Calibri" w:eastAsia="Calibri" w:hAnsi="Calibri"/>
                <w:i/>
                <w:iCs/>
                <w:color w:val="595959"/>
                <w:sz w:val="14"/>
                <w:szCs w:val="14"/>
              </w:rPr>
              <w:br/>
              <w:t xml:space="preserve">  Étape : Programme, tranche, équipements et déblocages (modèle v5)</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P34</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Programme entier financé : renseigné automatiquement. Financement d'une tranche : apprécier si elle peut être achevée, livrée et vendue sans les ouvrages communs d'autres tranches.</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Tranche dépendante d'ouvrages communs non financés → 1 · Tranche dépendante d'ouvrages communs financés ou réalisés → 6 · Tranche autonome (accès, VRD et raccordements propres) → 10 · Financement du programme entier → 10</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Dépendante d'ouvrages non financés » déclenche une alerte avec retour en comité : exiger le financement ou la réalisation préalable des ouvrages communs.</w:t>
            </w:r>
          </w:p>
        </w:tc>
      </w:tr>
    </w:tbl>
    <w:p>
      <w:pPr>
        <w:pStyle w:val="Heading2"/>
        <w:keepNext/>
      </w:pPr>
      <w:r>
        <w:t xml:space="preserve">D3 — Commercial &amp; Cash-flow (31 %)</w:t>
      </w:r>
    </w:p>
    <w:tbl>
      <w:tblPr>
        <w:tblW w:type="dxa" w:w="14400"/>
        <w:tblBorders>
          <w:top w:val="single" w:color="AEB6C6" w:sz="2"/>
          <w:left w:val="single" w:color="AEB6C6" w:sz="2"/>
          <w:bottom w:val="single" w:color="AEB6C6" w:sz="2"/>
          <w:right w:val="single" w:color="AEB6C6" w:sz="2"/>
          <w:insideH w:val="single" w:color="D0D6E2" w:sz="1"/>
          <w:insideV w:val="single" w:color="D0D6E2" w:sz="1"/>
        </w:tblBorders>
      </w:tblPr>
      <w:tblGrid>
        <w:gridCol w:w="2600"/>
        <w:gridCol w:w="1100"/>
        <w:gridCol w:w="4300"/>
        <w:gridCol w:w="2600"/>
        <w:gridCol w:w="3800"/>
      </w:tblGrid>
      <w:tr>
        <w:trPr>
          <w:cantSplit/>
          <w:tblHeader/>
        </w:trPr>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Donnée (clé technique)</w:t>
            </w:r>
          </w:p>
        </w:tc>
        <w:tc>
          <w:tcPr>
            <w:tcW w:type="dxa" w:w="11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Pièces</w:t>
            </w:r>
          </w:p>
        </w:tc>
        <w:tc>
          <w:tcPr>
            <w:tcW w:type="dxa" w:w="4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Comment l'obtenir</w:t>
            </w:r>
          </w:p>
        </w:tc>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Barème</w:t>
            </w:r>
          </w:p>
        </w:tc>
        <w:tc>
          <w:tcPr>
            <w:tcW w:type="dxa" w:w="38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Attention</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 </w:t>
            </w:r>
            <w:r>
              <w:rPr>
                <w:rFonts w:ascii="Calibri" w:cs="Calibri" w:eastAsia="Calibri" w:hAnsi="Calibri"/>
                <w:b/>
                <w:bCs/>
                <w:sz w:val="17"/>
                <w:szCs w:val="17"/>
              </w:rPr>
              <w:t xml:space="preserve">Préventes sécurisées (%)</w:t>
            </w:r>
            <w:r>
              <w:rPr>
                <w:rFonts w:ascii="Calibri" w:cs="Calibri" w:eastAsia="Calibri" w:hAnsi="Calibri"/>
                <w:color w:val="595959"/>
                <w:sz w:val="14"/>
                <w:szCs w:val="14"/>
              </w:rPr>
              <w:t xml:space="preserve">  D3C1 · pre_sale_rate</w:t>
            </w:r>
            <w:r>
              <w:rPr>
                <w:rFonts w:ascii="Calibri" w:cs="Calibri" w:eastAsia="Calibri" w:hAnsi="Calibri"/>
                <w:i/>
                <w:iCs/>
                <w:color w:val="595959"/>
                <w:sz w:val="14"/>
                <w:szCs w:val="14"/>
              </w:rPr>
              <w:br/>
              <w:t xml:space="preserve">  Étape : Commercialisation &amp; Cash-flow</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P22, P23</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Prix des lots juridiquement engagés (réservés, compromis, vendus), nets des désistements / chiffre d'affaires total × 100. Calculé par la synchronisation depuis les lots.</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&lt; 25 → 1 · 25 à &lt; 40 → 6 · ≥ 40 → 10</w:t>
            </w:r>
          </w:p>
        </w:tc>
        <w:tc>
          <w:tcPr>
            <w:tcW w:type="dxa" w:w="3800"/>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DONNÉE DÉCISIONNELLE : si elle manque, le dossier est incomplet. Une réservation sans contrat ne compte pas.</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Ventes vs planning (%)</w:t>
            </w:r>
            <w:r>
              <w:rPr>
                <w:rFonts w:ascii="Calibri" w:cs="Calibri" w:eastAsia="Calibri" w:hAnsi="Calibri"/>
                <w:color w:val="595959"/>
                <w:sz w:val="14"/>
                <w:szCs w:val="14"/>
              </w:rPr>
              <w:t xml:space="preserve">  D3C2 · sales_vs_plan</w:t>
            </w:r>
            <w:r>
              <w:rPr>
                <w:rFonts w:ascii="Calibri" w:cs="Calibri" w:eastAsia="Calibri" w:hAnsi="Calibri"/>
                <w:i/>
                <w:iCs/>
                <w:color w:val="595959"/>
                <w:sz w:val="14"/>
                <w:szCs w:val="14"/>
              </w:rPr>
              <w:br/>
              <w:t xml:space="preserve">  Étape : Commercialisation &amp; Cash-flow</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P22, P16</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Ventes fermes à date / ventes prévues à la même date par le business plan × 100.</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&lt; 80 → 1 · 80 à &lt; 100 → 6 · ≥ 100 → 10</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Comparer au planning commercial d'origine, pas à un planning révisé sans validation.</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DSO (jours)</w:t>
            </w:r>
            <w:r>
              <w:rPr>
                <w:rFonts w:ascii="Calibri" w:cs="Calibri" w:eastAsia="Calibri" w:hAnsi="Calibri"/>
                <w:color w:val="595959"/>
                <w:sz w:val="14"/>
                <w:szCs w:val="14"/>
              </w:rPr>
              <w:t xml:space="preserve">  D3C3 · dso_days</w:t>
            </w:r>
            <w:r>
              <w:rPr>
                <w:rFonts w:ascii="Calibri" w:cs="Calibri" w:eastAsia="Calibri" w:hAnsi="Calibri"/>
                <w:i/>
                <w:iCs/>
                <w:color w:val="595959"/>
                <w:sz w:val="14"/>
                <w:szCs w:val="14"/>
              </w:rPr>
              <w:br/>
              <w:t xml:space="preserve">  Étape : Commercialisation &amp; Cash-flow</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P22</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Délai moyen d'encaissement des sommes dues par les acquéreurs, en jours.</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&lt; 120 → 10 · 120 à &lt; 240 → 6 · ≥ 240 → 1</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Les acomptes non appelés ne sont pas des créances.</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 </w:t>
            </w:r>
            <w:r>
              <w:rPr>
                <w:rFonts w:ascii="Calibri" w:cs="Calibri" w:eastAsia="Calibri" w:hAnsi="Calibri"/>
                <w:b/>
                <w:bCs/>
                <w:sz w:val="17"/>
                <w:szCs w:val="17"/>
              </w:rPr>
              <w:t xml:space="preserve">Cash coverage (x)</w:t>
            </w:r>
            <w:r>
              <w:rPr>
                <w:rFonts w:ascii="Calibri" w:cs="Calibri" w:eastAsia="Calibri" w:hAnsi="Calibri"/>
                <w:color w:val="595959"/>
                <w:sz w:val="14"/>
                <w:szCs w:val="14"/>
              </w:rPr>
              <w:t xml:space="preserve">  D3C4 · cash_coverage</w:t>
            </w:r>
            <w:r>
              <w:rPr>
                <w:rFonts w:ascii="Calibri" w:cs="Calibri" w:eastAsia="Calibri" w:hAnsi="Calibri"/>
                <w:i/>
                <w:iCs/>
                <w:color w:val="595959"/>
                <w:sz w:val="14"/>
                <w:szCs w:val="14"/>
              </w:rPr>
              <w:br/>
              <w:t xml:space="preserve">  Étape : Commercialisation &amp; Cash-flow</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P17</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Ressources certaines de la période (trésorerie, tirages autorisés, encaissements sécurisés) / sorties de la période. L'écran « Trésorerie mensuelle &amp; impasse » de la fiche le reconstitue.</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&lt; 1 → 1 · 1 à &lt; 1,2 → 6 · ≥ 1,2 → 10</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DONNÉE DÉCISIONNELLE et clé d'alerte (&lt; 1,0 : malus 25). Sans plan de trésorerie mensuel, ne pas estimer au jugé.</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 </w:t>
            </w:r>
            <w:r>
              <w:rPr>
                <w:rFonts w:ascii="Calibri" w:cs="Calibri" w:eastAsia="Calibri" w:hAnsi="Calibri"/>
                <w:b/>
                <w:bCs/>
                <w:sz w:val="17"/>
                <w:szCs w:val="17"/>
              </w:rPr>
              <w:t xml:space="preserve">Impasse brute (%)</w:t>
            </w:r>
            <w:r>
              <w:rPr>
                <w:rFonts w:ascii="Calibri" w:cs="Calibri" w:eastAsia="Calibri" w:hAnsi="Calibri"/>
                <w:color w:val="595959"/>
                <w:sz w:val="14"/>
                <w:szCs w:val="14"/>
              </w:rPr>
              <w:t xml:space="preserve">  D3C5 · funding_gap_pct</w:t>
            </w:r>
            <w:r>
              <w:rPr>
                <w:rFonts w:ascii="Calibri" w:cs="Calibri" w:eastAsia="Calibri" w:hAnsi="Calibri"/>
                <w:i/>
                <w:iCs/>
                <w:color w:val="595959"/>
                <w:sz w:val="14"/>
                <w:szCs w:val="14"/>
              </w:rPr>
              <w:br/>
              <w:t xml:space="preserve">  Étape : Commercialisation &amp; Cash-flow</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P17</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Besoin additionnel maximal non financé / coût restant à financer × 100 (0 si aucune impasse).</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 0 — aucune impasse → 10 · &gt; 0 à &lt; 10 → 6 · ≥ 10 → 1</w:t>
            </w:r>
          </w:p>
        </w:tc>
        <w:tc>
          <w:tcPr>
            <w:tcW w:type="dxa" w:w="3800"/>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DONNÉE DÉCISIONNELLE. Laisser vide si inconnue : un 0 saisi par défaut donnerait la meilleure note.</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Rotation stock (mois)</w:t>
            </w:r>
            <w:r>
              <w:rPr>
                <w:rFonts w:ascii="Calibri" w:cs="Calibri" w:eastAsia="Calibri" w:hAnsi="Calibri"/>
                <w:color w:val="595959"/>
                <w:sz w:val="14"/>
                <w:szCs w:val="14"/>
              </w:rPr>
              <w:t xml:space="preserve">  D3C6 · stock_rotation_months</w:t>
            </w:r>
            <w:r>
              <w:rPr>
                <w:rFonts w:ascii="Calibri" w:cs="Calibri" w:eastAsia="Calibri" w:hAnsi="Calibri"/>
                <w:i/>
                <w:iCs/>
                <w:color w:val="595959"/>
                <w:sz w:val="14"/>
                <w:szCs w:val="14"/>
              </w:rPr>
              <w:br/>
              <w:t xml:space="preserve">  Étape : Commercialisation &amp; Cash-flow</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P22</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Lots invendus / rythme mensuel de ventes nettes observé (en mois).</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&lt; 18 → 10 · 18 à &lt; 30 → 6 · ≥ 30 → 1</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Utiliser le rythme net des désistements sur les 6 à 12 derniers mois.</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Marge stressée -10% (%)</w:t>
            </w:r>
            <w:r>
              <w:rPr>
                <w:rFonts w:ascii="Calibri" w:cs="Calibri" w:eastAsia="Calibri" w:hAnsi="Calibri"/>
                <w:color w:val="595959"/>
                <w:sz w:val="14"/>
                <w:szCs w:val="14"/>
              </w:rPr>
              <w:t xml:space="preserve">  D3C7 · stressed_margin_pct</w:t>
            </w:r>
            <w:r>
              <w:rPr>
                <w:rFonts w:ascii="Calibri" w:cs="Calibri" w:eastAsia="Calibri" w:hAnsi="Calibri"/>
                <w:i/>
                <w:iCs/>
                <w:color w:val="595959"/>
                <w:sz w:val="14"/>
                <w:szCs w:val="14"/>
              </w:rPr>
              <w:br/>
              <w:t xml:space="preserve">  Étape : Commercialisation &amp; Cash-flow</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P16</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Marge brute recalculée avec des prix de vente baissés de 10 % (coûts inchangés).</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&lt; 10 → 1 · 10 à &lt; 15 → 6 · ≥ 15 → 10</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Recalculer, ne pas soustraire 10 points à la marge.</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Ventes sécurisées par le financement acquéreur (%)</w:t>
            </w:r>
            <w:r>
              <w:rPr>
                <w:rFonts w:ascii="Calibri" w:cs="Calibri" w:eastAsia="Calibri" w:hAnsi="Calibri"/>
                <w:color w:val="595959"/>
                <w:sz w:val="14"/>
                <w:szCs w:val="14"/>
              </w:rPr>
              <w:t xml:space="preserve">  D3C8 · secured_sales_rate</w:t>
            </w:r>
            <w:r>
              <w:rPr>
                <w:rFonts w:ascii="Calibri" w:cs="Calibri" w:eastAsia="Calibri" w:hAnsi="Calibri"/>
                <w:i/>
                <w:iCs/>
                <w:color w:val="595959"/>
                <w:sz w:val="14"/>
                <w:szCs w:val="14"/>
              </w:rPr>
              <w:br/>
              <w:t xml:space="preserve">  Étape : Pratique marocaine (modèle v4)</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P24, P22</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Σ (prix du lot × facteur de sécurisation du financement de l'acquéreur) / valeur commercialisable totale × 100. Renseigner le statut de financement de chaque lot dans le suivi : calcul automatique à la synchronisation.</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&lt; 25 % → 1 · 25 à &lt; 40 % → 6 · ≥ 40 % → 10</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Une réservation dont le crédit n'est pas instruit ne vaut que 20 % ; un crédit refusé vaut 0.</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Part du CA en commerces, bureaux, hôtel (%)</w:t>
            </w:r>
            <w:r>
              <w:rPr>
                <w:rFonts w:ascii="Calibri" w:cs="Calibri" w:eastAsia="Calibri" w:hAnsi="Calibri"/>
                <w:color w:val="595959"/>
                <w:sz w:val="14"/>
                <w:szCs w:val="14"/>
              </w:rPr>
              <w:t xml:space="preserve">  D3C9 · slow_liquidity_share_pct</w:t>
            </w:r>
            <w:r>
              <w:rPr>
                <w:rFonts w:ascii="Calibri" w:cs="Calibri" w:eastAsia="Calibri" w:hAnsi="Calibri"/>
                <w:i/>
                <w:iCs/>
                <w:color w:val="595959"/>
                <w:sz w:val="14"/>
                <w:szCs w:val="14"/>
              </w:rPr>
              <w:br/>
              <w:t xml:space="preserve">  Étape : Programme, tranche, équipements et déblocages (modèle v5)</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P22, P38</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Calculé par la synchronisation : prix des commerces, bureaux et composantes hôtelières / prix de tous les lots du périmètre financé × 100.</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&lt; 20 % → 10 · 20 à &lt; 40 % → 6 · ≥ 40 % → 1</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Saisir les lots avec leur type exact (commerce, bureau, hôtel) ; un hôtel vendu en bloc est un lot unique de type « Hôtel ».</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Taux de désistement des réservations (%)</w:t>
            </w:r>
            <w:r>
              <w:rPr>
                <w:rFonts w:ascii="Calibri" w:cs="Calibri" w:eastAsia="Calibri" w:hAnsi="Calibri"/>
                <w:color w:val="595959"/>
                <w:sz w:val="14"/>
                <w:szCs w:val="14"/>
              </w:rPr>
              <w:t xml:space="preserve">  D3C10 · cancellation_rate_pct</w:t>
            </w:r>
            <w:r>
              <w:rPr>
                <w:rFonts w:ascii="Calibri" w:cs="Calibri" w:eastAsia="Calibri" w:hAnsi="Calibri"/>
                <w:i/>
                <w:iCs/>
                <w:color w:val="595959"/>
                <w:sz w:val="14"/>
                <w:szCs w:val="14"/>
              </w:rPr>
              <w:br/>
              <w:t xml:space="preserve">  Étape : Programme, tranche, équipements et déblocages (modèle v5)</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P22, P25</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Calculé par la synchronisation : lots désistés / (lots engagés + désistés) × 100, sur le périmètre financé.</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&lt; 10 % → 10 · 10 à &lt; 20 % → 6 · ≥ 20 % → 1</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Un taux qui monte entre deux revues signale des préventes fragiles, même si le taux de prévente reste stable.</w:t>
            </w:r>
          </w:p>
        </w:tc>
      </w:tr>
    </w:tbl>
    <w:p>
      <w:pPr>
        <w:pStyle w:val="Heading2"/>
        <w:keepNext/>
      </w:pPr>
      <w:r>
        <w:t xml:space="preserve">D4 — Structuration financière &amp; LGD (24 %)</w:t>
      </w:r>
    </w:p>
    <w:tbl>
      <w:tblPr>
        <w:tblW w:type="dxa" w:w="14400"/>
        <w:tblBorders>
          <w:top w:val="single" w:color="AEB6C6" w:sz="2"/>
          <w:left w:val="single" w:color="AEB6C6" w:sz="2"/>
          <w:bottom w:val="single" w:color="AEB6C6" w:sz="2"/>
          <w:right w:val="single" w:color="AEB6C6" w:sz="2"/>
          <w:insideH w:val="single" w:color="D0D6E2" w:sz="1"/>
          <w:insideV w:val="single" w:color="D0D6E2" w:sz="1"/>
        </w:tblBorders>
      </w:tblPr>
      <w:tblGrid>
        <w:gridCol w:w="2600"/>
        <w:gridCol w:w="1100"/>
        <w:gridCol w:w="4300"/>
        <w:gridCol w:w="2600"/>
        <w:gridCol w:w="3800"/>
      </w:tblGrid>
      <w:tr>
        <w:trPr>
          <w:cantSplit/>
          <w:tblHeader/>
        </w:trPr>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Donnée (clé technique)</w:t>
            </w:r>
          </w:p>
        </w:tc>
        <w:tc>
          <w:tcPr>
            <w:tcW w:type="dxa" w:w="11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Pièces</w:t>
            </w:r>
          </w:p>
        </w:tc>
        <w:tc>
          <w:tcPr>
            <w:tcW w:type="dxa" w:w="4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Comment l'obtenir</w:t>
            </w:r>
          </w:p>
        </w:tc>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Barème</w:t>
            </w:r>
          </w:p>
        </w:tc>
        <w:tc>
          <w:tcPr>
            <w:tcW w:type="dxa" w:w="38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Attention</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 </w:t>
            </w:r>
            <w:r>
              <w:rPr>
                <w:rFonts w:ascii="Calibri" w:cs="Calibri" w:eastAsia="Calibri" w:hAnsi="Calibri"/>
                <w:b/>
                <w:bCs/>
                <w:sz w:val="17"/>
                <w:szCs w:val="17"/>
              </w:rPr>
              <w:t xml:space="preserve">Marge brute (%)</w:t>
            </w:r>
            <w:r>
              <w:rPr>
                <w:rFonts w:ascii="Calibri" w:cs="Calibri" w:eastAsia="Calibri" w:hAnsi="Calibri"/>
                <w:color w:val="595959"/>
                <w:sz w:val="14"/>
                <w:szCs w:val="14"/>
              </w:rPr>
              <w:t xml:space="preserve">  D4C1 · gross_margin_pct</w:t>
            </w:r>
            <w:r>
              <w:rPr>
                <w:rFonts w:ascii="Calibri" w:cs="Calibri" w:eastAsia="Calibri" w:hAnsi="Calibri"/>
                <w:i/>
                <w:iCs/>
                <w:color w:val="595959"/>
                <w:sz w:val="14"/>
                <w:szCs w:val="14"/>
              </w:rPr>
              <w:br/>
              <w:t xml:space="preserve">  Étape : Structuration financière &amp; LGD</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P16</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(Recettes nettes − coût complet) / recettes nettes × 100, coût complet = foncier + travaux + honoraires + frais financiers + commercialisation.</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&lt; 15 → 1 · 15 à &lt; 25 → 6 · ≥ 25 → 10</w:t>
            </w:r>
          </w:p>
        </w:tc>
        <w:tc>
          <w:tcPr>
            <w:tcW w:type="dxa" w:w="3800"/>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DONNÉE DÉCISIONNELLE. Exclure les produits non liés au programme.</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LTC (%)</w:t>
            </w:r>
            <w:r>
              <w:rPr>
                <w:rFonts w:ascii="Calibri" w:cs="Calibri" w:eastAsia="Calibri" w:hAnsi="Calibri"/>
                <w:color w:val="595959"/>
                <w:sz w:val="14"/>
                <w:szCs w:val="14"/>
              </w:rPr>
              <w:t xml:space="preserve">  D4C2 · ltc</w:t>
            </w:r>
            <w:r>
              <w:rPr>
                <w:rFonts w:ascii="Calibri" w:cs="Calibri" w:eastAsia="Calibri" w:hAnsi="Calibri"/>
                <w:i/>
                <w:iCs/>
                <w:color w:val="595959"/>
                <w:sz w:val="14"/>
                <w:szCs w:val="14"/>
              </w:rPr>
              <w:br/>
              <w:t xml:space="preserve">  Étape : Structuration financière &amp; LGD</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P26, P16</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Crédit total (tous concours du programme) / coût total du programme × 100.</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&lt; 60 → 10 · 60 à &lt; 80 → 6 · ≥ 80 → 1</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Inclure les concours par signature qui financent le programme.</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color w:val="2E5496"/>
                <w:sz w:val="17"/>
                <w:szCs w:val="17"/>
              </w:rPr>
              <w:t xml:space="preserve">S </w:t>
            </w:r>
            <w:r>
              <w:rPr>
                <w:rFonts w:ascii="Calibri" w:cs="Calibri" w:eastAsia="Calibri" w:hAnsi="Calibri"/>
                <w:b/>
                <w:bCs/>
                <w:sz w:val="17"/>
                <w:szCs w:val="17"/>
              </w:rPr>
              <w:t xml:space="preserve">LTV stressée (%)</w:t>
            </w:r>
            <w:r>
              <w:rPr>
                <w:rFonts w:ascii="Calibri" w:cs="Calibri" w:eastAsia="Calibri" w:hAnsi="Calibri"/>
                <w:color w:val="595959"/>
                <w:sz w:val="14"/>
                <w:szCs w:val="14"/>
              </w:rPr>
              <w:t xml:space="preserve">  D4C3 · ltv_stressed</w:t>
            </w:r>
            <w:r>
              <w:rPr>
                <w:rFonts w:ascii="Calibri" w:cs="Calibri" w:eastAsia="Calibri" w:hAnsi="Calibri"/>
                <w:i/>
                <w:iCs/>
                <w:color w:val="595959"/>
                <w:sz w:val="14"/>
                <w:szCs w:val="14"/>
              </w:rPr>
              <w:br/>
              <w:t xml:space="preserve">  Étape : Structuration financière &amp; LGD</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P27, P26</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Crédit / (valeur d'expertise × 0,90) × 100.</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&lt; 70 → 10 · 70 à &lt; 85 → 6 · ≥ 85 → 1</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Utiliser la valeur d'expertise indépendante, pas la valeur commerciale du promoteur.</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color w:val="2E5496"/>
                <w:sz w:val="17"/>
                <w:szCs w:val="17"/>
              </w:rPr>
              <w:t xml:space="preserve">S </w:t>
            </w:r>
            <w:r>
              <w:rPr>
                <w:rFonts w:ascii="Calibri" w:cs="Calibri" w:eastAsia="Calibri" w:hAnsi="Calibri"/>
                <w:b/>
                <w:bCs/>
                <w:sz w:val="17"/>
                <w:szCs w:val="17"/>
              </w:rPr>
              <w:t xml:space="preserve">Couverture garanties (%)</w:t>
            </w:r>
            <w:r>
              <w:rPr>
                <w:rFonts w:ascii="Calibri" w:cs="Calibri" w:eastAsia="Calibri" w:hAnsi="Calibri"/>
                <w:color w:val="595959"/>
                <w:sz w:val="14"/>
                <w:szCs w:val="14"/>
              </w:rPr>
              <w:t xml:space="preserve">  D4C4 · guarantee_coverage</w:t>
            </w:r>
            <w:r>
              <w:rPr>
                <w:rFonts w:ascii="Calibri" w:cs="Calibri" w:eastAsia="Calibri" w:hAnsi="Calibri"/>
                <w:i/>
                <w:iCs/>
                <w:color w:val="595959"/>
                <w:sz w:val="14"/>
                <w:szCs w:val="14"/>
              </w:rPr>
              <w:br/>
              <w:t xml:space="preserve">  Étape : Structuration financière &amp; LGD</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P27, P28</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Valeur réalisable des garanties retenues / engagement × 100.</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&lt; 90 → 1 · 90 à &lt; 120 → 6 · ≥ 120 → 10</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Une caution personnelle sans patrimoine vérifié ne se compte pas en valeur réalisable.</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color w:val="2E5496"/>
                <w:sz w:val="17"/>
                <w:szCs w:val="17"/>
              </w:rPr>
              <w:t xml:space="preserve">S </w:t>
            </w:r>
            <w:r>
              <w:rPr>
                <w:rFonts w:ascii="Calibri" w:cs="Calibri" w:eastAsia="Calibri" w:hAnsi="Calibri"/>
                <w:b/>
                <w:bCs/>
                <w:sz w:val="17"/>
                <w:szCs w:val="17"/>
              </w:rPr>
              <w:t xml:space="preserve">Rang bancaire 1er rang</w:t>
            </w:r>
            <w:r>
              <w:rPr>
                <w:rFonts w:ascii="Calibri" w:cs="Calibri" w:eastAsia="Calibri" w:hAnsi="Calibri"/>
                <w:color w:val="595959"/>
                <w:sz w:val="14"/>
                <w:szCs w:val="14"/>
              </w:rPr>
              <w:t xml:space="preserve">  D4C5 · first_rank</w:t>
            </w:r>
            <w:r>
              <w:rPr>
                <w:rFonts w:ascii="Calibri" w:cs="Calibri" w:eastAsia="Calibri" w:hAnsi="Calibri"/>
                <w:i/>
                <w:iCs/>
                <w:color w:val="595959"/>
                <w:sz w:val="14"/>
                <w:szCs w:val="14"/>
              </w:rPr>
              <w:br/>
              <w:t xml:space="preserve">  Étape : Structuration financière &amp; LGD</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P10, P28</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Oui si l'hypothèque de la banque est (ou sera, par acte) en premier rang sur le titre.</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Non 1er rang → 1 · 1er rang → 10</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Clé d'alerte : « Non » déclenche un malus de 25 points.</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Interest coverage (x)</w:t>
            </w:r>
            <w:r>
              <w:rPr>
                <w:rFonts w:ascii="Calibri" w:cs="Calibri" w:eastAsia="Calibri" w:hAnsi="Calibri"/>
                <w:color w:val="595959"/>
                <w:sz w:val="14"/>
                <w:szCs w:val="14"/>
              </w:rPr>
              <w:t xml:space="preserve">  D4C6 · interest_coverage</w:t>
            </w:r>
            <w:r>
              <w:rPr>
                <w:rFonts w:ascii="Calibri" w:cs="Calibri" w:eastAsia="Calibri" w:hAnsi="Calibri"/>
                <w:i/>
                <w:iCs/>
                <w:color w:val="595959"/>
                <w:sz w:val="14"/>
                <w:szCs w:val="14"/>
              </w:rPr>
              <w:br/>
              <w:t xml:space="preserve">  Étape : Structuration financière &amp; LGD</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P04, P16</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Résultat d'exploitation avant amortissements / charges financières.</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&lt; 1,5 → 1 · 1,5 à &lt; 3 → 6 · ≥ 3 → 10</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Utiliser le périmètre du promoteur qui supporte la dette.</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color w:val="2E5496"/>
                <w:sz w:val="17"/>
                <w:szCs w:val="17"/>
              </w:rPr>
              <w:t xml:space="preserve">S </w:t>
            </w:r>
            <w:r>
              <w:rPr>
                <w:rFonts w:ascii="Calibri" w:cs="Calibri" w:eastAsia="Calibri" w:hAnsi="Calibri"/>
                <w:b/>
                <w:bCs/>
                <w:sz w:val="17"/>
                <w:szCs w:val="17"/>
              </w:rPr>
              <w:t xml:space="preserve">Quotité de désengagement − équilibre (pts)</w:t>
            </w:r>
            <w:r>
              <w:rPr>
                <w:rFonts w:ascii="Calibri" w:cs="Calibri" w:eastAsia="Calibri" w:hAnsi="Calibri"/>
                <w:color w:val="595959"/>
                <w:sz w:val="14"/>
                <w:szCs w:val="14"/>
              </w:rPr>
              <w:t xml:space="preserve">  D4C7 · release_quotity_gap_pts</w:t>
            </w:r>
            <w:r>
              <w:rPr>
                <w:rFonts w:ascii="Calibri" w:cs="Calibri" w:eastAsia="Calibri" w:hAnsi="Calibri"/>
                <w:i/>
                <w:iCs/>
                <w:color w:val="595959"/>
                <w:sz w:val="14"/>
                <w:szCs w:val="14"/>
              </w:rPr>
              <w:br/>
              <w:t xml:space="preserve">  Étape : Pratique marocaine (modèle v4)</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P29, P22, P31</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Quotité de désengagement convenue − (encours / valeur commercialisable totale), en points. Saisir la quotité sur la fiche projet : calcul automatique à la synchronisation.</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&lt; −10 pts → 1 · −10 à &lt; 0 pt → 6 · ≥ 0 pt → 10</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Négatif = chaque mainlevée rembourse moins que la part de dette du lot : la dette résiduelle se concentre sur les derniers lots.</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color w:val="2E5496"/>
                <w:sz w:val="17"/>
                <w:szCs w:val="17"/>
              </w:rPr>
              <w:t xml:space="preserve">S </w:t>
            </w:r>
            <w:r>
              <w:rPr>
                <w:rFonts w:ascii="Calibri" w:cs="Calibri" w:eastAsia="Calibri" w:hAnsi="Calibri"/>
                <w:b/>
                <w:bCs/>
                <w:sz w:val="17"/>
                <w:szCs w:val="17"/>
              </w:rPr>
              <w:t xml:space="preserve">Déblocages vs avancement certifié (%)</w:t>
            </w:r>
            <w:r>
              <w:rPr>
                <w:rFonts w:ascii="Calibri" w:cs="Calibri" w:eastAsia="Calibri" w:hAnsi="Calibri"/>
                <w:color w:val="595959"/>
                <w:sz w:val="14"/>
                <w:szCs w:val="14"/>
              </w:rPr>
              <w:t xml:space="preserve">  D4C8 · drawdown_vs_progress_pct</w:t>
            </w:r>
            <w:r>
              <w:rPr>
                <w:rFonts w:ascii="Calibri" w:cs="Calibri" w:eastAsia="Calibri" w:hAnsi="Calibri"/>
                <w:i/>
                <w:iCs/>
                <w:color w:val="595959"/>
                <w:sz w:val="14"/>
                <w:szCs w:val="14"/>
              </w:rPr>
              <w:br/>
              <w:t xml:space="preserve">  Étape : Programme, tranche, équipements et déblocages (modèle v5)</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P21, P26</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Calculé par la synchronisation : cumul débloqué sur les crédits de travaux / (autorisé × avancement certifié) × 100. Avancement : situation de travaux visée, sinon avancement des tranches financées, sinon dernière visite.</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&lt; 105 % — en phase → 10 · 105 à &lt; 115 % → 6 · ≥ 115 % — tirages en avance → 1</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115 % : la banque a financé plus que les travaux réalisés (alerte « tirages en avance »). Rattacher chaque facilité à sa tranche.</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Dépassement du coût à terminaison (%)</w:t>
            </w:r>
            <w:r>
              <w:rPr>
                <w:rFonts w:ascii="Calibri" w:cs="Calibri" w:eastAsia="Calibri" w:hAnsi="Calibri"/>
                <w:color w:val="595959"/>
                <w:sz w:val="14"/>
                <w:szCs w:val="14"/>
              </w:rPr>
              <w:t xml:space="preserve">  D4C9 · cost_overrun_pct</w:t>
            </w:r>
            <w:r>
              <w:rPr>
                <w:rFonts w:ascii="Calibri" w:cs="Calibri" w:eastAsia="Calibri" w:hAnsi="Calibri"/>
                <w:i/>
                <w:iCs/>
                <w:color w:val="595959"/>
                <w:sz w:val="14"/>
                <w:szCs w:val="14"/>
              </w:rPr>
              <w:br/>
              <w:t xml:space="preserve">  Étape : Programme, tranche, équipements et déblocages (modèle v5)</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P37, P16</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(Coût à terminaison estimé − coût du budget initial) / coût du budget initial × 100.</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&lt; 5 % → 10 · 5 à &lt; 10 % → 6 · ≥ 10 % → 1</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Comparer au budget initial validé, pas à un budget révisé. Un dépassement non financé crée une impasse.</w:t>
            </w:r>
          </w:p>
        </w:tc>
      </w:tr>
    </w:tbl>
    <w:p>
      <w:pPr>
        <w:pStyle w:val="Heading2"/>
        <w:keepNext/>
      </w:pPr>
      <w:r>
        <w:t xml:space="preserve">Données d'alerte (couche D5)</w:t>
      </w:r>
    </w:p>
    <w:tbl>
      <w:tblPr>
        <w:tblW w:type="dxa" w:w="14400"/>
        <w:tblBorders>
          <w:top w:val="single" w:color="AEB6C6" w:sz="2"/>
          <w:left w:val="single" w:color="AEB6C6" w:sz="2"/>
          <w:bottom w:val="single" w:color="AEB6C6" w:sz="2"/>
          <w:right w:val="single" w:color="AEB6C6" w:sz="2"/>
          <w:insideH w:val="single" w:color="D0D6E2" w:sz="1"/>
          <w:insideV w:val="single" w:color="D0D6E2" w:sz="1"/>
        </w:tblBorders>
      </w:tblPr>
      <w:tblGrid>
        <w:gridCol w:w="2600"/>
        <w:gridCol w:w="1100"/>
        <w:gridCol w:w="4300"/>
        <w:gridCol w:w="2600"/>
        <w:gridCol w:w="3800"/>
      </w:tblGrid>
      <w:tr>
        <w:trPr>
          <w:cantSplit/>
          <w:tblHeader/>
        </w:trPr>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Donnée (clé technique)</w:t>
            </w:r>
          </w:p>
        </w:tc>
        <w:tc>
          <w:tcPr>
            <w:tcW w:type="dxa" w:w="11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Pièces</w:t>
            </w:r>
          </w:p>
        </w:tc>
        <w:tc>
          <w:tcPr>
            <w:tcW w:type="dxa" w:w="4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Comment l'obtenir</w:t>
            </w:r>
          </w:p>
        </w:tc>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Barème</w:t>
            </w:r>
          </w:p>
        </w:tc>
        <w:tc>
          <w:tcPr>
            <w:tcW w:type="dxa" w:w="38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Attention</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Financement acquéreur majoritairement non sécurisé</w:t>
            </w:r>
            <w:r>
              <w:rPr>
                <w:rFonts w:ascii="Calibri" w:cs="Calibri" w:eastAsia="Calibri" w:hAnsi="Calibri"/>
                <w:color w:val="595959"/>
                <w:sz w:val="14"/>
                <w:szCs w:val="14"/>
              </w:rPr>
              <w:t xml:space="preserve">  buyers_financing_at_risk</w:t>
            </w:r>
            <w:r>
              <w:rPr>
                <w:rFonts w:ascii="Calibri" w:cs="Calibri" w:eastAsia="Calibri" w:hAnsi="Calibri"/>
                <w:i/>
                <w:iCs/>
                <w:color w:val="595959"/>
                <w:sz w:val="14"/>
                <w:szCs w:val="14"/>
              </w:rPr>
              <w:br/>
              <w:t xml:space="preserve">  Étape : Pratique marocaine (modèle v4)</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P24</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Calculé par la synchronisation : au moins 40 % des lots renseignés reposent sur un financement non instruit, en cours ou refusé.</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Financement acquéreur majoritairement non sécurisé — malus 10</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Relancer l'instruction des crédits acquéreurs avant d'autoriser de nouveaux tirages.</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Autorisation indispensable aux travaux non levée</w:t>
            </w:r>
            <w:r>
              <w:rPr>
                <w:rFonts w:ascii="Calibri" w:cs="Calibri" w:eastAsia="Calibri" w:hAnsi="Calibri"/>
                <w:color w:val="595959"/>
                <w:sz w:val="14"/>
                <w:szCs w:val="14"/>
              </w:rPr>
              <w:t xml:space="preserve">  works_authorization_blocked</w:t>
            </w:r>
            <w:r>
              <w:rPr>
                <w:rFonts w:ascii="Calibri" w:cs="Calibri" w:eastAsia="Calibri" w:hAnsi="Calibri"/>
                <w:i/>
                <w:iCs/>
                <w:color w:val="595959"/>
                <w:sz w:val="14"/>
                <w:szCs w:val="14"/>
              </w:rPr>
              <w:br/>
              <w:t xml:space="preserve">  Étape : Pratique marocaine (modèle v4)</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P10, P13</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Calculé par la synchronisation : une pièce indispensable aux travaux financés manque dans la chaîne d'autorisations.</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Autorisation indispensable aux travaux non levée — malus 15</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Verrou de tirage : aucun déblocage travaux tant que la pièce n'est pas levée.</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Composante commerciale / hôtelière sans preneur engagé</w:t>
            </w:r>
            <w:r>
              <w:rPr>
                <w:rFonts w:ascii="Calibri" w:cs="Calibri" w:eastAsia="Calibri" w:hAnsi="Calibri"/>
                <w:color w:val="595959"/>
                <w:sz w:val="14"/>
                <w:szCs w:val="14"/>
              </w:rPr>
              <w:t xml:space="preserve">  component_exit_unsecured</w:t>
            </w:r>
            <w:r>
              <w:rPr>
                <w:rFonts w:ascii="Calibri" w:cs="Calibri" w:eastAsia="Calibri" w:hAnsi="Calibri"/>
                <w:i/>
                <w:iCs/>
                <w:color w:val="595959"/>
                <w:sz w:val="14"/>
                <w:szCs w:val="14"/>
              </w:rPr>
              <w:br/>
              <w:t xml:space="preserve">  Étape : Programme, tranche, équipements et déblocages (modèle v5)</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P38</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Oui si une composante significative (hôtel, commerces, bureaux) n'a ni acquéreur, ni opérateur, ni preneur engagé.</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Composante commerciale ou hôtelière sans preneur engagé — malus 10</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À apprécier par le chargé d'affaires au vu des engagements écrits, pas des intentions.</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Limite de division des risques dépassée</w:t>
            </w:r>
            <w:r>
              <w:rPr>
                <w:rFonts w:ascii="Calibri" w:cs="Calibri" w:eastAsia="Calibri" w:hAnsi="Calibri"/>
                <w:color w:val="595959"/>
                <w:sz w:val="14"/>
                <w:szCs w:val="14"/>
              </w:rPr>
              <w:t xml:space="preserve">  division_limit_breach</w:t>
            </w:r>
            <w:r>
              <w:rPr>
                <w:rFonts w:ascii="Calibri" w:cs="Calibri" w:eastAsia="Calibri" w:hAnsi="Calibri"/>
                <w:i/>
                <w:iCs/>
                <w:color w:val="595959"/>
                <w:sz w:val="14"/>
                <w:szCs w:val="14"/>
              </w:rPr>
              <w:br/>
              <w:t xml:space="preserve">  Étape : Pratique marocaine (modèle v4)</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P03, P06</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Calculé par la synchronisation sur l'exposition du groupe d'intérêt, rapportée aux fonds propres paramétrés par la Direction des risques.</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Limite de division des risques dépassée — malus 0 · retour en comité</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Aucun malus : dépassement = décision au niveau de délégation requis (retour en comité). Déclarer tous les liens du groupe.</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Équipement exigé en retard (conditionne la réception)</w:t>
            </w:r>
            <w:r>
              <w:rPr>
                <w:rFonts w:ascii="Calibri" w:cs="Calibri" w:eastAsia="Calibri" w:hAnsi="Calibri"/>
                <w:color w:val="595959"/>
                <w:sz w:val="14"/>
                <w:szCs w:val="14"/>
              </w:rPr>
              <w:t xml:space="preserve">  equipment_delivery_at_risk</w:t>
            </w:r>
            <w:r>
              <w:rPr>
                <w:rFonts w:ascii="Calibri" w:cs="Calibri" w:eastAsia="Calibri" w:hAnsi="Calibri"/>
                <w:i/>
                <w:iCs/>
                <w:color w:val="595959"/>
                <w:sz w:val="14"/>
                <w:szCs w:val="14"/>
              </w:rPr>
              <w:br/>
              <w:t xml:space="preserve">  Étape : Programme, tranche, équipements et déblocages (modèle v5)</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P35, P21</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Calculé par la synchronisation : un équipement conditionnant la réception est en retard (échéance dépassée ou retard de plus de 30 points sur le programme).</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Équipement exigé en retard (conditionne la réception) — malus 15 · retour en comité</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Retour en comité : sans réception, pas de permis d'habiter, pas d'actes, pas de mainlevées.</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Fonds propres négatifs</w:t>
            </w:r>
            <w:r>
              <w:rPr>
                <w:rFonts w:ascii="Calibri" w:cs="Calibri" w:eastAsia="Calibri" w:hAnsi="Calibri"/>
                <w:color w:val="595959"/>
                <w:sz w:val="14"/>
                <w:szCs w:val="14"/>
              </w:rPr>
              <w:t xml:space="preserve">  equity_negative</w:t>
            </w:r>
            <w:r>
              <w:rPr>
                <w:rFonts w:ascii="Calibri" w:cs="Calibri" w:eastAsia="Calibri" w:hAnsi="Calibri"/>
                <w:i/>
                <w:iCs/>
                <w:color w:val="595959"/>
                <w:sz w:val="14"/>
                <w:szCs w:val="14"/>
              </w:rPr>
              <w:br/>
              <w:t xml:space="preserve">  Étape : Structuration financière &amp; LGD</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P04</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Oui si les capitaux propres du dernier bilan sont négatifs.</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Fonds propres négatifs — malus 25</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Malus de 25 points ; vérifier les capitaux propres consolidés si le groupe soutient la société.</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Impasse persistante</w:t>
            </w:r>
            <w:r>
              <w:rPr>
                <w:rFonts w:ascii="Calibri" w:cs="Calibri" w:eastAsia="Calibri" w:hAnsi="Calibri"/>
                <w:color w:val="595959"/>
                <w:sz w:val="14"/>
                <w:szCs w:val="14"/>
              </w:rPr>
              <w:t xml:space="preserve">  funding_gap_persistent</w:t>
            </w:r>
            <w:r>
              <w:rPr>
                <w:rFonts w:ascii="Calibri" w:cs="Calibri" w:eastAsia="Calibri" w:hAnsi="Calibri"/>
                <w:i/>
                <w:iCs/>
                <w:color w:val="595959"/>
                <w:sz w:val="14"/>
                <w:szCs w:val="14"/>
              </w:rPr>
              <w:br/>
              <w:t xml:space="preserve">  Étape : Commercialisation &amp; Cash-flow</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P17</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Oui si le plan de trésorerie montre une rupture sur au moins deux mois consécutifs.</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Impasse de trésorerie persistante — malus 20</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Malus de 20 points.</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 </w:t>
            </w:r>
            <w:r>
              <w:rPr>
                <w:rFonts w:ascii="Calibri" w:cs="Calibri" w:eastAsia="Calibri" w:hAnsi="Calibri"/>
                <w:b/>
                <w:bCs/>
                <w:sz w:val="17"/>
                <w:szCs w:val="17"/>
              </w:rPr>
              <w:t xml:space="preserve">Retard de paiement (jours)</w:t>
            </w:r>
            <w:r>
              <w:rPr>
                <w:rFonts w:ascii="Calibri" w:cs="Calibri" w:eastAsia="Calibri" w:hAnsi="Calibri"/>
                <w:color w:val="595959"/>
                <w:sz w:val="14"/>
                <w:szCs w:val="14"/>
              </w:rPr>
              <w:t xml:space="preserve">  dpd_days</w:t>
            </w:r>
            <w:r>
              <w:rPr>
                <w:rFonts w:ascii="Calibri" w:cs="Calibri" w:eastAsia="Calibri" w:hAnsi="Calibri"/>
                <w:i/>
                <w:iCs/>
                <w:color w:val="595959"/>
                <w:sz w:val="14"/>
                <w:szCs w:val="14"/>
              </w:rPr>
              <w:br/>
              <w:t xml:space="preserve">  Étape : Vulnérabilité réglementaire BAM</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P31</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Jours de retard de la plus ancienne échéance impayée. Dérivé de l'échéancier des facilités par la synchronisation.</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Impayé ≥ 90 jours (souffrance automatique) — bloquante (souffrance)</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DONNÉE DÉCISIONNELLE : saisir 0 s'il n'y a aucun impayé (et non laisser vide). ≥ 90 jours : souffrance automatique.</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Exposition contentieuse</w:t>
            </w:r>
            <w:r>
              <w:rPr>
                <w:rFonts w:ascii="Calibri" w:cs="Calibri" w:eastAsia="Calibri" w:hAnsi="Calibri"/>
                <w:color w:val="595959"/>
                <w:sz w:val="14"/>
                <w:szCs w:val="14"/>
              </w:rPr>
              <w:t xml:space="preserve">  legal_exposure</w:t>
            </w:r>
            <w:r>
              <w:rPr>
                <w:rFonts w:ascii="Calibri" w:cs="Calibri" w:eastAsia="Calibri" w:hAnsi="Calibri"/>
                <w:i/>
                <w:iCs/>
                <w:color w:val="595959"/>
                <w:sz w:val="14"/>
                <w:szCs w:val="14"/>
              </w:rPr>
              <w:br/>
              <w:t xml:space="preserve">  Étape : Vulnérabilité réglementaire BAM</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P33, P25</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Contentieux : action en justice engagée. Surveillance : menace ou mise en demeure. Sain : aucune.</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Action en justice / contentieux (CTX) — bloquante (souffrance)</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Contentieux = alerte bloquante.</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Prix de mainlevée sous-tarifé</w:t>
            </w:r>
            <w:r>
              <w:rPr>
                <w:rFonts w:ascii="Calibri" w:cs="Calibri" w:eastAsia="Calibri" w:hAnsi="Calibri"/>
                <w:color w:val="595959"/>
                <w:sz w:val="14"/>
                <w:szCs w:val="14"/>
              </w:rPr>
              <w:t xml:space="preserve">  release_underpriced</w:t>
            </w:r>
            <w:r>
              <w:rPr>
                <w:rFonts w:ascii="Calibri" w:cs="Calibri" w:eastAsia="Calibri" w:hAnsi="Calibri"/>
                <w:i/>
                <w:iCs/>
                <w:color w:val="595959"/>
                <w:sz w:val="14"/>
                <w:szCs w:val="14"/>
              </w:rPr>
              <w:br/>
              <w:t xml:space="preserve">  Étape : Pratique marocaine (modèle v4)</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P29</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Calculé par la synchronisation : quotité convenue inférieure à la quotité d'équilibre.</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Prix de mainlevée sous-tarifé — malus 15 · retour en comité</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Retour en comité : proposer le relèvement de la quotité.</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Plan de tirage en retard</w:t>
            </w:r>
            <w:r>
              <w:rPr>
                <w:rFonts w:ascii="Calibri" w:cs="Calibri" w:eastAsia="Calibri" w:hAnsi="Calibri"/>
                <w:color w:val="595959"/>
                <w:sz w:val="14"/>
                <w:szCs w:val="14"/>
              </w:rPr>
              <w:t xml:space="preserve">  drawdown_schedule_late</w:t>
            </w:r>
            <w:r>
              <w:rPr>
                <w:rFonts w:ascii="Calibri" w:cs="Calibri" w:eastAsia="Calibri" w:hAnsi="Calibri"/>
                <w:i/>
                <w:iCs/>
                <w:color w:val="595959"/>
                <w:sz w:val="14"/>
                <w:szCs w:val="14"/>
              </w:rPr>
              <w:br/>
              <w:t xml:space="preserve">  Étape : Programme, tranche, équipements et déblocages (modèle v5)</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P26, P21</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Calculé par la synchronisation sur le planning des déblocages : Oui si au moins 25 % du montant prévu à date n'est pas débloqué.</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Plan de tirage en retard sur le calendrier — malus 5</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Signe d'un chantier en retard ou d'un besoin mal calibré : programmer une visite.</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 </w:t>
            </w:r>
            <w:r>
              <w:rPr>
                <w:rFonts w:ascii="Calibri" w:cs="Calibri" w:eastAsia="Calibri" w:hAnsi="Calibri"/>
                <w:b/>
                <w:bCs/>
                <w:sz w:val="17"/>
                <w:szCs w:val="17"/>
              </w:rPr>
              <w:t xml:space="preserve">Arrêt du projet (mois)</w:t>
            </w:r>
            <w:r>
              <w:rPr>
                <w:rFonts w:ascii="Calibri" w:cs="Calibri" w:eastAsia="Calibri" w:hAnsi="Calibri"/>
                <w:color w:val="595959"/>
                <w:sz w:val="14"/>
                <w:szCs w:val="14"/>
              </w:rPr>
              <w:t xml:space="preserve">  project_stopped_months</w:t>
            </w:r>
            <w:r>
              <w:rPr>
                <w:rFonts w:ascii="Calibri" w:cs="Calibri" w:eastAsia="Calibri" w:hAnsi="Calibri"/>
                <w:i/>
                <w:iCs/>
                <w:color w:val="595959"/>
                <w:sz w:val="14"/>
                <w:szCs w:val="14"/>
              </w:rPr>
              <w:br/>
              <w:t xml:space="preserve">  Étape : Vulnérabilité réglementaire BAM</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P21</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Durée de l'arrêt de chantier en cours, en mois. Dérivée du journal (événement « Arrêt de chantier » ouvert) par la synchronisation.</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Projet à l'arrêt ≥ 12 mois (souffrance automatique) — bloquante (souffrance)</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DONNÉE DÉCISIONNELLE et alerte bloquante (≥ 12 mois : souffrance automatique). Saisir 0 si le chantier n'est pas arrêté — vide rend le dossier incomplet.</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Restructuré</w:t>
            </w:r>
            <w:r>
              <w:rPr>
                <w:rFonts w:ascii="Calibri" w:cs="Calibri" w:eastAsia="Calibri" w:hAnsi="Calibri"/>
                <w:color w:val="595959"/>
                <w:sz w:val="14"/>
                <w:szCs w:val="14"/>
              </w:rPr>
              <w:t xml:space="preserve">  restructured</w:t>
            </w:r>
            <w:r>
              <w:rPr>
                <w:rFonts w:ascii="Calibri" w:cs="Calibri" w:eastAsia="Calibri" w:hAnsi="Calibri"/>
                <w:i/>
                <w:iCs/>
                <w:color w:val="595959"/>
                <w:sz w:val="14"/>
                <w:szCs w:val="14"/>
              </w:rPr>
              <w:br/>
              <w:t xml:space="preserve">  Étape : Vulnérabilité réglementaire BAM</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P32</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Oui si la créance a fait l'objet d'une restructuration (avenant modifiant échéances ou conditions en raison de difficultés).</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Première restructuration — malus 25 · retour en comité</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Toute restructuration impose un retour en comité ; enregistrer aussi l'événement au journal.</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 </w:t>
            </w:r>
            <w:r>
              <w:rPr>
                <w:rFonts w:ascii="Calibri" w:cs="Calibri" w:eastAsia="Calibri" w:hAnsi="Calibri"/>
                <w:b/>
                <w:bCs/>
                <w:sz w:val="17"/>
                <w:szCs w:val="17"/>
              </w:rPr>
              <w:t xml:space="preserve">Retard chantier (mois)</w:t>
            </w:r>
            <w:r>
              <w:rPr>
                <w:rFonts w:ascii="Calibri" w:cs="Calibri" w:eastAsia="Calibri" w:hAnsi="Calibri"/>
                <w:color w:val="595959"/>
                <w:sz w:val="14"/>
                <w:szCs w:val="14"/>
              </w:rPr>
              <w:t xml:space="preserve">  construction_delay_months</w:t>
            </w:r>
            <w:r>
              <w:rPr>
                <w:rFonts w:ascii="Calibri" w:cs="Calibri" w:eastAsia="Calibri" w:hAnsi="Calibri"/>
                <w:i/>
                <w:iCs/>
                <w:color w:val="595959"/>
                <w:sz w:val="14"/>
                <w:szCs w:val="14"/>
              </w:rPr>
              <w:br/>
              <w:t xml:space="preserve">  Étape : Vulnérabilité réglementaire BAM</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P20, P21</w:t>
            </w:r>
          </w:p>
        </w:tc>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Retard de la date d'achèvement prévue par rapport au planning contractuel, en mois.</w:t>
            </w:r>
          </w:p>
        </w:tc>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Retard chantier ≥ 6 mois — malus 15 · retour en comité</w:t>
            </w:r>
          </w:p>
        </w:tc>
        <w:tc>
          <w:tcPr>
            <w:tcW w:type="dxa" w:w="3800"/>
            <w:shd w:fill="F2F5FB" w:color="auto" w:val="clear"/>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DONNÉE DÉCISIONNELLE et clé d'alerte (≥ 6 mois : malus 15 et retour en comité). Saisir 0 si aucun retard — vide rend le dossier incomplet.</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bCs/>
                <w:sz w:val="17"/>
                <w:szCs w:val="17"/>
              </w:rPr>
              <w:t xml:space="preserve">Déblocages en avance sur les travaux</w:t>
            </w:r>
            <w:r>
              <w:rPr>
                <w:rFonts w:ascii="Calibri" w:cs="Calibri" w:eastAsia="Calibri" w:hAnsi="Calibri"/>
                <w:color w:val="595959"/>
                <w:sz w:val="14"/>
                <w:szCs w:val="14"/>
              </w:rPr>
              <w:t xml:space="preserve">  drawdown_ahead_of_works</w:t>
            </w:r>
            <w:r>
              <w:rPr>
                <w:rFonts w:ascii="Calibri" w:cs="Calibri" w:eastAsia="Calibri" w:hAnsi="Calibri"/>
                <w:i/>
                <w:iCs/>
                <w:color w:val="595959"/>
                <w:sz w:val="14"/>
                <w:szCs w:val="14"/>
              </w:rPr>
              <w:br/>
              <w:t xml:space="preserve">  Étape : Programme, tranche, équipements et déblocages (modèle v5)</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P21</w:t>
            </w:r>
          </w:p>
        </w:tc>
        <w:tc>
          <w:tcPr>
            <w:tcW w:type="dxa" w:w="4300"/>
            <w:tcMar>
              <w:top w:type="dxa" w:w="40"/>
              <w:left w:type="dxa" w:w="80"/>
              <w:bottom w:type="dxa" w:w="40"/>
              <w:right w:type="dxa" w:w="80"/>
            </w:tcMar>
          </w:tcPr>
          <w:p>
            <w:pPr>
              <w:spacing w:after="0" w:line="240"/>
            </w:pPr>
            <w:r>
              <w:rPr>
                <w:rFonts w:ascii="Calibri" w:cs="Calibri" w:eastAsia="Calibri" w:hAnsi="Calibri"/>
                <w:sz w:val="17"/>
                <w:szCs w:val="17"/>
              </w:rPr>
              <w:t xml:space="preserve">Calculé par la synchronisation : Oui si les déblocages atteignent 115 % de l'avancement certifié.</w:t>
            </w:r>
          </w:p>
        </w:tc>
        <w:tc>
          <w:tcPr>
            <w:tcW w:type="dxa" w:w="2600"/>
            <w:tcMar>
              <w:top w:type="dxa" w:w="40"/>
              <w:left w:type="dxa" w:w="80"/>
              <w:bottom w:type="dxa" w:w="40"/>
              <w:right w:type="dxa" w:w="80"/>
            </w:tcMar>
          </w:tcPr>
          <w:p>
            <w:pPr>
              <w:spacing w:after="0" w:line="240"/>
            </w:pPr>
            <w:r>
              <w:rPr>
                <w:rFonts w:ascii="Calibri" w:cs="Calibri" w:eastAsia="Calibri" w:hAnsi="Calibri"/>
                <w:sz w:val="15"/>
                <w:szCs w:val="15"/>
              </w:rPr>
              <w:t xml:space="preserve">Déblocages en avance sur l'avancement des travaux — malus 15 · retour en comité</w:t>
            </w:r>
          </w:p>
        </w:tc>
        <w:tc>
          <w:tcPr>
            <w:tcW w:type="dxa" w:w="3800"/>
            <w:tcMar>
              <w:top w:type="dxa" w:w="40"/>
              <w:left w:type="dxa" w:w="80"/>
              <w:bottom w:type="dxa" w:w="40"/>
              <w:right w:type="dxa" w:w="80"/>
            </w:tcMar>
          </w:tcPr>
          <w:p>
            <w:pPr>
              <w:spacing w:after="0" w:line="240"/>
            </w:pPr>
            <w:r>
              <w:rPr>
                <w:rFonts w:ascii="Calibri" w:cs="Calibri" w:eastAsia="Calibri" w:hAnsi="Calibri"/>
                <w:sz w:val="17"/>
                <w:szCs w:val="17"/>
              </w:rPr>
              <w:t xml:space="preserve">Retour en comité : suspendre les tirages jusqu'à une situation visée cohérente.</w:t>
            </w:r>
          </w:p>
        </w:tc>
      </w:tr>
    </w:tbl>
    <w:p>
      <w:pPr>
        <w:pStyle w:val="Heading2"/>
        <w:keepNext/>
      </w:pPr>
      <w:r>
        <w:t xml:space="preserve">Données de classification BAM (circulaire 1/W)</w:t>
      </w:r>
    </w:p>
    <w:p>
      <w:pPr>
        <w:spacing w:after="120" w:before="0" w:line="276"/>
      </w:pPr>
      <w:r>
        <w:rPr>
          <w:rFonts w:ascii="Calibri" w:cs="Calibri" w:eastAsia="Calibri" w:hAnsi="Calibri"/>
          <w:sz w:val="21"/>
          <w:szCs w:val="21"/>
        </w:rPr>
        <w:t xml:space="preserve">Ces données ne sont pas notées dans le score mais déterminent la classe réglementaire (saine, sensible, pré-douteuse, douteuse, compromise, contentieux), qui module le score final. Elles se saisissent dans les étapes « Crédit &amp; dépassements » et « Vulnérabilité réglementaire BAM » du wizard ; plusieurs sont alimentées par le journal d'événements.</w:t>
      </w:r>
    </w:p>
    <w:tbl>
      <w:tblPr>
        <w:tblW w:type="dxa" w:w="14300"/>
        <w:tblBorders>
          <w:top w:val="single" w:color="AEB6C6" w:sz="2"/>
          <w:left w:val="single" w:color="AEB6C6" w:sz="2"/>
          <w:bottom w:val="single" w:color="AEB6C6" w:sz="2"/>
          <w:right w:val="single" w:color="AEB6C6" w:sz="2"/>
          <w:insideH w:val="single" w:color="D0D6E2" w:sz="1"/>
          <w:insideV w:val="single" w:color="D0D6E2" w:sz="1"/>
        </w:tblBorders>
      </w:tblPr>
      <w:tblGrid>
        <w:gridCol w:w="8000"/>
        <w:gridCol w:w="1800"/>
        <w:gridCol w:w="4500"/>
      </w:tblGrid>
      <w:tr>
        <w:trPr>
          <w:cantSplit/>
          <w:tblHeader/>
        </w:trPr>
        <w:tc>
          <w:tcPr>
            <w:tcW w:type="dxa" w:w="8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Donnée</w:t>
            </w:r>
          </w:p>
        </w:tc>
        <w:tc>
          <w:tcPr>
            <w:tcW w:type="dxa" w:w="18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Pièces</w:t>
            </w:r>
          </w:p>
        </w:tc>
        <w:tc>
          <w:tcPr>
            <w:tcW w:type="dxa" w:w="4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Source</w:t>
            </w:r>
          </w:p>
        </w:tc>
      </w:tr>
      <w:tr>
        <w:trPr>
          <w:cantSplit/>
        </w:trPr>
        <w:tc>
          <w:tcPr>
            <w:tcW w:type="dxa" w:w="8000"/>
            <w:tcMar>
              <w:top w:type="dxa" w:w="40"/>
              <w:left w:type="dxa" w:w="80"/>
              <w:bottom w:type="dxa" w:w="40"/>
              <w:right w:type="dxa" w:w="80"/>
            </w:tcMar>
          </w:tcPr>
          <w:p>
            <w:pPr>
              <w:spacing w:after="0" w:line="240"/>
            </w:pPr>
            <w:r>
              <w:rPr>
                <w:rFonts w:ascii="Calibri" w:cs="Calibri" w:eastAsia="Calibri" w:hAnsi="Calibri"/>
                <w:b/>
                <w:bCs/>
                <w:sz w:val="17"/>
                <w:szCs w:val="17"/>
              </w:rPr>
              <w:t xml:space="preserve">Saisie-arrêt / ATD</w:t>
            </w:r>
          </w:p>
        </w:tc>
        <w:tc>
          <w:tcPr>
            <w:tcW w:type="dxa" w:w="18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P33</w:t>
            </w:r>
          </w:p>
        </w:tc>
        <w:tc>
          <w:tcPr>
            <w:tcW w:type="dxa" w:w="4500"/>
            <w:tcMar>
              <w:top w:type="dxa" w:w="40"/>
              <w:left w:type="dxa" w:w="80"/>
              <w:bottom w:type="dxa" w:w="40"/>
              <w:right w:type="dxa" w:w="80"/>
            </w:tcMar>
          </w:tcPr>
          <w:p>
            <w:pPr>
              <w:spacing w:after="0" w:line="240"/>
            </w:pPr>
            <w:r>
              <w:rPr>
                <w:rFonts w:ascii="Calibri" w:cs="Calibri" w:eastAsia="Calibri" w:hAnsi="Calibri"/>
                <w:sz w:val="17"/>
                <w:szCs w:val="17"/>
              </w:rPr>
              <w:t xml:space="preserve">Notification reçue</w:t>
            </w:r>
          </w:p>
        </w:tc>
      </w:tr>
      <w:tr>
        <w:trPr>
          <w:cantSplit/>
        </w:trPr>
        <w:tc>
          <w:tcPr>
            <w:tcW w:type="dxa" w:w="80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États comptables non reçus (7 mois)</w:t>
            </w:r>
          </w:p>
        </w:tc>
        <w:tc>
          <w:tcPr>
            <w:tcW w:type="dxa" w:w="18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P04</w:t>
            </w:r>
          </w:p>
        </w:tc>
        <w:tc>
          <w:tcPr>
            <w:tcW w:type="dxa" w:w="4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Date de réception des états de synthèse</w:t>
            </w:r>
          </w:p>
        </w:tc>
      </w:tr>
      <w:tr>
        <w:trPr>
          <w:cantSplit/>
        </w:trPr>
        <w:tc>
          <w:tcPr>
            <w:tcW w:type="dxa" w:w="8000"/>
            <w:tcMar>
              <w:top w:type="dxa" w:w="40"/>
              <w:left w:type="dxa" w:w="80"/>
              <w:bottom w:type="dxa" w:w="40"/>
              <w:right w:type="dxa" w:w="80"/>
            </w:tcMar>
          </w:tcPr>
          <w:p>
            <w:pPr>
              <w:spacing w:after="0" w:line="240"/>
            </w:pPr>
            <w:r>
              <w:rPr>
                <w:rFonts w:ascii="Calibri" w:cs="Calibri" w:eastAsia="Calibri" w:hAnsi="Calibri"/>
                <w:b/>
                <w:bCs/>
                <w:sz w:val="17"/>
                <w:szCs w:val="17"/>
              </w:rPr>
              <w:t xml:space="preserve">Situation financière non évaluable</w:t>
            </w:r>
          </w:p>
        </w:tc>
        <w:tc>
          <w:tcPr>
            <w:tcW w:type="dxa" w:w="18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P04</w:t>
            </w:r>
          </w:p>
        </w:tc>
        <w:tc>
          <w:tcPr>
            <w:tcW w:type="dxa" w:w="4500"/>
            <w:tcMar>
              <w:top w:type="dxa" w:w="40"/>
              <w:left w:type="dxa" w:w="80"/>
              <w:bottom w:type="dxa" w:w="40"/>
              <w:right w:type="dxa" w:w="80"/>
            </w:tcMar>
          </w:tcPr>
          <w:p>
            <w:pPr>
              <w:spacing w:after="0" w:line="240"/>
            </w:pPr>
            <w:r>
              <w:rPr>
                <w:rFonts w:ascii="Calibri" w:cs="Calibri" w:eastAsia="Calibri" w:hAnsi="Calibri"/>
                <w:sz w:val="17"/>
                <w:szCs w:val="17"/>
              </w:rPr>
              <w:t xml:space="preserve">États absents ou inexploitables</w:t>
            </w:r>
          </w:p>
        </w:tc>
      </w:tr>
      <w:tr>
        <w:trPr>
          <w:cantSplit/>
        </w:trPr>
        <w:tc>
          <w:tcPr>
            <w:tcW w:type="dxa" w:w="80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Information négative crédit bureau</w:t>
            </w:r>
          </w:p>
        </w:tc>
        <w:tc>
          <w:tcPr>
            <w:tcW w:type="dxa" w:w="18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P07</w:t>
            </w:r>
          </w:p>
        </w:tc>
        <w:tc>
          <w:tcPr>
            <w:tcW w:type="dxa" w:w="4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Rapport de consultation</w:t>
            </w:r>
          </w:p>
        </w:tc>
      </w:tr>
      <w:tr>
        <w:trPr>
          <w:cantSplit/>
        </w:trPr>
        <w:tc>
          <w:tcPr>
            <w:tcW w:type="dxa" w:w="8000"/>
            <w:tcMar>
              <w:top w:type="dxa" w:w="40"/>
              <w:left w:type="dxa" w:w="80"/>
              <w:bottom w:type="dxa" w:w="40"/>
              <w:right w:type="dxa" w:w="80"/>
            </w:tcMar>
          </w:tcPr>
          <w:p>
            <w:pPr>
              <w:spacing w:after="0" w:line="240"/>
            </w:pPr>
            <w:r>
              <w:rPr>
                <w:rFonts w:ascii="Calibri" w:cs="Calibri" w:eastAsia="Calibri" w:hAnsi="Calibri"/>
                <w:b/>
                <w:bCs/>
                <w:sz w:val="17"/>
                <w:szCs w:val="17"/>
              </w:rPr>
              <w:t xml:space="preserve">Commercialisation &lt; 50 % à 1 an</w:t>
            </w:r>
          </w:p>
        </w:tc>
        <w:tc>
          <w:tcPr>
            <w:tcW w:type="dxa" w:w="18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P22</w:t>
            </w:r>
          </w:p>
        </w:tc>
        <w:tc>
          <w:tcPr>
            <w:tcW w:type="dxa" w:w="4500"/>
            <w:tcMar>
              <w:top w:type="dxa" w:w="40"/>
              <w:left w:type="dxa" w:w="80"/>
              <w:bottom w:type="dxa" w:w="40"/>
              <w:right w:type="dxa" w:w="80"/>
            </w:tcMar>
          </w:tcPr>
          <w:p>
            <w:pPr>
              <w:spacing w:after="0" w:line="240"/>
            </w:pPr>
            <w:r>
              <w:rPr>
                <w:rFonts w:ascii="Calibri" w:cs="Calibri" w:eastAsia="Calibri" w:hAnsi="Calibri"/>
                <w:sz w:val="17"/>
                <w:szCs w:val="17"/>
              </w:rPr>
              <w:t xml:space="preserve">État des ventes</w:t>
            </w:r>
          </w:p>
        </w:tc>
      </w:tr>
      <w:tr>
        <w:trPr>
          <w:cantSplit/>
        </w:trPr>
        <w:tc>
          <w:tcPr>
            <w:tcW w:type="dxa" w:w="80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Problèmes administratifs &gt; 1 an / Retard de construction &gt; 1 an</w:t>
            </w:r>
          </w:p>
        </w:tc>
        <w:tc>
          <w:tcPr>
            <w:tcW w:type="dxa" w:w="18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P13, P20</w:t>
            </w:r>
          </w:p>
        </w:tc>
        <w:tc>
          <w:tcPr>
            <w:tcW w:type="dxa" w:w="4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Autorisations ; planning</w:t>
            </w:r>
          </w:p>
        </w:tc>
      </w:tr>
      <w:tr>
        <w:trPr>
          <w:cantSplit/>
        </w:trPr>
        <w:tc>
          <w:tcPr>
            <w:tcW w:type="dxa" w:w="8000"/>
            <w:tcMar>
              <w:top w:type="dxa" w:w="40"/>
              <w:left w:type="dxa" w:w="80"/>
              <w:bottom w:type="dxa" w:w="40"/>
              <w:right w:type="dxa" w:w="80"/>
            </w:tcMar>
          </w:tcPr>
          <w:p>
            <w:pPr>
              <w:spacing w:after="0" w:line="240"/>
            </w:pPr>
            <w:r>
              <w:rPr>
                <w:rFonts w:ascii="Calibri" w:cs="Calibri" w:eastAsia="Calibri" w:hAnsi="Calibri"/>
                <w:b/>
                <w:bCs/>
                <w:sz w:val="17"/>
                <w:szCs w:val="17"/>
              </w:rPr>
              <w:t xml:space="preserve">Décalage significatif vs business plan</w:t>
            </w:r>
          </w:p>
        </w:tc>
        <w:tc>
          <w:tcPr>
            <w:tcW w:type="dxa" w:w="18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P16, P22</w:t>
            </w:r>
          </w:p>
        </w:tc>
        <w:tc>
          <w:tcPr>
            <w:tcW w:type="dxa" w:w="4500"/>
            <w:tcMar>
              <w:top w:type="dxa" w:w="40"/>
              <w:left w:type="dxa" w:w="80"/>
              <w:bottom w:type="dxa" w:w="40"/>
              <w:right w:type="dxa" w:w="80"/>
            </w:tcMar>
          </w:tcPr>
          <w:p>
            <w:pPr>
              <w:spacing w:after="0" w:line="240"/>
            </w:pPr>
            <w:r>
              <w:rPr>
                <w:rFonts w:ascii="Calibri" w:cs="Calibri" w:eastAsia="Calibri" w:hAnsi="Calibri"/>
                <w:sz w:val="17"/>
                <w:szCs w:val="17"/>
              </w:rPr>
              <w:t xml:space="preserve">Business plan ; état des ventes</w:t>
            </w:r>
          </w:p>
        </w:tc>
      </w:tr>
      <w:tr>
        <w:trPr>
          <w:cantSplit/>
        </w:trPr>
        <w:tc>
          <w:tcPr>
            <w:tcW w:type="dxa" w:w="80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Baisse du CA sur 1 an ; dettes financières / FP</w:t>
            </w:r>
          </w:p>
        </w:tc>
        <w:tc>
          <w:tcPr>
            <w:tcW w:type="dxa" w:w="18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P04</w:t>
            </w:r>
          </w:p>
        </w:tc>
        <w:tc>
          <w:tcPr>
            <w:tcW w:type="dxa" w:w="4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États de synthèse</w:t>
            </w:r>
          </w:p>
        </w:tc>
      </w:tr>
      <w:tr>
        <w:trPr>
          <w:cantSplit/>
        </w:trPr>
        <w:tc>
          <w:tcPr>
            <w:tcW w:type="dxa" w:w="8000"/>
            <w:tcMar>
              <w:top w:type="dxa" w:w="40"/>
              <w:left w:type="dxa" w:w="80"/>
              <w:bottom w:type="dxa" w:w="40"/>
              <w:right w:type="dxa" w:w="80"/>
            </w:tcMar>
          </w:tcPr>
          <w:p>
            <w:pPr>
              <w:spacing w:after="0" w:line="240"/>
            </w:pPr>
            <w:r>
              <w:rPr>
                <w:rFonts w:ascii="Calibri" w:cs="Calibri" w:eastAsia="Calibri" w:hAnsi="Calibri"/>
                <w:b/>
                <w:bCs/>
                <w:sz w:val="17"/>
                <w:szCs w:val="17"/>
              </w:rPr>
              <w:t xml:space="preserve">Redressement judiciaire ; projet à l'arrêt &gt; 1 an ; achevé ≥ 2 ans sans ventes</w:t>
            </w:r>
          </w:p>
        </w:tc>
        <w:tc>
          <w:tcPr>
            <w:tcW w:type="dxa" w:w="18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P33, P21, P22</w:t>
            </w:r>
          </w:p>
        </w:tc>
        <w:tc>
          <w:tcPr>
            <w:tcW w:type="dxa" w:w="4500"/>
            <w:tcMar>
              <w:top w:type="dxa" w:w="40"/>
              <w:left w:type="dxa" w:w="80"/>
              <w:bottom w:type="dxa" w:w="40"/>
              <w:right w:type="dxa" w:w="80"/>
            </w:tcMar>
          </w:tcPr>
          <w:p>
            <w:pPr>
              <w:spacing w:after="0" w:line="240"/>
            </w:pPr>
            <w:r>
              <w:rPr>
                <w:rFonts w:ascii="Calibri" w:cs="Calibri" w:eastAsia="Calibri" w:hAnsi="Calibri"/>
                <w:sz w:val="17"/>
                <w:szCs w:val="17"/>
              </w:rPr>
              <w:t xml:space="preserve">Jugement ; visites ; ventes</w:t>
            </w:r>
          </w:p>
        </w:tc>
      </w:tr>
      <w:tr>
        <w:trPr>
          <w:cantSplit/>
        </w:trPr>
        <w:tc>
          <w:tcPr>
            <w:tcW w:type="dxa" w:w="80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Restructuration : nombre, viabilité, différé, 2e restructuration, impayé sur créance restructurée</w:t>
            </w:r>
          </w:p>
        </w:tc>
        <w:tc>
          <w:tcPr>
            <w:tcW w:type="dxa" w:w="18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P32, P31</w:t>
            </w:r>
          </w:p>
        </w:tc>
        <w:tc>
          <w:tcPr>
            <w:tcW w:type="dxa" w:w="4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Avenants ; échéancier</w:t>
            </w:r>
          </w:p>
        </w:tc>
      </w:tr>
      <w:tr>
        <w:trPr>
          <w:cantSplit/>
        </w:trPr>
        <w:tc>
          <w:tcPr>
            <w:tcW w:type="dxa" w:w="8000"/>
            <w:tcMar>
              <w:top w:type="dxa" w:w="40"/>
              <w:left w:type="dxa" w:w="80"/>
              <w:bottom w:type="dxa" w:w="40"/>
              <w:right w:type="dxa" w:w="80"/>
            </w:tcMar>
          </w:tcPr>
          <w:p>
            <w:pPr>
              <w:spacing w:after="0" w:line="240"/>
            </w:pPr>
            <w:r>
              <w:rPr>
                <w:rFonts w:ascii="Calibri" w:cs="Calibri" w:eastAsia="Calibri" w:hAnsi="Calibri"/>
                <w:b/>
                <w:bCs/>
                <w:sz w:val="17"/>
                <w:szCs w:val="17"/>
              </w:rPr>
              <w:t xml:space="preserve">Crédit in fine, dépassements, compte débiteur sans mouvement créditeur</w:t>
            </w:r>
          </w:p>
        </w:tc>
        <w:tc>
          <w:tcPr>
            <w:tcW w:type="dxa" w:w="1800"/>
            <w:tcMar>
              <w:top w:type="dxa" w:w="40"/>
              <w:left w:type="dxa" w:w="80"/>
              <w:bottom w:type="dxa" w:w="40"/>
              <w:right w:type="dxa" w:w="80"/>
            </w:tcMar>
          </w:tcPr>
          <w:p>
            <w:pPr>
              <w:spacing w:after="0" w:line="240"/>
              <w:jc w:val="center"/>
            </w:pPr>
            <w:r>
              <w:rPr>
                <w:rFonts w:ascii="Calibri" w:cs="Calibri" w:eastAsia="Calibri" w:hAnsi="Calibri"/>
                <w:sz w:val="17"/>
                <w:szCs w:val="17"/>
              </w:rPr>
              <w:t xml:space="preserve">P31</w:t>
            </w:r>
          </w:p>
        </w:tc>
        <w:tc>
          <w:tcPr>
            <w:tcW w:type="dxa" w:w="4500"/>
            <w:tcMar>
              <w:top w:type="dxa" w:w="40"/>
              <w:left w:type="dxa" w:w="80"/>
              <w:bottom w:type="dxa" w:w="40"/>
              <w:right w:type="dxa" w:w="80"/>
            </w:tcMar>
          </w:tcPr>
          <w:p>
            <w:pPr>
              <w:spacing w:after="0" w:line="240"/>
            </w:pPr>
            <w:r>
              <w:rPr>
                <w:rFonts w:ascii="Calibri" w:cs="Calibri" w:eastAsia="Calibri" w:hAnsi="Calibri"/>
                <w:sz w:val="17"/>
                <w:szCs w:val="17"/>
              </w:rPr>
              <w:t xml:space="preserve">SI bancaire</w:t>
            </w:r>
          </w:p>
        </w:tc>
      </w:tr>
      <w:tr>
        <w:trPr>
          <w:cantSplit/>
        </w:trPr>
        <w:tc>
          <w:tcPr>
            <w:tcW w:type="dxa" w:w="80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Information d'avancement ou de commercialisation non fiable</w:t>
            </w:r>
          </w:p>
        </w:tc>
        <w:tc>
          <w:tcPr>
            <w:tcW w:type="dxa" w:w="18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P21, P22</w:t>
            </w:r>
          </w:p>
        </w:tc>
        <w:tc>
          <w:tcPr>
            <w:tcW w:type="dxa" w:w="4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Appréciation du chargé d'affaires</w:t>
            </w:r>
          </w:p>
        </w:tc>
      </w:tr>
    </w:tbl>
    <w:p>
      <w:pPr>
        <w:sectPr>
          <w:headerReference w:type="default" r:id="rId9"/>
          <w:footerReference w:type="default" r:id="rId10"/>
          <w:pgSz w:w="16838" w:h="11906" w:orient="landscape"/>
          <w:pgMar w:top="1000" w:right="1000" w:bottom="1000" w:left="1000" w:header="708" w:footer="708" w:gutter="0"/>
          <w:pgNumType/>
          <w:docGrid w:linePitch="360"/>
        </w:sectPr>
      </w:pPr>
    </w:p>
    <w:p>
      <w:pPr>
        <w:pStyle w:val="Heading1"/>
      </w:pPr>
      <w:r>
        <w:t xml:space="preserve">6. Lire et exploiter le résultat</w:t>
      </w:r>
    </w:p>
    <w:p>
      <w:pPr>
        <w:spacing w:after="120" w:before="0" w:line="276"/>
      </w:pPr>
      <w:r>
        <w:rPr>
          <w:rFonts w:ascii="Calibri" w:cs="Calibri" w:eastAsia="Calibri" w:hAnsi="Calibri"/>
          <w:sz w:val="21"/>
          <w:szCs w:val="21"/>
        </w:rPr>
        <w:t xml:space="preserve">Après le calcul, ouvrez la fiche projet, onglet « Scoring ». L'encart « Lecture du résultat » donne la version du modèle utilisée, la classe interne, la chaîne de calcul (score brut, ajustements, malus, coefficient BAM, score final), la PD indicative et les notes économique et de sûretés.</w:t>
      </w:r>
    </w:p>
    <w:p>
      <w:pPr>
        <w:pStyle w:val="Heading2"/>
        <w:keepNext/>
      </w:pPr>
      <w:r>
        <w:t xml:space="preserve">Hiérarchie de la décision</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900"/>
        <w:gridCol w:w="5600"/>
        <w:gridCol w:w="3138"/>
      </w:tblGrid>
      <w:tr>
        <w:trPr>
          <w:cantSplit/>
          <w:tblHeader/>
        </w:trPr>
        <w:tc>
          <w:tcPr>
            <w:tcW w:type="dxa" w:w="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Priorité</w:t>
            </w:r>
          </w:p>
        </w:tc>
        <w:tc>
          <w:tcPr>
            <w:tcW w:type="dxa" w:w="5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Situation</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Décision</w:t>
            </w:r>
          </w:p>
        </w:tc>
      </w:tr>
      <w:tr>
        <w:trPr>
          <w:cantSplit/>
        </w:trPr>
        <w:tc>
          <w:tcPr>
            <w:tcW w:type="dxa" w:w="900"/>
            <w:tcMar>
              <w:top w:type="dxa" w:w="40"/>
              <w:left w:type="dxa" w:w="80"/>
              <w:bottom w:type="dxa" w:w="40"/>
              <w:right w:type="dxa" w:w="80"/>
            </w:tcMar>
          </w:tcPr>
          <w:p>
            <w:pPr>
              <w:spacing w:after="0" w:line="240"/>
            </w:pPr>
            <w:r>
              <w:rPr>
                <w:rFonts w:ascii="Calibri" w:cs="Calibri" w:eastAsia="Calibri" w:hAnsi="Calibri"/>
                <w:sz w:val="17"/>
                <w:szCs w:val="17"/>
              </w:rPr>
              <w:t xml:space="preserve">1</w:t>
            </w:r>
          </w:p>
        </w:tc>
        <w:tc>
          <w:tcPr>
            <w:tcW w:type="dxa" w:w="5600"/>
            <w:tcMar>
              <w:top w:type="dxa" w:w="40"/>
              <w:left w:type="dxa" w:w="80"/>
              <w:bottom w:type="dxa" w:w="40"/>
              <w:right w:type="dxa" w:w="80"/>
            </w:tcMar>
          </w:tcPr>
          <w:p>
            <w:pPr>
              <w:spacing w:after="0" w:line="240"/>
            </w:pPr>
            <w:r>
              <w:rPr>
                <w:rFonts w:ascii="Calibri" w:cs="Calibri" w:eastAsia="Calibri" w:hAnsi="Calibri"/>
                <w:sz w:val="17"/>
                <w:szCs w:val="17"/>
              </w:rPr>
              <w:t xml:space="preserve">Classe contentieux (CTX)</w:t>
            </w:r>
          </w:p>
        </w:tc>
        <w:tc>
          <w:tcPr>
            <w:tcW w:type="dxa" w:w="3138"/>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NO_GO — score 0</w:t>
            </w:r>
          </w:p>
        </w:tc>
      </w:tr>
      <w:tr>
        <w:trPr>
          <w:cantSplit/>
        </w:trPr>
        <w:tc>
          <w:tcPr>
            <w:tcW w:type="dxa" w:w="9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2</w:t>
            </w:r>
          </w:p>
        </w:tc>
        <w:tc>
          <w:tcPr>
            <w:tcW w:type="dxa" w:w="5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Alerte bloquante : impayé ≥ 90 j, arrêt ≥ 12 mois, contentieux</w:t>
            </w:r>
          </w:p>
        </w:tc>
        <w:tc>
          <w:tcPr>
            <w:tcW w:type="dxa" w:w="3138"/>
            <w:shd w:fill="F2F5FB" w:color="auto" w:val="clear"/>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NO_GO — souffrance</w:t>
            </w:r>
          </w:p>
        </w:tc>
      </w:tr>
      <w:tr>
        <w:trPr>
          <w:cantSplit/>
        </w:trPr>
        <w:tc>
          <w:tcPr>
            <w:tcW w:type="dxa" w:w="900"/>
            <w:tcMar>
              <w:top w:type="dxa" w:w="40"/>
              <w:left w:type="dxa" w:w="80"/>
              <w:bottom w:type="dxa" w:w="40"/>
              <w:right w:type="dxa" w:w="80"/>
            </w:tcMar>
          </w:tcPr>
          <w:p>
            <w:pPr>
              <w:spacing w:after="0" w:line="240"/>
            </w:pPr>
            <w:r>
              <w:rPr>
                <w:rFonts w:ascii="Calibri" w:cs="Calibri" w:eastAsia="Calibri" w:hAnsi="Calibri"/>
                <w:sz w:val="17"/>
                <w:szCs w:val="17"/>
              </w:rPr>
              <w:t xml:space="preserve">3</w:t>
            </w:r>
          </w:p>
        </w:tc>
        <w:tc>
          <w:tcPr>
            <w:tcW w:type="dxa" w:w="5600"/>
            <w:tcMar>
              <w:top w:type="dxa" w:w="40"/>
              <w:left w:type="dxa" w:w="80"/>
              <w:bottom w:type="dxa" w:w="40"/>
              <w:right w:type="dxa" w:w="80"/>
            </w:tcMar>
          </w:tcPr>
          <w:p>
            <w:pPr>
              <w:spacing w:after="0" w:line="240"/>
            </w:pPr>
            <w:r>
              <w:rPr>
                <w:rFonts w:ascii="Calibri" w:cs="Calibri" w:eastAsia="Calibri" w:hAnsi="Calibri"/>
                <w:sz w:val="17"/>
                <w:szCs w:val="17"/>
              </w:rPr>
              <w:t xml:space="preserve">Classe en défaut (pré-douteuse, douteuse, compromise)</w:t>
            </w:r>
          </w:p>
        </w:tc>
        <w:tc>
          <w:tcPr>
            <w:tcW w:type="dxa" w:w="3138"/>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NO_GO — défaut avéré</w:t>
            </w:r>
          </w:p>
        </w:tc>
      </w:tr>
      <w:tr>
        <w:trPr>
          <w:cantSplit/>
        </w:trPr>
        <w:tc>
          <w:tcPr>
            <w:tcW w:type="dxa" w:w="9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4</w:t>
            </w:r>
          </w:p>
        </w:tc>
        <w:tc>
          <w:tcPr>
            <w:tcW w:type="dxa" w:w="5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Donnée décisionnelle absente ou classe non établie</w:t>
            </w:r>
          </w:p>
        </w:tc>
        <w:tc>
          <w:tcPr>
            <w:tcW w:type="dxa" w:w="3138"/>
            <w:shd w:fill="F2F5FB" w:color="auto" w:val="clear"/>
            <w:tcMar>
              <w:top w:type="dxa" w:w="40"/>
              <w:left w:type="dxa" w:w="80"/>
              <w:bottom w:type="dxa" w:w="40"/>
              <w:right w:type="dxa" w:w="80"/>
            </w:tcMar>
          </w:tcPr>
          <w:p>
            <w:pPr>
              <w:spacing w:after="0" w:line="240"/>
            </w:pPr>
            <w:r>
              <w:rPr>
                <w:rFonts w:ascii="Calibri" w:cs="Calibri" w:eastAsia="Calibri" w:hAnsi="Calibri"/>
                <w:b/>
                <w:bCs/>
                <w:color w:val="595959"/>
                <w:sz w:val="17"/>
                <w:szCs w:val="17"/>
              </w:rPr>
              <w:t xml:space="preserve">DOSSIER_INCOMPLET</w:t>
            </w:r>
          </w:p>
        </w:tc>
      </w:tr>
      <w:tr>
        <w:trPr>
          <w:cantSplit/>
        </w:trPr>
        <w:tc>
          <w:tcPr>
            <w:tcW w:type="dxa" w:w="900"/>
            <w:tcMar>
              <w:top w:type="dxa" w:w="40"/>
              <w:left w:type="dxa" w:w="80"/>
              <w:bottom w:type="dxa" w:w="40"/>
              <w:right w:type="dxa" w:w="80"/>
            </w:tcMar>
          </w:tcPr>
          <w:p>
            <w:pPr>
              <w:spacing w:after="0" w:line="240"/>
            </w:pPr>
            <w:r>
              <w:rPr>
                <w:rFonts w:ascii="Calibri" w:cs="Calibri" w:eastAsia="Calibri" w:hAnsi="Calibri"/>
                <w:sz w:val="17"/>
                <w:szCs w:val="17"/>
              </w:rPr>
              <w:t xml:space="preserve">5</w:t>
            </w:r>
          </w:p>
        </w:tc>
        <w:tc>
          <w:tcPr>
            <w:tcW w:type="dxa" w:w="5600"/>
            <w:tcMar>
              <w:top w:type="dxa" w:w="40"/>
              <w:left w:type="dxa" w:w="80"/>
              <w:bottom w:type="dxa" w:w="40"/>
              <w:right w:type="dxa" w:w="80"/>
            </w:tcMar>
          </w:tcPr>
          <w:p>
            <w:pPr>
              <w:spacing w:after="0" w:line="240"/>
            </w:pPr>
            <w:r>
              <w:rPr>
                <w:rFonts w:ascii="Calibri" w:cs="Calibri" w:eastAsia="Calibri" w:hAnsi="Calibri"/>
                <w:sz w:val="17"/>
                <w:szCs w:val="17"/>
              </w:rPr>
              <w:t xml:space="preserve">Critère éliminatoire franchi</w:t>
            </w:r>
          </w:p>
        </w:tc>
        <w:tc>
          <w:tcPr>
            <w:tcW w:type="dxa" w:w="3138"/>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NO_GO + condition à lever</w:t>
            </w:r>
          </w:p>
        </w:tc>
      </w:tr>
      <w:tr>
        <w:trPr>
          <w:cantSplit/>
        </w:trPr>
        <w:tc>
          <w:tcPr>
            <w:tcW w:type="dxa" w:w="9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6</w:t>
            </w:r>
          </w:p>
        </w:tc>
        <w:tc>
          <w:tcPr>
            <w:tcW w:type="dxa" w:w="5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Score ≥ 75 · ≥ 65 · ≥ 50 · &lt; 50</w:t>
            </w:r>
          </w:p>
        </w:tc>
        <w:tc>
          <w:tcPr>
            <w:tcW w:type="dxa" w:w="31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GO · GO sous conditions · Watch list · NO_GO</w:t>
            </w:r>
          </w:p>
        </w:tc>
      </w:tr>
    </w:tbl>
    <w:p>
      <w:pPr>
        <w:pStyle w:val="Heading2"/>
        <w:keepNext/>
      </w:pPr>
      <w:r>
        <w:t xml:space="preserve">Que faire selon le résultat</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3200"/>
        <w:gridCol w:w="6438"/>
      </w:tblGrid>
      <w:tr>
        <w:trPr>
          <w:cantSplit/>
          <w:tblHeader/>
        </w:trPr>
        <w:tc>
          <w:tcPr>
            <w:tcW w:type="dxa" w:w="3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Vous voyez</w:t>
            </w:r>
          </w:p>
        </w:tc>
        <w:tc>
          <w:tcPr>
            <w:tcW w:type="dxa" w:w="64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Ce que vous faites</w:t>
            </w:r>
          </w:p>
        </w:tc>
      </w:tr>
      <w:tr>
        <w:trPr>
          <w:cantSplit/>
        </w:trPr>
        <w:tc>
          <w:tcPr>
            <w:tcW w:type="dxa" w:w="3200"/>
            <w:tcMar>
              <w:top w:type="dxa" w:w="40"/>
              <w:left w:type="dxa" w:w="80"/>
              <w:bottom w:type="dxa" w:w="40"/>
              <w:right w:type="dxa" w:w="80"/>
            </w:tcMar>
          </w:tcPr>
          <w:p>
            <w:pPr>
              <w:spacing w:after="0" w:line="240"/>
            </w:pPr>
            <w:r>
              <w:rPr>
                <w:rFonts w:ascii="Calibri" w:cs="Calibri" w:eastAsia="Calibri" w:hAnsi="Calibri"/>
                <w:b/>
                <w:bCs/>
                <w:sz w:val="17"/>
                <w:szCs w:val="17"/>
              </w:rPr>
              <w:t xml:space="preserve">Dossier incomplet</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L'encart liste les données manquantes en clair. Réunissez la pièce, saisissez la valeur (0 si « aucun »), synchronisez, recalculez.</w:t>
            </w:r>
          </w:p>
        </w:tc>
      </w:tr>
      <w:tr>
        <w:trPr>
          <w:cantSplit/>
        </w:trPr>
        <w:tc>
          <w:tcPr>
            <w:tcW w:type="dxa" w:w="3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Condition à lever (jalon)</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Un critère éliminatoire est franchi (apport, foncier / autorisations). Indiquez dans la note au comité la pièce attendue et la date : aucun tirage ne sera autorisé avant sa levée.</w:t>
            </w:r>
          </w:p>
        </w:tc>
      </w:tr>
      <w:tr>
        <w:trPr>
          <w:cantSplit/>
        </w:trPr>
        <w:tc>
          <w:tcPr>
            <w:tcW w:type="dxa" w:w="3200"/>
            <w:tcMar>
              <w:top w:type="dxa" w:w="40"/>
              <w:left w:type="dxa" w:w="80"/>
              <w:bottom w:type="dxa" w:w="40"/>
              <w:right w:type="dxa" w:w="80"/>
            </w:tcMar>
          </w:tcPr>
          <w:p>
            <w:pPr>
              <w:spacing w:after="0" w:line="240"/>
            </w:pPr>
            <w:r>
              <w:rPr>
                <w:rFonts w:ascii="Calibri" w:cs="Calibri" w:eastAsia="Calibri" w:hAnsi="Calibri"/>
                <w:b/>
                <w:bCs/>
                <w:sz w:val="17"/>
                <w:szCs w:val="17"/>
              </w:rPr>
              <w:t xml:space="preserve">Alerte avec malus</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Documentez le mitigant (garantie complémentaire, apport supplémentaire, calendrier) ; le malus reste appliqué tant que la donnée ne change pas.</w:t>
            </w:r>
          </w:p>
        </w:tc>
      </w:tr>
      <w:tr>
        <w:trPr>
          <w:cantSplit/>
        </w:trPr>
        <w:tc>
          <w:tcPr>
            <w:tcW w:type="dxa" w:w="3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Retour en comité requis</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Une alerte ou un événement l'impose (restructuration, retard ≥ 6 mois, mainlevée sous-tarifée, division des risques). Préparez le passage en comité.</w:t>
            </w:r>
          </w:p>
        </w:tc>
      </w:tr>
      <w:tr>
        <w:trPr>
          <w:cantSplit/>
        </w:trPr>
        <w:tc>
          <w:tcPr>
            <w:tcW w:type="dxa" w:w="3200"/>
            <w:tcMar>
              <w:top w:type="dxa" w:w="40"/>
              <w:left w:type="dxa" w:w="80"/>
              <w:bottom w:type="dxa" w:w="40"/>
              <w:right w:type="dxa" w:w="80"/>
            </w:tcMar>
          </w:tcPr>
          <w:p>
            <w:pPr>
              <w:spacing w:after="0" w:line="240"/>
            </w:pPr>
            <w:r>
              <w:rPr>
                <w:rFonts w:ascii="Calibri" w:cs="Calibri" w:eastAsia="Calibri" w:hAnsi="Calibri"/>
                <w:b/>
                <w:bCs/>
                <w:sz w:val="17"/>
                <w:szCs w:val="17"/>
              </w:rPr>
              <w:t xml:space="preserve">Segment ou zone hors référentiel</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Corrigez la fiche projet : aucun ajustement n'a été appliqué.</w:t>
            </w:r>
          </w:p>
        </w:tc>
      </w:tr>
      <w:tr>
        <w:trPr>
          <w:cantSplit/>
        </w:trPr>
        <w:tc>
          <w:tcPr>
            <w:tcW w:type="dxa" w:w="3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 Modèle … — version retirée »</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Le score date d'une ancienne version du modèle : relancez le calcul.</w:t>
            </w:r>
          </w:p>
        </w:tc>
      </w:tr>
    </w:tbl>
    <w:p>
      <w:pPr>
        <w:spacing w:after="60" w:before="0" w:line="276"/>
      </w:pPr>
      <w:r>
        <w:rPr>
          <w:rFonts w:ascii="Calibri" w:cs="Calibri" w:eastAsia="Calibri" w:hAnsi="Calibri"/>
          <w:sz w:val="21"/>
          <w:szCs w:val="21"/>
        </w:rPr>
        <w:t xml:space="preserve"/>
      </w:r>
    </w:p>
    <w:tbl>
      <w:tblPr>
        <w:tblW w:type="dxa" w:w="9638"/>
        <w:tblBorders>
          <w:top w:val="single" w:color="B45F06" w:sz="4"/>
          <w:left w:val="single" w:color="B45F06" w:sz="4"/>
          <w:bottom w:val="single" w:color="B45F06" w:sz="4"/>
          <w:right w:val="single" w:color="B45F06" w:sz="4"/>
          <w:insideH w:val="none"/>
          <w:insideV w:val="none"/>
        </w:tblBorders>
      </w:tblPr>
      <w:tblGrid>
        <w:gridCol w:w="9638"/>
      </w:tblGrid>
      <w:tr>
        <w:tc>
          <w:tcPr>
            <w:tcW w:type="dxa" w:w="9638"/>
            <w:shd w:fill="FFF4E5" w:color="auto" w:val="clear"/>
            <w:tcMar>
              <w:top w:type="dxa" w:w="100"/>
              <w:left w:type="dxa" w:w="160"/>
              <w:bottom w:type="dxa" w:w="100"/>
              <w:right w:type="dxa" w:w="160"/>
            </w:tcMar>
          </w:tcPr>
          <w:p>
            <w:pPr>
              <w:spacing w:after="40"/>
            </w:pPr>
            <w:r>
              <w:rPr>
                <w:rFonts w:ascii="Calibri" w:cs="Calibri" w:eastAsia="Calibri" w:hAnsi="Calibri"/>
                <w:b/>
                <w:bCs/>
                <w:color w:val="B45F06"/>
                <w:sz w:val="21"/>
                <w:szCs w:val="21"/>
              </w:rPr>
              <w:t xml:space="preserve">La PD affichée est indicative</w:t>
            </w:r>
          </w:p>
          <w:p>
            <w:pPr>
              <w:spacing w:after="0" w:line="276"/>
            </w:pPr>
            <w:r>
              <w:rPr>
                <w:rFonts w:ascii="Calibri" w:cs="Calibri" w:eastAsia="Calibri" w:hAnsi="Calibri"/>
                <w:sz w:val="21"/>
                <w:szCs w:val="21"/>
              </w:rPr>
              <w:t xml:space="preserve">Elle n'est pas calibrée sur l'historique de la banque. Elle éclaire la discussion ; elle ne sert ni au provisionnement ni au capital.</w:t>
            </w:r>
          </w:p>
        </w:tc>
      </w:tr>
    </w:tbl>
    <w:p>
      <w:pPr>
        <w:pStyle w:val="Heading2"/>
        <w:keepNext/>
      </w:pPr>
      <w:r>
        <w:t xml:space="preserve">Le dossier de comité</w:t>
      </w:r>
    </w:p>
    <w:p>
      <w:pPr>
        <w:spacing w:after="120" w:before="0" w:line="276"/>
      </w:pPr>
      <w:r>
        <w:rPr>
          <w:rFonts w:ascii="Calibri" w:cs="Calibri" w:eastAsia="Calibri" w:hAnsi="Calibri"/>
          <w:sz w:val="21"/>
          <w:szCs w:val="21"/>
        </w:rPr>
        <w:t xml:space="preserve">Depuis la fiche projet, « Dossier comité (PDF) » et « Dossier comité (Excel) » produisent la synthèse : décision, classe, lecture du résultat, métriques de risque, garanties, facilités, groupe. Vérifiez que le score est à jour avant l'export.</w:t>
      </w:r>
    </w:p>
    <w:p>
      <w:r>
        <w:br w:type="page"/>
      </w:r>
    </w:p>
    <w:p>
      <w:pPr>
        <w:pStyle w:val="Heading1"/>
      </w:pPr>
      <w:r>
        <w:t xml:space="preserve">7. Le suivi après octroi</w:t>
      </w:r>
    </w:p>
    <w:p>
      <w:pPr>
        <w:pStyle w:val="Heading2"/>
        <w:keepNext/>
      </w:pPr>
      <w:r>
        <w:t xml:space="preserve">Revues périodiques</w:t>
      </w:r>
    </w:p>
    <w:p>
      <w:pPr>
        <w:spacing w:after="120" w:before="0" w:line="276"/>
      </w:pPr>
      <w:r>
        <w:rPr>
          <w:rFonts w:ascii="Calibri" w:cs="Calibri" w:eastAsia="Calibri" w:hAnsi="Calibri"/>
          <w:sz w:val="21"/>
          <w:szCs w:val="21"/>
        </w:rPr>
        <w:t xml:space="preserve">Le score doit être recalculé au moins tous les 365 jours pour une créance saine, tous les 90 jours pour une créance sensible et tous les 30 jours pour une créance en souffrance — et immédiatement après tout événement matériel. La fiche projet affiche la « Fraîcheur du score » et l'échéance de la prochaine revue.</w:t>
      </w:r>
    </w:p>
    <w:p>
      <w:pPr>
        <w:pStyle w:val="Heading2"/>
        <w:keepNext/>
      </w:pPr>
      <w:r>
        <w:t xml:space="preserve">Déblocages</w:t>
      </w:r>
    </w:p>
    <w:p>
      <w:pPr>
        <w:pStyle w:val="ListParagraph"/>
        <w:numPr>
          <w:ilvl w:val="0"/>
          <w:numId w:val="3"/>
        </w:numPr>
        <w:spacing w:after="60" w:line="276"/>
      </w:pPr>
      <w:r>
        <w:rPr>
          <w:rFonts w:ascii="Calibri" w:cs="Calibri" w:eastAsia="Calibri" w:hAnsi="Calibri"/>
          <w:sz w:val="21"/>
          <w:szCs w:val="21"/>
        </w:rPr>
        <w:t xml:space="preserve">Chaque tirage travaux s'appuie sur une situation de travaux visée par l'architecte ou le BET (référence et pourcentage certifié à saisir).</w:t>
      </w:r>
    </w:p>
    <w:p>
      <w:pPr>
        <w:pStyle w:val="ListParagraph"/>
        <w:numPr>
          <w:ilvl w:val="0"/>
          <w:numId w:val="3"/>
        </w:numPr>
        <w:spacing w:after="60" w:line="276"/>
      </w:pPr>
      <w:r>
        <w:rPr>
          <w:rFonts w:ascii="Calibri" w:cs="Calibri" w:eastAsia="Calibri" w:hAnsi="Calibri"/>
          <w:sz w:val="21"/>
          <w:szCs w:val="21"/>
        </w:rPr>
        <w:t xml:space="preserve">Un verrou d'autorisation ouvert (pièce indispensable aux travaux manquante) interdit le tirage.</w:t>
      </w:r>
    </w:p>
    <w:p>
      <w:pPr>
        <w:pStyle w:val="ListParagraph"/>
        <w:numPr>
          <w:ilvl w:val="0"/>
          <w:numId w:val="3"/>
        </w:numPr>
        <w:spacing w:after="60" w:line="276"/>
      </w:pPr>
      <w:r>
        <w:rPr>
          <w:rFonts w:ascii="Calibri" w:cs="Calibri" w:eastAsia="Calibri" w:hAnsi="Calibri"/>
          <w:sz w:val="21"/>
          <w:szCs w:val="21"/>
        </w:rPr>
        <w:t xml:space="preserve">Mettez à jour les lots (statut, prix, financement de l'acquéreur) avant chaque synchronisation.</w:t>
      </w:r>
    </w:p>
    <w:p>
      <w:pPr>
        <w:pStyle w:val="Heading2"/>
        <w:keepNext/>
      </w:pPr>
      <w:r>
        <w:t xml:space="preserve">Programme, tranche financée, équipements (modèle v5)</w:t>
      </w:r>
    </w:p>
    <w:p>
      <w:pPr>
        <w:spacing w:after="120" w:before="0" w:line="276"/>
      </w:pPr>
      <w:r>
        <w:rPr>
          <w:rFonts w:ascii="Calibri" w:cs="Calibri" w:eastAsia="Calibri" w:hAnsi="Calibri"/>
          <w:sz w:val="21"/>
          <w:szCs w:val="21"/>
        </w:rPr>
        <w:t xml:space="preserve">Fiche projet › Suivi › carte « Programme, tranche financée, équipements et déblocages ». Ce que la carte affiche est exactement ce que « Synchroniser vers le scoring » reporte dans le score.</w:t>
      </w:r>
    </w:p>
    <w:p>
      <w:pPr>
        <w:pStyle w:val="ListParagraph"/>
        <w:numPr>
          <w:ilvl w:val="0"/>
          <w:numId w:val="3"/>
        </w:numPr>
        <w:spacing w:after="60" w:line="276"/>
      </w:pPr>
      <w:r>
        <w:rPr>
          <w:rFonts w:ascii="Calibri" w:cs="Calibri" w:eastAsia="Calibri" w:hAnsi="Calibri"/>
          <w:sz w:val="21"/>
          <w:szCs w:val="21"/>
        </w:rPr>
        <w:t xml:space="preserve">Tranche financée : si la banque ne finance qu'une tranche (ou un lot), cochez-la, et rattachez chaque facilité à sa tranche. Les préventes, désistements, composition et encours sont alors calculés sur ce seul périmètre. Appréciez ensuite l'autonomie de la tranche (accès, VRD, raccordements).</w:t>
      </w:r>
    </w:p>
    <w:p>
      <w:pPr>
        <w:pStyle w:val="ListParagraph"/>
        <w:numPr>
          <w:ilvl w:val="0"/>
          <w:numId w:val="3"/>
        </w:numPr>
        <w:spacing w:after="60" w:line="276"/>
      </w:pPr>
      <w:r>
        <w:rPr>
          <w:rFonts w:ascii="Calibri" w:cs="Calibri" w:eastAsia="Calibri" w:hAnsi="Calibri"/>
          <w:sz w:val="21"/>
          <w:szCs w:val="21"/>
        </w:rPr>
        <w:t xml:space="preserve">Programme mixte : saisissez chaque lot avec son type exact (appartement, villa, commerce, bureau, hôtel). La part du chiffre d'affaires à écoulement lent (commerces, bureaux, hôtel) est calculée ; une composante sans preneur engagé se déclare comme alerte.</w:t>
      </w:r>
    </w:p>
    <w:p>
      <w:pPr>
        <w:pStyle w:val="ListParagraph"/>
        <w:numPr>
          <w:ilvl w:val="0"/>
          <w:numId w:val="3"/>
        </w:numPr>
        <w:spacing w:after="60" w:line="276"/>
      </w:pPr>
      <w:r>
        <w:rPr>
          <w:rFonts w:ascii="Calibri" w:cs="Calibri" w:eastAsia="Calibri" w:hAnsi="Calibri"/>
          <w:sz w:val="21"/>
          <w:szCs w:val="21"/>
        </w:rPr>
        <w:t xml:space="preserve">Équipements exigés : déclarez la mosquée, l'école, la voirie… exigées par la commune, le cahier des charges ou l'autorisation, avec coût, financeur, échéance et avancement. S'il n'y en a aucun, déclarez-le explicitement : non déclaré = note plancher.</w:t>
      </w:r>
    </w:p>
    <w:p>
      <w:pPr>
        <w:pStyle w:val="ListParagraph"/>
        <w:numPr>
          <w:ilvl w:val="0"/>
          <w:numId w:val="3"/>
        </w:numPr>
        <w:spacing w:after="60" w:line="276"/>
      </w:pPr>
      <w:r>
        <w:rPr>
          <w:rFonts w:ascii="Calibri" w:cs="Calibri" w:eastAsia="Calibri" w:hAnsi="Calibri"/>
          <w:sz w:val="21"/>
          <w:szCs w:val="21"/>
        </w:rPr>
        <w:t xml:space="preserve">Régionalité : la région administrative du projet et le référentiel « Marché régional » (tenu par la Direction des risques) donnent la tension du marché. Une appréciation de plus de 12 mois est signalée périmée.</w:t>
      </w:r>
    </w:p>
    <w:p>
      <w:pPr>
        <w:pStyle w:val="Heading2"/>
        <w:keepNext/>
      </w:pPr>
      <w:r>
        <w:t xml:space="preserve">Suivi des déblocages selon le calendrier</w:t>
      </w:r>
    </w:p>
    <w:p>
      <w:pPr>
        <w:pStyle w:val="ListParagraph"/>
        <w:numPr>
          <w:ilvl w:val="0"/>
          <w:numId w:val="3"/>
        </w:numPr>
        <w:spacing w:after="60" w:line="276"/>
      </w:pPr>
      <w:r>
        <w:rPr>
          <w:rFonts w:ascii="Calibri" w:cs="Calibri" w:eastAsia="Calibri" w:hAnsi="Calibri"/>
          <w:sz w:val="21"/>
          <w:szCs w:val="21"/>
        </w:rPr>
        <w:t xml:space="preserve">Déblocages vs avancement : cumul débloqué / (autorisé × avancement certifié). À 115 % ou plus, l'alerte « tirages en avance » impose un retour en comité : suspendre les tirages jusqu'à une situation visée cohérente.</w:t>
      </w:r>
    </w:p>
    <w:p>
      <w:pPr>
        <w:pStyle w:val="ListParagraph"/>
        <w:numPr>
          <w:ilvl w:val="0"/>
          <w:numId w:val="3"/>
        </w:numPr>
        <w:spacing w:after="60" w:line="276"/>
      </w:pPr>
      <w:r>
        <w:rPr>
          <w:rFonts w:ascii="Calibri" w:cs="Calibri" w:eastAsia="Calibri" w:hAnsi="Calibri"/>
          <w:sz w:val="21"/>
          <w:szCs w:val="21"/>
        </w:rPr>
        <w:t xml:space="preserve">Plan de tirage : chaque déblocage réel est rattaché à son jalon du planning initial. Si 25 % ou plus du montant prévu à date n'est pas débloqué, l'alerte « plan de tirage en retard » se déclenche : programmer une visite.</w:t>
      </w:r>
    </w:p>
    <w:p>
      <w:pPr>
        <w:pStyle w:val="ListParagraph"/>
        <w:numPr>
          <w:ilvl w:val="0"/>
          <w:numId w:val="3"/>
        </w:numPr>
        <w:spacing w:after="60" w:line="276"/>
      </w:pPr>
      <w:r>
        <w:rPr>
          <w:rFonts w:ascii="Calibri" w:cs="Calibri" w:eastAsia="Calibri" w:hAnsi="Calibri"/>
          <w:sz w:val="21"/>
          <w:szCs w:val="21"/>
        </w:rPr>
        <w:t xml:space="preserve">Coût à terminaison : mettez à jour l'estimation à chaque revue ; un dépassement de 10 % ou plus est critique.</w:t>
      </w:r>
    </w:p>
    <w:p>
      <w:pPr>
        <w:pStyle w:val="Heading2"/>
        <w:keepNext/>
      </w:pPr>
      <w:r>
        <w:t xml:space="preserve">Trajectoire du score</w:t>
      </w:r>
    </w:p>
    <w:p>
      <w:pPr>
        <w:spacing w:after="120" w:before="0" w:line="276"/>
      </w:pPr>
      <w:r>
        <w:rPr>
          <w:rFonts w:ascii="Calibri" w:cs="Calibri" w:eastAsia="Calibri" w:hAnsi="Calibri"/>
          <w:sz w:val="21"/>
          <w:szCs w:val="21"/>
        </w:rPr>
        <w:t xml:space="preserve">Le score est recalculé à chaque revue. La carte « Évolution du score » signale une alerte précoce dès que le score perd 5 points ou plus sur les 3 derniers calculs, ou que la décision se dégrade ; une vigilance en cas de baisses consécutives ou d'approche d'un seuil. Un écart dû à un changement de version du modèle (v4 → v5) est signalé comme tel et n'est pas lu comme une dégradation.</w:t>
      </w:r>
    </w:p>
    <w:p>
      <w:pPr>
        <w:pStyle w:val="Heading2"/>
        <w:keepNext/>
      </w:pPr>
      <w:r>
        <w:t xml:space="preserve">Mainlevées partielles</w:t>
      </w:r>
    </w:p>
    <w:p>
      <w:pPr>
        <w:spacing w:after="120" w:before="0" w:line="276"/>
      </w:pPr>
      <w:r>
        <w:rPr>
          <w:rFonts w:ascii="Calibri" w:cs="Calibri" w:eastAsia="Calibri" w:hAnsi="Calibri"/>
          <w:sz w:val="21"/>
          <w:szCs w:val="21"/>
        </w:rPr>
        <w:t xml:space="preserve">Chaque vente permet une mainlevée contre remboursement de la quotité de désengagement fixée par la convention. L'application compare cette quotité à la quotité d'équilibre (encours / valeur commercialisable) : une quotité inférieure déclenche l'alerte « Prix de mainlevée sous-tarifé » et un retour en comité.</w:t>
      </w:r>
    </w:p>
    <w:p>
      <w:pPr>
        <w:pStyle w:val="Heading2"/>
        <w:keepNext/>
      </w:pPr>
      <w:r>
        <w:t xml:space="preserve">Événements à déclarer au journal</w:t>
      </w:r>
    </w:p>
    <w:p>
      <w:pPr>
        <w:spacing w:after="120" w:before="0" w:line="276"/>
      </w:pPr>
      <w:r>
        <w:rPr>
          <w:rFonts w:ascii="Calibri" w:cs="Calibri" w:eastAsia="Calibri" w:hAnsi="Calibri"/>
          <w:sz w:val="21"/>
          <w:szCs w:val="21"/>
        </w:rPr>
        <w:t xml:space="preserve">Fiche projet › Suivi › Événements. Un événement « matériel » déclenche un nouveau calcul ; certains imposent un retour en comité.</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4000"/>
        <w:gridCol w:w="1300"/>
        <w:gridCol w:w="1300"/>
        <w:gridCol w:w="1000"/>
        <w:gridCol w:w="2038"/>
      </w:tblGrid>
      <w:tr>
        <w:trPr>
          <w:cantSplit/>
          <w:tblHeader/>
        </w:trPr>
        <w:tc>
          <w:tcPr>
            <w:tcW w:type="dxa" w:w="4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Événement</w:t>
            </w:r>
          </w:p>
        </w:tc>
        <w:tc>
          <w:tcPr>
            <w:tcW w:type="dxa" w:w="1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Gravité</w:t>
            </w:r>
          </w:p>
        </w:tc>
        <w:tc>
          <w:tcPr>
            <w:tcW w:type="dxa" w:w="1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Nouveau calcul</w:t>
            </w:r>
          </w:p>
        </w:tc>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Comité</w:t>
            </w:r>
          </w:p>
        </w:tc>
        <w:tc>
          <w:tcPr>
            <w:tcW w:type="dxa" w:w="20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Référence</w:t>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Déblocage / tirage</w:t>
            </w:r>
          </w:p>
        </w:tc>
        <w:tc>
          <w:tcPr>
            <w:tcW w:type="dxa" w:w="13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Information</w:t>
            </w:r>
          </w:p>
        </w:tc>
        <w:tc>
          <w:tcPr>
            <w:tcW w:type="dxa" w:w="1300"/>
            <w:tcMar>
              <w:top w:type="dxa" w:w="40"/>
              <w:left w:type="dxa" w:w="80"/>
              <w:bottom w:type="dxa" w:w="40"/>
              <w:right w:type="dxa" w:w="80"/>
            </w:tcMar>
          </w:tcPr>
          <w:p>
            <w:pPr>
              <w:spacing w:after="0" w:line="240"/>
              <w:jc w:val="center"/>
            </w:pPr>
            <w:r>
              <w:rPr>
                <w:rFonts w:ascii="Calibri" w:cs="Calibri" w:eastAsia="Calibri" w:hAnsi="Calibri"/>
                <w:sz w:val="17"/>
                <w:szCs w:val="17"/>
              </w:rPr>
              <w:t xml:space="preserve">—</w:t>
            </w:r>
          </w:p>
        </w:tc>
        <w:tc>
          <w:tcPr>
            <w:tcW w:type="dxa" w:w="1000"/>
            <w:tcMar>
              <w:top w:type="dxa" w:w="40"/>
              <w:left w:type="dxa" w:w="80"/>
              <w:bottom w:type="dxa" w:w="40"/>
              <w:right w:type="dxa" w:w="80"/>
            </w:tcMar>
          </w:tcPr>
          <w:p>
            <w:pPr>
              <w:spacing w:after="0" w:line="240"/>
              <w:jc w:val="center"/>
            </w:pPr>
            <w:r>
              <w:rPr>
                <w:rFonts w:ascii="Calibri" w:cs="Calibri" w:eastAsia="Calibri" w:hAnsi="Calibri"/>
                <w:b w:val="false"/>
                <w:bCs w:val="false"/>
                <w:sz w:val="17"/>
                <w:szCs w:val="17"/>
              </w:rPr>
              <w:t xml:space="preserve">—</w:t>
            </w:r>
          </w:p>
        </w:tc>
        <w:tc>
          <w:tcPr>
            <w:tcW w:type="dxa" w:w="2038"/>
            <w:tcMar>
              <w:top w:type="dxa" w:w="40"/>
              <w:left w:type="dxa" w:w="80"/>
              <w:bottom w:type="dxa" w:w="40"/>
              <w:right w:type="dxa" w:w="80"/>
            </w:tcMar>
          </w:tcPr>
          <w:p>
            <w:pPr>
              <w:spacing w:after="0" w:line="240"/>
            </w:pPr>
            <w:r>
              <w:rPr>
                <w:rFonts w:ascii="Calibri" w:cs="Calibri" w:eastAsia="Calibri" w:hAnsi="Calibri"/>
                <w:sz w:val="15"/>
                <w:szCs w:val="15"/>
              </w:rPr>
              <w:t xml:space="preserve"/>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Remboursement</w:t>
            </w:r>
          </w:p>
        </w:tc>
        <w:tc>
          <w:tcPr>
            <w:tcW w:type="dxa" w:w="1300"/>
            <w:shd w:fill="F2F5FB" w:color="auto" w:val="clear"/>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Information</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7"/>
                <w:szCs w:val="17"/>
              </w:rPr>
              <w:t xml:space="preserve">—</w:t>
            </w:r>
          </w:p>
        </w:tc>
        <w:tc>
          <w:tcPr>
            <w:tcW w:type="dxa" w:w="2038"/>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bCs/>
                <w:sz w:val="17"/>
                <w:szCs w:val="17"/>
              </w:rPr>
              <w:t xml:space="preserve">Incident de paiement (impayé)</w:t>
            </w:r>
          </w:p>
        </w:tc>
        <w:tc>
          <w:tcPr>
            <w:tcW w:type="dxa" w:w="1300"/>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Critique</w:t>
            </w:r>
          </w:p>
        </w:tc>
        <w:tc>
          <w:tcPr>
            <w:tcW w:type="dxa" w:w="1300"/>
            <w:tcMar>
              <w:top w:type="dxa" w:w="40"/>
              <w:left w:type="dxa" w:w="80"/>
              <w:bottom w:type="dxa" w:w="40"/>
              <w:right w:type="dxa" w:w="80"/>
            </w:tcMar>
          </w:tcPr>
          <w:p>
            <w:pPr>
              <w:spacing w:after="0" w:line="240"/>
              <w:jc w:val="center"/>
            </w:pPr>
            <w:r>
              <w:rPr>
                <w:rFonts w:ascii="Calibri" w:cs="Calibri" w:eastAsia="Calibri" w:hAnsi="Calibri"/>
                <w:sz w:val="17"/>
                <w:szCs w:val="17"/>
              </w:rPr>
              <w:t xml:space="preserve">Oui</w:t>
            </w:r>
          </w:p>
        </w:tc>
        <w:tc>
          <w:tcPr>
            <w:tcW w:type="dxa" w:w="1000"/>
            <w:tcMar>
              <w:top w:type="dxa" w:w="40"/>
              <w:left w:type="dxa" w:w="80"/>
              <w:bottom w:type="dxa" w:w="40"/>
              <w:right w:type="dxa" w:w="80"/>
            </w:tcMar>
          </w:tcPr>
          <w:p>
            <w:pPr>
              <w:spacing w:after="0" w:line="240"/>
              <w:jc w:val="center"/>
            </w:pPr>
            <w:r>
              <w:rPr>
                <w:rFonts w:ascii="Calibri" w:cs="Calibri" w:eastAsia="Calibri" w:hAnsi="Calibri"/>
                <w:b w:val="false"/>
                <w:bCs w:val="false"/>
                <w:sz w:val="17"/>
                <w:szCs w:val="17"/>
              </w:rPr>
              <w:t xml:space="preserve">—</w:t>
            </w:r>
          </w:p>
        </w:tc>
        <w:tc>
          <w:tcPr>
            <w:tcW w:type="dxa" w:w="2038"/>
            <w:tcMar>
              <w:top w:type="dxa" w:w="40"/>
              <w:left w:type="dxa" w:w="80"/>
              <w:bottom w:type="dxa" w:w="40"/>
              <w:right w:type="dxa" w:w="80"/>
            </w:tcMar>
          </w:tcPr>
          <w:p>
            <w:pPr>
              <w:spacing w:after="0" w:line="240"/>
            </w:pPr>
            <w:r>
              <w:rPr>
                <w:rFonts w:ascii="Calibri" w:cs="Calibri" w:eastAsia="Calibri" w:hAnsi="Calibri"/>
                <w:sz w:val="15"/>
                <w:szCs w:val="15"/>
              </w:rPr>
              <w:t xml:space="preserve">1/W art.5.1 ; 19/G art.6</w:t>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Régularisation d'impayé</w:t>
            </w:r>
          </w:p>
        </w:tc>
        <w:tc>
          <w:tcPr>
            <w:tcW w:type="dxa" w:w="1300"/>
            <w:shd w:fill="F2F5FB" w:color="auto" w:val="clear"/>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Information</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Oui</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7"/>
                <w:szCs w:val="17"/>
              </w:rPr>
              <w:t xml:space="preserve">—</w:t>
            </w:r>
          </w:p>
        </w:tc>
        <w:tc>
          <w:tcPr>
            <w:tcW w:type="dxa" w:w="2038"/>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Avenant au crédit</w:t>
            </w:r>
          </w:p>
        </w:tc>
        <w:tc>
          <w:tcPr>
            <w:tcW w:type="dxa" w:w="1300"/>
            <w:tcMar>
              <w:top w:type="dxa" w:w="40"/>
              <w:left w:type="dxa" w:w="80"/>
              <w:bottom w:type="dxa" w:w="40"/>
              <w:right w:type="dxa" w:w="80"/>
            </w:tcMar>
          </w:tcPr>
          <w:p>
            <w:pPr>
              <w:spacing w:after="0" w:line="240"/>
            </w:pPr>
            <w:r>
              <w:rPr>
                <w:rFonts w:ascii="Calibri" w:cs="Calibri" w:eastAsia="Calibri" w:hAnsi="Calibri"/>
                <w:color w:val="B45F06"/>
                <w:sz w:val="17"/>
                <w:szCs w:val="17"/>
              </w:rPr>
              <w:t xml:space="preserve">Vigilance</w:t>
            </w:r>
          </w:p>
        </w:tc>
        <w:tc>
          <w:tcPr>
            <w:tcW w:type="dxa" w:w="1300"/>
            <w:tcMar>
              <w:top w:type="dxa" w:w="40"/>
              <w:left w:type="dxa" w:w="80"/>
              <w:bottom w:type="dxa" w:w="40"/>
              <w:right w:type="dxa" w:w="80"/>
            </w:tcMar>
          </w:tcPr>
          <w:p>
            <w:pPr>
              <w:spacing w:after="0" w:line="240"/>
              <w:jc w:val="center"/>
            </w:pPr>
            <w:r>
              <w:rPr>
                <w:rFonts w:ascii="Calibri" w:cs="Calibri" w:eastAsia="Calibri" w:hAnsi="Calibri"/>
                <w:sz w:val="17"/>
                <w:szCs w:val="17"/>
              </w:rPr>
              <w:t xml:space="preserve">Oui</w:t>
            </w:r>
          </w:p>
        </w:tc>
        <w:tc>
          <w:tcPr>
            <w:tcW w:type="dxa" w:w="1000"/>
            <w:tcMar>
              <w:top w:type="dxa" w:w="40"/>
              <w:left w:type="dxa" w:w="80"/>
              <w:bottom w:type="dxa" w:w="40"/>
              <w:right w:type="dxa" w:w="80"/>
            </w:tcMar>
          </w:tcPr>
          <w:p>
            <w:pPr>
              <w:spacing w:after="0" w:line="240"/>
              <w:jc w:val="center"/>
            </w:pPr>
            <w:r>
              <w:rPr>
                <w:rFonts w:ascii="Calibri" w:cs="Calibri" w:eastAsia="Calibri" w:hAnsi="Calibri"/>
                <w:b/>
                <w:bCs/>
                <w:color w:val="C00000"/>
                <w:sz w:val="17"/>
                <w:szCs w:val="17"/>
              </w:rPr>
              <w:t xml:space="preserve">Oui</w:t>
            </w:r>
          </w:p>
        </w:tc>
        <w:tc>
          <w:tcPr>
            <w:tcW w:type="dxa" w:w="2038"/>
            <w:tcMar>
              <w:top w:type="dxa" w:w="40"/>
              <w:left w:type="dxa" w:w="80"/>
              <w:bottom w:type="dxa" w:w="40"/>
              <w:right w:type="dxa" w:w="80"/>
            </w:tcMar>
          </w:tcPr>
          <w:p>
            <w:pPr>
              <w:spacing w:after="0" w:line="240"/>
            </w:pPr>
            <w:r>
              <w:rPr>
                <w:rFonts w:ascii="Calibri" w:cs="Calibri" w:eastAsia="Calibri" w:hAnsi="Calibri"/>
                <w:sz w:val="15"/>
                <w:szCs w:val="15"/>
              </w:rPr>
              <w:t xml:space="preserve"/>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Restructuration de la créance</w:t>
            </w:r>
          </w:p>
        </w:tc>
        <w:tc>
          <w:tcPr>
            <w:tcW w:type="dxa" w:w="1300"/>
            <w:shd w:fill="F2F5FB" w:color="auto" w:val="clear"/>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Critique</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Oui</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7"/>
                <w:szCs w:val="17"/>
              </w:rPr>
              <w:t xml:space="preserve">Oui</w:t>
            </w:r>
          </w:p>
        </w:tc>
        <w:tc>
          <w:tcPr>
            <w:tcW w:type="dxa" w:w="2038"/>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1/W art.17-31</w:t>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bCs/>
                <w:sz w:val="17"/>
                <w:szCs w:val="17"/>
              </w:rPr>
              <w:t xml:space="preserve">Consolidation de dettes</w:t>
            </w:r>
          </w:p>
        </w:tc>
        <w:tc>
          <w:tcPr>
            <w:tcW w:type="dxa" w:w="1300"/>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Critique</w:t>
            </w:r>
          </w:p>
        </w:tc>
        <w:tc>
          <w:tcPr>
            <w:tcW w:type="dxa" w:w="1300"/>
            <w:tcMar>
              <w:top w:type="dxa" w:w="40"/>
              <w:left w:type="dxa" w:w="80"/>
              <w:bottom w:type="dxa" w:w="40"/>
              <w:right w:type="dxa" w:w="80"/>
            </w:tcMar>
          </w:tcPr>
          <w:p>
            <w:pPr>
              <w:spacing w:after="0" w:line="240"/>
              <w:jc w:val="center"/>
            </w:pPr>
            <w:r>
              <w:rPr>
                <w:rFonts w:ascii="Calibri" w:cs="Calibri" w:eastAsia="Calibri" w:hAnsi="Calibri"/>
                <w:sz w:val="17"/>
                <w:szCs w:val="17"/>
              </w:rPr>
              <w:t xml:space="preserve">Oui</w:t>
            </w:r>
          </w:p>
        </w:tc>
        <w:tc>
          <w:tcPr>
            <w:tcW w:type="dxa" w:w="1000"/>
            <w:tcMar>
              <w:top w:type="dxa" w:w="40"/>
              <w:left w:type="dxa" w:w="80"/>
              <w:bottom w:type="dxa" w:w="40"/>
              <w:right w:type="dxa" w:w="80"/>
            </w:tcMar>
          </w:tcPr>
          <w:p>
            <w:pPr>
              <w:spacing w:after="0" w:line="240"/>
              <w:jc w:val="center"/>
            </w:pPr>
            <w:r>
              <w:rPr>
                <w:rFonts w:ascii="Calibri" w:cs="Calibri" w:eastAsia="Calibri" w:hAnsi="Calibri"/>
                <w:b/>
                <w:bCs/>
                <w:color w:val="C00000"/>
                <w:sz w:val="17"/>
                <w:szCs w:val="17"/>
              </w:rPr>
              <w:t xml:space="preserve">Oui</w:t>
            </w:r>
          </w:p>
        </w:tc>
        <w:tc>
          <w:tcPr>
            <w:tcW w:type="dxa" w:w="2038"/>
            <w:tcMar>
              <w:top w:type="dxa" w:w="40"/>
              <w:left w:type="dxa" w:w="80"/>
              <w:bottom w:type="dxa" w:w="40"/>
              <w:right w:type="dxa" w:w="80"/>
            </w:tcMar>
          </w:tcPr>
          <w:p>
            <w:pPr>
              <w:spacing w:after="0" w:line="240"/>
            </w:pPr>
            <w:r>
              <w:rPr>
                <w:rFonts w:ascii="Calibri" w:cs="Calibri" w:eastAsia="Calibri" w:hAnsi="Calibri"/>
                <w:sz w:val="15"/>
                <w:szCs w:val="15"/>
              </w:rPr>
              <w:t xml:space="preserve">1/W art.17-31</w:t>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Reprofilage / rééchelonnement de la dette</w:t>
            </w:r>
          </w:p>
        </w:tc>
        <w:tc>
          <w:tcPr>
            <w:tcW w:type="dxa" w:w="1300"/>
            <w:shd w:fill="F2F5FB" w:color="auto" w:val="clear"/>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Critique</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Oui</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7"/>
                <w:szCs w:val="17"/>
              </w:rPr>
              <w:t xml:space="preserve">Oui</w:t>
            </w:r>
          </w:p>
        </w:tc>
        <w:tc>
          <w:tcPr>
            <w:tcW w:type="dxa" w:w="2038"/>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1/W art.17-31</w:t>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bCs/>
                <w:sz w:val="17"/>
                <w:szCs w:val="17"/>
              </w:rPr>
              <w:t xml:space="preserve">Arrêt de chantier</w:t>
            </w:r>
          </w:p>
        </w:tc>
        <w:tc>
          <w:tcPr>
            <w:tcW w:type="dxa" w:w="1300"/>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Critique</w:t>
            </w:r>
          </w:p>
        </w:tc>
        <w:tc>
          <w:tcPr>
            <w:tcW w:type="dxa" w:w="1300"/>
            <w:tcMar>
              <w:top w:type="dxa" w:w="40"/>
              <w:left w:type="dxa" w:w="80"/>
              <w:bottom w:type="dxa" w:w="40"/>
              <w:right w:type="dxa" w:w="80"/>
            </w:tcMar>
          </w:tcPr>
          <w:p>
            <w:pPr>
              <w:spacing w:after="0" w:line="240"/>
              <w:jc w:val="center"/>
            </w:pPr>
            <w:r>
              <w:rPr>
                <w:rFonts w:ascii="Calibri" w:cs="Calibri" w:eastAsia="Calibri" w:hAnsi="Calibri"/>
                <w:sz w:val="17"/>
                <w:szCs w:val="17"/>
              </w:rPr>
              <w:t xml:space="preserve">Oui</w:t>
            </w:r>
          </w:p>
        </w:tc>
        <w:tc>
          <w:tcPr>
            <w:tcW w:type="dxa" w:w="1000"/>
            <w:tcMar>
              <w:top w:type="dxa" w:w="40"/>
              <w:left w:type="dxa" w:w="80"/>
              <w:bottom w:type="dxa" w:w="40"/>
              <w:right w:type="dxa" w:w="80"/>
            </w:tcMar>
          </w:tcPr>
          <w:p>
            <w:pPr>
              <w:spacing w:after="0" w:line="240"/>
              <w:jc w:val="center"/>
            </w:pPr>
            <w:r>
              <w:rPr>
                <w:rFonts w:ascii="Calibri" w:cs="Calibri" w:eastAsia="Calibri" w:hAnsi="Calibri"/>
                <w:b/>
                <w:bCs/>
                <w:color w:val="C00000"/>
                <w:sz w:val="17"/>
                <w:szCs w:val="17"/>
              </w:rPr>
              <w:t xml:space="preserve">Oui</w:t>
            </w:r>
          </w:p>
        </w:tc>
        <w:tc>
          <w:tcPr>
            <w:tcW w:type="dxa" w:w="2038"/>
            <w:tcMar>
              <w:top w:type="dxa" w:w="40"/>
              <w:left w:type="dxa" w:w="80"/>
              <w:bottom w:type="dxa" w:w="40"/>
              <w:right w:type="dxa" w:w="80"/>
            </w:tcMar>
          </w:tcPr>
          <w:p>
            <w:pPr>
              <w:spacing w:after="0" w:line="240"/>
            </w:pPr>
            <w:r>
              <w:rPr>
                <w:rFonts w:ascii="Calibri" w:cs="Calibri" w:eastAsia="Calibri" w:hAnsi="Calibri"/>
                <w:sz w:val="15"/>
                <w:szCs w:val="15"/>
              </w:rPr>
              <w:t xml:space="preserve">1/W art.12.7</w:t>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Reprise de chantier</w:t>
            </w:r>
          </w:p>
        </w:tc>
        <w:tc>
          <w:tcPr>
            <w:tcW w:type="dxa" w:w="1300"/>
            <w:shd w:fill="F2F5FB" w:color="auto" w:val="clear"/>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Information</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Oui</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7"/>
                <w:szCs w:val="17"/>
              </w:rPr>
              <w:t xml:space="preserve">—</w:t>
            </w:r>
          </w:p>
        </w:tc>
        <w:tc>
          <w:tcPr>
            <w:tcW w:type="dxa" w:w="2038"/>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Problème administratif / blocage autorisation</w:t>
            </w:r>
          </w:p>
        </w:tc>
        <w:tc>
          <w:tcPr>
            <w:tcW w:type="dxa" w:w="1300"/>
            <w:tcMar>
              <w:top w:type="dxa" w:w="40"/>
              <w:left w:type="dxa" w:w="80"/>
              <w:bottom w:type="dxa" w:w="40"/>
              <w:right w:type="dxa" w:w="80"/>
            </w:tcMar>
          </w:tcPr>
          <w:p>
            <w:pPr>
              <w:spacing w:after="0" w:line="240"/>
            </w:pPr>
            <w:r>
              <w:rPr>
                <w:rFonts w:ascii="Calibri" w:cs="Calibri" w:eastAsia="Calibri" w:hAnsi="Calibri"/>
                <w:color w:val="B45F06"/>
                <w:sz w:val="17"/>
                <w:szCs w:val="17"/>
              </w:rPr>
              <w:t xml:space="preserve">Vigilance</w:t>
            </w:r>
          </w:p>
        </w:tc>
        <w:tc>
          <w:tcPr>
            <w:tcW w:type="dxa" w:w="1300"/>
            <w:tcMar>
              <w:top w:type="dxa" w:w="40"/>
              <w:left w:type="dxa" w:w="80"/>
              <w:bottom w:type="dxa" w:w="40"/>
              <w:right w:type="dxa" w:w="80"/>
            </w:tcMar>
          </w:tcPr>
          <w:p>
            <w:pPr>
              <w:spacing w:after="0" w:line="240"/>
              <w:jc w:val="center"/>
            </w:pPr>
            <w:r>
              <w:rPr>
                <w:rFonts w:ascii="Calibri" w:cs="Calibri" w:eastAsia="Calibri" w:hAnsi="Calibri"/>
                <w:sz w:val="17"/>
                <w:szCs w:val="17"/>
              </w:rPr>
              <w:t xml:space="preserve">Oui</w:t>
            </w:r>
          </w:p>
        </w:tc>
        <w:tc>
          <w:tcPr>
            <w:tcW w:type="dxa" w:w="1000"/>
            <w:tcMar>
              <w:top w:type="dxa" w:w="40"/>
              <w:left w:type="dxa" w:w="80"/>
              <w:bottom w:type="dxa" w:w="40"/>
              <w:right w:type="dxa" w:w="80"/>
            </w:tcMar>
          </w:tcPr>
          <w:p>
            <w:pPr>
              <w:spacing w:after="0" w:line="240"/>
              <w:jc w:val="center"/>
            </w:pPr>
            <w:r>
              <w:rPr>
                <w:rFonts w:ascii="Calibri" w:cs="Calibri" w:eastAsia="Calibri" w:hAnsi="Calibri"/>
                <w:b w:val="false"/>
                <w:bCs w:val="false"/>
                <w:sz w:val="17"/>
                <w:szCs w:val="17"/>
              </w:rPr>
              <w:t xml:space="preserve">—</w:t>
            </w:r>
          </w:p>
        </w:tc>
        <w:tc>
          <w:tcPr>
            <w:tcW w:type="dxa" w:w="2038"/>
            <w:tcMar>
              <w:top w:type="dxa" w:w="40"/>
              <w:left w:type="dxa" w:w="80"/>
              <w:bottom w:type="dxa" w:w="40"/>
              <w:right w:type="dxa" w:w="80"/>
            </w:tcMar>
          </w:tcPr>
          <w:p>
            <w:pPr>
              <w:spacing w:after="0" w:line="240"/>
            </w:pPr>
            <w:r>
              <w:rPr>
                <w:rFonts w:ascii="Calibri" w:cs="Calibri" w:eastAsia="Calibri" w:hAnsi="Calibri"/>
                <w:sz w:val="15"/>
                <w:szCs w:val="15"/>
              </w:rPr>
              <w:t xml:space="preserve">1/W art.5.3</w:t>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Obtention d'autorisation / permis</w:t>
            </w:r>
          </w:p>
        </w:tc>
        <w:tc>
          <w:tcPr>
            <w:tcW w:type="dxa" w:w="1300"/>
            <w:shd w:fill="F2F5FB" w:color="auto" w:val="clear"/>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Information</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7"/>
                <w:szCs w:val="17"/>
              </w:rPr>
              <w:t xml:space="preserve">—</w:t>
            </w:r>
          </w:p>
        </w:tc>
        <w:tc>
          <w:tcPr>
            <w:tcW w:type="dxa" w:w="2038"/>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Réception des travaux (tranche/projet)</w:t>
            </w:r>
          </w:p>
        </w:tc>
        <w:tc>
          <w:tcPr>
            <w:tcW w:type="dxa" w:w="13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Information</w:t>
            </w:r>
          </w:p>
        </w:tc>
        <w:tc>
          <w:tcPr>
            <w:tcW w:type="dxa" w:w="1300"/>
            <w:tcMar>
              <w:top w:type="dxa" w:w="40"/>
              <w:left w:type="dxa" w:w="80"/>
              <w:bottom w:type="dxa" w:w="40"/>
              <w:right w:type="dxa" w:w="80"/>
            </w:tcMar>
          </w:tcPr>
          <w:p>
            <w:pPr>
              <w:spacing w:after="0" w:line="240"/>
              <w:jc w:val="center"/>
            </w:pPr>
            <w:r>
              <w:rPr>
                <w:rFonts w:ascii="Calibri" w:cs="Calibri" w:eastAsia="Calibri" w:hAnsi="Calibri"/>
                <w:sz w:val="17"/>
                <w:szCs w:val="17"/>
              </w:rPr>
              <w:t xml:space="preserve">—</w:t>
            </w:r>
          </w:p>
        </w:tc>
        <w:tc>
          <w:tcPr>
            <w:tcW w:type="dxa" w:w="1000"/>
            <w:tcMar>
              <w:top w:type="dxa" w:w="40"/>
              <w:left w:type="dxa" w:w="80"/>
              <w:bottom w:type="dxa" w:w="40"/>
              <w:right w:type="dxa" w:w="80"/>
            </w:tcMar>
          </w:tcPr>
          <w:p>
            <w:pPr>
              <w:spacing w:after="0" w:line="240"/>
              <w:jc w:val="center"/>
            </w:pPr>
            <w:r>
              <w:rPr>
                <w:rFonts w:ascii="Calibri" w:cs="Calibri" w:eastAsia="Calibri" w:hAnsi="Calibri"/>
                <w:b w:val="false"/>
                <w:bCs w:val="false"/>
                <w:sz w:val="17"/>
                <w:szCs w:val="17"/>
              </w:rPr>
              <w:t xml:space="preserve">—</w:t>
            </w:r>
          </w:p>
        </w:tc>
        <w:tc>
          <w:tcPr>
            <w:tcW w:type="dxa" w:w="2038"/>
            <w:tcMar>
              <w:top w:type="dxa" w:w="40"/>
              <w:left w:type="dxa" w:w="80"/>
              <w:bottom w:type="dxa" w:w="40"/>
              <w:right w:type="dxa" w:w="80"/>
            </w:tcMar>
          </w:tcPr>
          <w:p>
            <w:pPr>
              <w:spacing w:after="0" w:line="240"/>
            </w:pPr>
            <w:r>
              <w:rPr>
                <w:rFonts w:ascii="Calibri" w:cs="Calibri" w:eastAsia="Calibri" w:hAnsi="Calibri"/>
                <w:sz w:val="15"/>
                <w:szCs w:val="15"/>
              </w:rPr>
              <w:t xml:space="preserve"/>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Lancement de la commercialisation</w:t>
            </w:r>
          </w:p>
        </w:tc>
        <w:tc>
          <w:tcPr>
            <w:tcW w:type="dxa" w:w="1300"/>
            <w:shd w:fill="F2F5FB" w:color="auto" w:val="clear"/>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Information</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7"/>
                <w:szCs w:val="17"/>
              </w:rPr>
              <w:t xml:space="preserve">—</w:t>
            </w:r>
          </w:p>
        </w:tc>
        <w:tc>
          <w:tcPr>
            <w:tcW w:type="dxa" w:w="2038"/>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Événement commercial notable</w:t>
            </w:r>
          </w:p>
        </w:tc>
        <w:tc>
          <w:tcPr>
            <w:tcW w:type="dxa" w:w="13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Information</w:t>
            </w:r>
          </w:p>
        </w:tc>
        <w:tc>
          <w:tcPr>
            <w:tcW w:type="dxa" w:w="1300"/>
            <w:tcMar>
              <w:top w:type="dxa" w:w="40"/>
              <w:left w:type="dxa" w:w="80"/>
              <w:bottom w:type="dxa" w:w="40"/>
              <w:right w:type="dxa" w:w="80"/>
            </w:tcMar>
          </w:tcPr>
          <w:p>
            <w:pPr>
              <w:spacing w:after="0" w:line="240"/>
              <w:jc w:val="center"/>
            </w:pPr>
            <w:r>
              <w:rPr>
                <w:rFonts w:ascii="Calibri" w:cs="Calibri" w:eastAsia="Calibri" w:hAnsi="Calibri"/>
                <w:sz w:val="17"/>
                <w:szCs w:val="17"/>
              </w:rPr>
              <w:t xml:space="preserve">—</w:t>
            </w:r>
          </w:p>
        </w:tc>
        <w:tc>
          <w:tcPr>
            <w:tcW w:type="dxa" w:w="1000"/>
            <w:tcMar>
              <w:top w:type="dxa" w:w="40"/>
              <w:left w:type="dxa" w:w="80"/>
              <w:bottom w:type="dxa" w:w="40"/>
              <w:right w:type="dxa" w:w="80"/>
            </w:tcMar>
          </w:tcPr>
          <w:p>
            <w:pPr>
              <w:spacing w:after="0" w:line="240"/>
              <w:jc w:val="center"/>
            </w:pPr>
            <w:r>
              <w:rPr>
                <w:rFonts w:ascii="Calibri" w:cs="Calibri" w:eastAsia="Calibri" w:hAnsi="Calibri"/>
                <w:b w:val="false"/>
                <w:bCs w:val="false"/>
                <w:sz w:val="17"/>
                <w:szCs w:val="17"/>
              </w:rPr>
              <w:t xml:space="preserve">—</w:t>
            </w:r>
          </w:p>
        </w:tc>
        <w:tc>
          <w:tcPr>
            <w:tcW w:type="dxa" w:w="2038"/>
            <w:tcMar>
              <w:top w:type="dxa" w:w="40"/>
              <w:left w:type="dxa" w:w="80"/>
              <w:bottom w:type="dxa" w:w="40"/>
              <w:right w:type="dxa" w:w="80"/>
            </w:tcMar>
          </w:tcPr>
          <w:p>
            <w:pPr>
              <w:spacing w:after="0" w:line="240"/>
            </w:pPr>
            <w:r>
              <w:rPr>
                <w:rFonts w:ascii="Calibri" w:cs="Calibri" w:eastAsia="Calibri" w:hAnsi="Calibri"/>
                <w:sz w:val="15"/>
                <w:szCs w:val="15"/>
              </w:rPr>
              <w:t xml:space="preserve"/>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Modification d'un lot / d'une tranche (programme, prix, phasage)</w:t>
            </w:r>
          </w:p>
        </w:tc>
        <w:tc>
          <w:tcPr>
            <w:tcW w:type="dxa" w:w="1300"/>
            <w:shd w:fill="F2F5FB" w:color="auto" w:val="clear"/>
            <w:tcMar>
              <w:top w:type="dxa" w:w="40"/>
              <w:left w:type="dxa" w:w="80"/>
              <w:bottom w:type="dxa" w:w="40"/>
              <w:right w:type="dxa" w:w="80"/>
            </w:tcMar>
          </w:tcPr>
          <w:p>
            <w:pPr>
              <w:spacing w:after="0" w:line="240"/>
            </w:pPr>
            <w:r>
              <w:rPr>
                <w:rFonts w:ascii="Calibri" w:cs="Calibri" w:eastAsia="Calibri" w:hAnsi="Calibri"/>
                <w:color w:val="B45F06"/>
                <w:sz w:val="17"/>
                <w:szCs w:val="17"/>
              </w:rPr>
              <w:t xml:space="preserve">Vigilance</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Oui</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7"/>
                <w:szCs w:val="17"/>
              </w:rPr>
              <w:t xml:space="preserve">Oui</w:t>
            </w:r>
          </w:p>
        </w:tc>
        <w:tc>
          <w:tcPr>
            <w:tcW w:type="dxa" w:w="2038"/>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Politique interne — reprofilage du financement</w:t>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Constitution / changement de garantie</w:t>
            </w:r>
          </w:p>
        </w:tc>
        <w:tc>
          <w:tcPr>
            <w:tcW w:type="dxa" w:w="1300"/>
            <w:tcMar>
              <w:top w:type="dxa" w:w="40"/>
              <w:left w:type="dxa" w:w="80"/>
              <w:bottom w:type="dxa" w:w="40"/>
              <w:right w:type="dxa" w:w="80"/>
            </w:tcMar>
          </w:tcPr>
          <w:p>
            <w:pPr>
              <w:spacing w:after="0" w:line="240"/>
            </w:pPr>
            <w:r>
              <w:rPr>
                <w:rFonts w:ascii="Calibri" w:cs="Calibri" w:eastAsia="Calibri" w:hAnsi="Calibri"/>
                <w:color w:val="B45F06"/>
                <w:sz w:val="17"/>
                <w:szCs w:val="17"/>
              </w:rPr>
              <w:t xml:space="preserve">Vigilance</w:t>
            </w:r>
          </w:p>
        </w:tc>
        <w:tc>
          <w:tcPr>
            <w:tcW w:type="dxa" w:w="1300"/>
            <w:tcMar>
              <w:top w:type="dxa" w:w="40"/>
              <w:left w:type="dxa" w:w="80"/>
              <w:bottom w:type="dxa" w:w="40"/>
              <w:right w:type="dxa" w:w="80"/>
            </w:tcMar>
          </w:tcPr>
          <w:p>
            <w:pPr>
              <w:spacing w:after="0" w:line="240"/>
              <w:jc w:val="center"/>
            </w:pPr>
            <w:r>
              <w:rPr>
                <w:rFonts w:ascii="Calibri" w:cs="Calibri" w:eastAsia="Calibri" w:hAnsi="Calibri"/>
                <w:sz w:val="17"/>
                <w:szCs w:val="17"/>
              </w:rPr>
              <w:t xml:space="preserve">Oui</w:t>
            </w:r>
          </w:p>
        </w:tc>
        <w:tc>
          <w:tcPr>
            <w:tcW w:type="dxa" w:w="1000"/>
            <w:tcMar>
              <w:top w:type="dxa" w:w="40"/>
              <w:left w:type="dxa" w:w="80"/>
              <w:bottom w:type="dxa" w:w="40"/>
              <w:right w:type="dxa" w:w="80"/>
            </w:tcMar>
          </w:tcPr>
          <w:p>
            <w:pPr>
              <w:spacing w:after="0" w:line="240"/>
              <w:jc w:val="center"/>
            </w:pPr>
            <w:r>
              <w:rPr>
                <w:rFonts w:ascii="Calibri" w:cs="Calibri" w:eastAsia="Calibri" w:hAnsi="Calibri"/>
                <w:b/>
                <w:bCs/>
                <w:color w:val="C00000"/>
                <w:sz w:val="17"/>
                <w:szCs w:val="17"/>
              </w:rPr>
              <w:t xml:space="preserve">Oui</w:t>
            </w:r>
          </w:p>
        </w:tc>
        <w:tc>
          <w:tcPr>
            <w:tcW w:type="dxa" w:w="2038"/>
            <w:tcMar>
              <w:top w:type="dxa" w:w="40"/>
              <w:left w:type="dxa" w:w="80"/>
              <w:bottom w:type="dxa" w:w="40"/>
              <w:right w:type="dxa" w:w="80"/>
            </w:tcMar>
          </w:tcPr>
          <w:p>
            <w:pPr>
              <w:spacing w:after="0" w:line="240"/>
            </w:pPr>
            <w:r>
              <w:rPr>
                <w:rFonts w:ascii="Calibri" w:cs="Calibri" w:eastAsia="Calibri" w:hAnsi="Calibri"/>
                <w:sz w:val="15"/>
                <w:szCs w:val="15"/>
              </w:rPr>
              <w:t xml:space="preserve"/>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Mainlevée (totale/partielle)</w:t>
            </w:r>
          </w:p>
        </w:tc>
        <w:tc>
          <w:tcPr>
            <w:tcW w:type="dxa" w:w="1300"/>
            <w:shd w:fill="F2F5FB" w:color="auto" w:val="clear"/>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Information</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7"/>
                <w:szCs w:val="17"/>
              </w:rPr>
              <w:t xml:space="preserve">—</w:t>
            </w:r>
          </w:p>
        </w:tc>
        <w:tc>
          <w:tcPr>
            <w:tcW w:type="dxa" w:w="2038"/>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bCs/>
                <w:sz w:val="17"/>
                <w:szCs w:val="17"/>
              </w:rPr>
              <w:t xml:space="preserve">Litige / action en justice</w:t>
            </w:r>
          </w:p>
        </w:tc>
        <w:tc>
          <w:tcPr>
            <w:tcW w:type="dxa" w:w="1300"/>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Critique</w:t>
            </w:r>
          </w:p>
        </w:tc>
        <w:tc>
          <w:tcPr>
            <w:tcW w:type="dxa" w:w="1300"/>
            <w:tcMar>
              <w:top w:type="dxa" w:w="40"/>
              <w:left w:type="dxa" w:w="80"/>
              <w:bottom w:type="dxa" w:w="40"/>
              <w:right w:type="dxa" w:w="80"/>
            </w:tcMar>
          </w:tcPr>
          <w:p>
            <w:pPr>
              <w:spacing w:after="0" w:line="240"/>
              <w:jc w:val="center"/>
            </w:pPr>
            <w:r>
              <w:rPr>
                <w:rFonts w:ascii="Calibri" w:cs="Calibri" w:eastAsia="Calibri" w:hAnsi="Calibri"/>
                <w:sz w:val="17"/>
                <w:szCs w:val="17"/>
              </w:rPr>
              <w:t xml:space="preserve">Oui</w:t>
            </w:r>
          </w:p>
        </w:tc>
        <w:tc>
          <w:tcPr>
            <w:tcW w:type="dxa" w:w="1000"/>
            <w:tcMar>
              <w:top w:type="dxa" w:w="40"/>
              <w:left w:type="dxa" w:w="80"/>
              <w:bottom w:type="dxa" w:w="40"/>
              <w:right w:type="dxa" w:w="80"/>
            </w:tcMar>
          </w:tcPr>
          <w:p>
            <w:pPr>
              <w:spacing w:after="0" w:line="240"/>
              <w:jc w:val="center"/>
            </w:pPr>
            <w:r>
              <w:rPr>
                <w:rFonts w:ascii="Calibri" w:cs="Calibri" w:eastAsia="Calibri" w:hAnsi="Calibri"/>
                <w:b w:val="false"/>
                <w:bCs w:val="false"/>
                <w:sz w:val="17"/>
                <w:szCs w:val="17"/>
              </w:rPr>
              <w:t xml:space="preserve">—</w:t>
            </w:r>
          </w:p>
        </w:tc>
        <w:tc>
          <w:tcPr>
            <w:tcW w:type="dxa" w:w="2038"/>
            <w:tcMar>
              <w:top w:type="dxa" w:w="40"/>
              <w:left w:type="dxa" w:w="80"/>
              <w:bottom w:type="dxa" w:w="40"/>
              <w:right w:type="dxa" w:w="80"/>
            </w:tcMar>
          </w:tcPr>
          <w:p>
            <w:pPr>
              <w:spacing w:after="0" w:line="240"/>
            </w:pPr>
            <w:r>
              <w:rPr>
                <w:rFonts w:ascii="Calibri" w:cs="Calibri" w:eastAsia="Calibri" w:hAnsi="Calibri"/>
                <w:sz w:val="15"/>
                <w:szCs w:val="15"/>
              </w:rPr>
              <w:t xml:space="preserve">1/W art.12.8</w:t>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Saisie-arrêt / ATD</w:t>
            </w:r>
          </w:p>
        </w:tc>
        <w:tc>
          <w:tcPr>
            <w:tcW w:type="dxa" w:w="1300"/>
            <w:shd w:fill="F2F5FB" w:color="auto" w:val="clear"/>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Critique</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Oui</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7"/>
                <w:szCs w:val="17"/>
              </w:rPr>
              <w:t xml:space="preserve">—</w:t>
            </w:r>
          </w:p>
        </w:tc>
        <w:tc>
          <w:tcPr>
            <w:tcW w:type="dxa" w:w="2038"/>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1/W art.5.1</w:t>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bCs/>
                <w:sz w:val="17"/>
                <w:szCs w:val="17"/>
              </w:rPr>
              <w:t xml:space="preserve">Redressement / liquidation judiciaire</w:t>
            </w:r>
          </w:p>
        </w:tc>
        <w:tc>
          <w:tcPr>
            <w:tcW w:type="dxa" w:w="1300"/>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Critique</w:t>
            </w:r>
          </w:p>
        </w:tc>
        <w:tc>
          <w:tcPr>
            <w:tcW w:type="dxa" w:w="1300"/>
            <w:tcMar>
              <w:top w:type="dxa" w:w="40"/>
              <w:left w:type="dxa" w:w="80"/>
              <w:bottom w:type="dxa" w:w="40"/>
              <w:right w:type="dxa" w:w="80"/>
            </w:tcMar>
          </w:tcPr>
          <w:p>
            <w:pPr>
              <w:spacing w:after="0" w:line="240"/>
              <w:jc w:val="center"/>
            </w:pPr>
            <w:r>
              <w:rPr>
                <w:rFonts w:ascii="Calibri" w:cs="Calibri" w:eastAsia="Calibri" w:hAnsi="Calibri"/>
                <w:sz w:val="17"/>
                <w:szCs w:val="17"/>
              </w:rPr>
              <w:t xml:space="preserve">Oui</w:t>
            </w:r>
          </w:p>
        </w:tc>
        <w:tc>
          <w:tcPr>
            <w:tcW w:type="dxa" w:w="1000"/>
            <w:tcMar>
              <w:top w:type="dxa" w:w="40"/>
              <w:left w:type="dxa" w:w="80"/>
              <w:bottom w:type="dxa" w:w="40"/>
              <w:right w:type="dxa" w:w="80"/>
            </w:tcMar>
          </w:tcPr>
          <w:p>
            <w:pPr>
              <w:spacing w:after="0" w:line="240"/>
              <w:jc w:val="center"/>
            </w:pPr>
            <w:r>
              <w:rPr>
                <w:rFonts w:ascii="Calibri" w:cs="Calibri" w:eastAsia="Calibri" w:hAnsi="Calibri"/>
                <w:b w:val="false"/>
                <w:bCs w:val="false"/>
                <w:sz w:val="17"/>
                <w:szCs w:val="17"/>
              </w:rPr>
              <w:t xml:space="preserve">—</w:t>
            </w:r>
          </w:p>
        </w:tc>
        <w:tc>
          <w:tcPr>
            <w:tcW w:type="dxa" w:w="2038"/>
            <w:tcMar>
              <w:top w:type="dxa" w:w="40"/>
              <w:left w:type="dxa" w:w="80"/>
              <w:bottom w:type="dxa" w:w="40"/>
              <w:right w:type="dxa" w:w="80"/>
            </w:tcMar>
          </w:tcPr>
          <w:p>
            <w:pPr>
              <w:spacing w:after="0" w:line="240"/>
            </w:pPr>
            <w:r>
              <w:rPr>
                <w:rFonts w:ascii="Calibri" w:cs="Calibri" w:eastAsia="Calibri" w:hAnsi="Calibri"/>
                <w:sz w:val="15"/>
                <w:szCs w:val="15"/>
              </w:rPr>
              <w:t xml:space="preserve">1/W art.11.6</w:t>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Information négative Crédit Bureau / SCIP</w:t>
            </w:r>
          </w:p>
        </w:tc>
        <w:tc>
          <w:tcPr>
            <w:tcW w:type="dxa" w:w="1300"/>
            <w:shd w:fill="F2F5FB" w:color="auto" w:val="clear"/>
            <w:tcMar>
              <w:top w:type="dxa" w:w="40"/>
              <w:left w:type="dxa" w:w="80"/>
              <w:bottom w:type="dxa" w:w="40"/>
              <w:right w:type="dxa" w:w="80"/>
            </w:tcMar>
          </w:tcPr>
          <w:p>
            <w:pPr>
              <w:spacing w:after="0" w:line="240"/>
            </w:pPr>
            <w:r>
              <w:rPr>
                <w:rFonts w:ascii="Calibri" w:cs="Calibri" w:eastAsia="Calibri" w:hAnsi="Calibri"/>
                <w:color w:val="B45F06"/>
                <w:sz w:val="17"/>
                <w:szCs w:val="17"/>
              </w:rPr>
              <w:t xml:space="preserve">Vigilance</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Oui</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7"/>
                <w:szCs w:val="17"/>
              </w:rPr>
              <w:t xml:space="preserve">—</w:t>
            </w:r>
          </w:p>
        </w:tc>
        <w:tc>
          <w:tcPr>
            <w:tcW w:type="dxa" w:w="2038"/>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1/W art.5.2</w:t>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Changement d'actionnariat / gouvernance</w:t>
            </w:r>
          </w:p>
        </w:tc>
        <w:tc>
          <w:tcPr>
            <w:tcW w:type="dxa" w:w="1300"/>
            <w:tcMar>
              <w:top w:type="dxa" w:w="40"/>
              <w:left w:type="dxa" w:w="80"/>
              <w:bottom w:type="dxa" w:w="40"/>
              <w:right w:type="dxa" w:w="80"/>
            </w:tcMar>
          </w:tcPr>
          <w:p>
            <w:pPr>
              <w:spacing w:after="0" w:line="240"/>
            </w:pPr>
            <w:r>
              <w:rPr>
                <w:rFonts w:ascii="Calibri" w:cs="Calibri" w:eastAsia="Calibri" w:hAnsi="Calibri"/>
                <w:color w:val="B45F06"/>
                <w:sz w:val="17"/>
                <w:szCs w:val="17"/>
              </w:rPr>
              <w:t xml:space="preserve">Vigilance</w:t>
            </w:r>
          </w:p>
        </w:tc>
        <w:tc>
          <w:tcPr>
            <w:tcW w:type="dxa" w:w="1300"/>
            <w:tcMar>
              <w:top w:type="dxa" w:w="40"/>
              <w:left w:type="dxa" w:w="80"/>
              <w:bottom w:type="dxa" w:w="40"/>
              <w:right w:type="dxa" w:w="80"/>
            </w:tcMar>
          </w:tcPr>
          <w:p>
            <w:pPr>
              <w:spacing w:after="0" w:line="240"/>
              <w:jc w:val="center"/>
            </w:pPr>
            <w:r>
              <w:rPr>
                <w:rFonts w:ascii="Calibri" w:cs="Calibri" w:eastAsia="Calibri" w:hAnsi="Calibri"/>
                <w:sz w:val="17"/>
                <w:szCs w:val="17"/>
              </w:rPr>
              <w:t xml:space="preserve">Oui</w:t>
            </w:r>
          </w:p>
        </w:tc>
        <w:tc>
          <w:tcPr>
            <w:tcW w:type="dxa" w:w="1000"/>
            <w:tcMar>
              <w:top w:type="dxa" w:w="40"/>
              <w:left w:type="dxa" w:w="80"/>
              <w:bottom w:type="dxa" w:w="40"/>
              <w:right w:type="dxa" w:w="80"/>
            </w:tcMar>
          </w:tcPr>
          <w:p>
            <w:pPr>
              <w:spacing w:after="0" w:line="240"/>
              <w:jc w:val="center"/>
            </w:pPr>
            <w:r>
              <w:rPr>
                <w:rFonts w:ascii="Calibri" w:cs="Calibri" w:eastAsia="Calibri" w:hAnsi="Calibri"/>
                <w:b/>
                <w:bCs/>
                <w:color w:val="C00000"/>
                <w:sz w:val="17"/>
                <w:szCs w:val="17"/>
              </w:rPr>
              <w:t xml:space="preserve">Oui</w:t>
            </w:r>
          </w:p>
        </w:tc>
        <w:tc>
          <w:tcPr>
            <w:tcW w:type="dxa" w:w="2038"/>
            <w:tcMar>
              <w:top w:type="dxa" w:w="40"/>
              <w:left w:type="dxa" w:w="80"/>
              <w:bottom w:type="dxa" w:w="40"/>
              <w:right w:type="dxa" w:w="80"/>
            </w:tcMar>
          </w:tcPr>
          <w:p>
            <w:pPr>
              <w:spacing w:after="0" w:line="240"/>
            </w:pPr>
            <w:r>
              <w:rPr>
                <w:rFonts w:ascii="Calibri" w:cs="Calibri" w:eastAsia="Calibri" w:hAnsi="Calibri"/>
                <w:sz w:val="15"/>
                <w:szCs w:val="15"/>
              </w:rPr>
              <w:t xml:space="preserve"/>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7"/>
                <w:szCs w:val="17"/>
              </w:rPr>
              <w:t xml:space="preserve">Autre événement</w:t>
            </w:r>
          </w:p>
        </w:tc>
        <w:tc>
          <w:tcPr>
            <w:tcW w:type="dxa" w:w="1300"/>
            <w:shd w:fill="F2F5FB" w:color="auto" w:val="clear"/>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Information</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7"/>
                <w:szCs w:val="17"/>
              </w:rPr>
              <w:t xml:space="preserve">—</w:t>
            </w:r>
          </w:p>
        </w:tc>
        <w:tc>
          <w:tcPr>
            <w:tcW w:type="dxa" w:w="2038"/>
            <w:shd w:fill="F2F5FB" w:color="auto" w:val="clear"/>
            <w:tcMar>
              <w:top w:type="dxa" w:w="40"/>
              <w:left w:type="dxa" w:w="80"/>
              <w:bottom w:type="dxa" w:w="40"/>
              <w:right w:type="dxa" w:w="80"/>
            </w:tcMar>
          </w:tcPr>
          <w:p>
            <w:pPr>
              <w:spacing w:after="0" w:line="240"/>
            </w:pPr>
            <w:r>
              <w:rPr>
                <w:rFonts w:ascii="Calibri" w:cs="Calibri" w:eastAsia="Calibri" w:hAnsi="Calibri"/>
                <w:sz w:val="15"/>
                <w:szCs w:val="15"/>
              </w:rPr>
              <w:t xml:space="preserve"/>
            </w:r>
          </w:p>
        </w:tc>
      </w:tr>
    </w:tbl>
    <w:p>
      <w:pPr>
        <w:pStyle w:val="Heading2"/>
        <w:keepNext/>
      </w:pPr>
      <w:r>
        <w:t xml:space="preserve">Visites de chantier</w:t>
      </w:r>
    </w:p>
    <w:p>
      <w:pPr>
        <w:spacing w:after="120" w:before="0" w:line="276"/>
      </w:pPr>
      <w:r>
        <w:rPr>
          <w:rFonts w:ascii="Calibri" w:cs="Calibri" w:eastAsia="Calibri" w:hAnsi="Calibri"/>
          <w:sz w:val="21"/>
          <w:szCs w:val="21"/>
        </w:rPr>
        <w:t xml:space="preserve">Saisissez chaque visite (date, avancement observé, effectif, incidents qualité, sécurité, intempéries, risque de retard). L'avancement observé alimente « Avancement vs planning » à la synchronisation.</w:t>
      </w:r>
    </w:p>
    <w:p>
      <w:r>
        <w:br w:type="page"/>
      </w:r>
    </w:p>
    <w:p>
      <w:pPr>
        <w:pStyle w:val="Heading1"/>
      </w:pPr>
      <w:r>
        <w:t xml:space="preserve">8. L'outil Excel (hors application)</w:t>
      </w:r>
    </w:p>
    <w:p>
      <w:pPr>
        <w:spacing w:after="120" w:before="0" w:line="276"/>
      </w:pPr>
      <w:r>
        <w:rPr>
          <w:rFonts w:ascii="Calibri" w:cs="Calibri" w:eastAsia="Calibri" w:hAnsi="Calibri"/>
          <w:sz w:val="21"/>
          <w:szCs w:val="21"/>
        </w:rPr>
        <w:t xml:space="preserve">Le classeur PI_Promotion_Modele_v5.xlsx reproduit exactement le calcul de l'application (vérifié sur 26 cas de référence). Il sert à simuler, préparer un comité, travailler hors connexion ou se former. La décision officielle et la traçabilité restent dans l'application.</w:t>
      </w:r>
    </w:p>
    <w:p>
      <w:pPr>
        <w:pStyle w:val="Heading2"/>
        <w:keepNext/>
      </w:pPr>
      <w:r>
        <w:t xml:space="preserve">Utilisation</w:t>
      </w:r>
    </w:p>
    <w:p>
      <w:pPr>
        <w:pStyle w:val="ListParagraph"/>
        <w:numPr>
          <w:ilvl w:val="0"/>
          <w:numId w:val="4"/>
        </w:numPr>
        <w:spacing w:after="60" w:line="276"/>
      </w:pPr>
      <w:r>
        <w:rPr>
          <w:rFonts w:ascii="Calibri" w:cs="Calibri" w:eastAsia="Calibri" w:hAnsi="Calibri"/>
          <w:sz w:val="21"/>
          <w:szCs w:val="21"/>
        </w:rPr>
        <w:t xml:space="preserve">Ouvrir le classeur (au premier usage, installer les macros : voir l'onglet LisezMoi).</w:t>
      </w:r>
    </w:p>
    <w:p>
      <w:pPr>
        <w:pStyle w:val="ListParagraph"/>
        <w:numPr>
          <w:ilvl w:val="0"/>
          <w:numId w:val="4"/>
        </w:numPr>
        <w:spacing w:after="60" w:line="276"/>
      </w:pPr>
      <w:r>
        <w:rPr>
          <w:rFonts w:ascii="Calibri" w:cs="Calibri" w:eastAsia="Calibri" w:hAnsi="Calibri"/>
          <w:sz w:val="21"/>
          <w:szCs w:val="21"/>
        </w:rPr>
        <w:t xml:space="preserve">Bouton « Nouveau dossier » : vide la saisie et les calculateurs (le classeur s'ouvre sur un dossier d'exemple).</w:t>
      </w:r>
    </w:p>
    <w:p>
      <w:pPr>
        <w:pStyle w:val="ListParagraph"/>
        <w:numPr>
          <w:ilvl w:val="0"/>
          <w:numId w:val="4"/>
        </w:numPr>
        <w:spacing w:after="60" w:line="276"/>
      </w:pPr>
      <w:r>
        <w:rPr>
          <w:rFonts w:ascii="Calibri" w:cs="Calibri" w:eastAsia="Calibri" w:hAnsi="Calibri"/>
          <w:sz w:val="21"/>
          <w:szCs w:val="21"/>
        </w:rPr>
        <w:t xml:space="preserve">Onglet Saisie : référence, nom, segment, zone, classe BAM, puis les données (cellules jaunes). Vide = absent, comme dans l'application.</w:t>
      </w:r>
    </w:p>
    <w:p>
      <w:pPr>
        <w:pStyle w:val="ListParagraph"/>
        <w:numPr>
          <w:ilvl w:val="0"/>
          <w:numId w:val="4"/>
        </w:numPr>
        <w:spacing w:after="60" w:line="276"/>
      </w:pPr>
      <w:r>
        <w:rPr>
          <w:rFonts w:ascii="Calibri" w:cs="Calibri" w:eastAsia="Calibri" w:hAnsi="Calibri"/>
          <w:sz w:val="21"/>
          <w:szCs w:val="21"/>
        </w:rPr>
        <w:t xml:space="preserve">Onglet Calculateurs : chaîne d'autorisations, ventes sécurisées, quotité de désengagement, division des risques, durée d'arrêt de chantier, et (v5) déblocages vs avancement et plan de tirage, équipements exigés, programme mixte, désistements, coût à terminaison.</w:t>
      </w:r>
    </w:p>
    <w:p>
      <w:pPr>
        <w:pStyle w:val="ListParagraph"/>
        <w:numPr>
          <w:ilvl w:val="0"/>
          <w:numId w:val="4"/>
        </w:numPr>
        <w:spacing w:after="60" w:line="276"/>
      </w:pPr>
      <w:r>
        <w:rPr>
          <w:rFonts w:ascii="Calibri" w:cs="Calibri" w:eastAsia="Calibri" w:hAnsi="Calibri"/>
          <w:sz w:val="21"/>
          <w:szCs w:val="21"/>
        </w:rPr>
        <w:t xml:space="preserve">Onglet Resultat : décision, score, classe interne, données manquantes en clair, conditions avec jalon, alertes, comité.</w:t>
      </w:r>
    </w:p>
    <w:p>
      <w:pPr>
        <w:pStyle w:val="ListParagraph"/>
        <w:numPr>
          <w:ilvl w:val="0"/>
          <w:numId w:val="4"/>
        </w:numPr>
        <w:spacing w:after="60" w:line="276"/>
      </w:pPr>
      <w:r>
        <w:rPr>
          <w:rFonts w:ascii="Calibri" w:cs="Calibri" w:eastAsia="Calibri" w:hAnsi="Calibri"/>
          <w:sz w:val="21"/>
          <w:szCs w:val="21"/>
        </w:rPr>
        <w:t xml:space="preserve">Onglet Stress : « Lancer le stress test » (prix, coût, retard, ventes, taux, sévère combiné).</w:t>
      </w:r>
    </w:p>
    <w:p>
      <w:pPr>
        <w:pStyle w:val="ListParagraph"/>
        <w:numPr>
          <w:ilvl w:val="0"/>
          <w:numId w:val="4"/>
        </w:numPr>
        <w:spacing w:after="60" w:line="276"/>
      </w:pPr>
      <w:r>
        <w:rPr>
          <w:rFonts w:ascii="Calibri" w:cs="Calibri" w:eastAsia="Calibri" w:hAnsi="Calibri"/>
          <w:sz w:val="21"/>
          <w:szCs w:val="21"/>
        </w:rPr>
        <w:t xml:space="preserve">« Exporter en PDF » pour joindre la simulation à la note.</w:t>
      </w:r>
    </w:p>
    <w:p>
      <w:pPr>
        <w:spacing w:after="60" w:before="0" w:line="276"/>
      </w:pPr>
      <w:r>
        <w:rPr>
          <w:rFonts w:ascii="Calibri" w:cs="Calibri" w:eastAsia="Calibri" w:hAnsi="Calibri"/>
          <w:sz w:val="21"/>
          <w:szCs w:val="21"/>
        </w:rPr>
        <w:t xml:space="preserve"/>
      </w:r>
    </w:p>
    <w:tbl>
      <w:tblPr>
        <w:tblW w:type="dxa" w:w="9638"/>
        <w:tblBorders>
          <w:top w:val="single" w:color="2E5496" w:sz="4"/>
          <w:left w:val="single" w:color="2E5496" w:sz="4"/>
          <w:bottom w:val="single" w:color="2E5496" w:sz="4"/>
          <w:right w:val="single" w:color="2E5496" w:sz="4"/>
          <w:insideH w:val="none"/>
          <w:insideV w:val="none"/>
        </w:tblBorders>
      </w:tblPr>
      <w:tblGrid>
        <w:gridCol w:w="9638"/>
      </w:tblGrid>
      <w:tr>
        <w:tc>
          <w:tcPr>
            <w:tcW w:type="dxa" w:w="9638"/>
            <w:shd w:fill="EEF3FB" w:color="auto" w:val="clear"/>
            <w:tcMar>
              <w:top w:type="dxa" w:w="100"/>
              <w:left w:type="dxa" w:w="160"/>
              <w:bottom w:type="dxa" w:w="100"/>
              <w:right w:type="dxa" w:w="160"/>
            </w:tcMar>
          </w:tcPr>
          <w:p>
            <w:pPr>
              <w:spacing w:after="40"/>
            </w:pPr>
            <w:r>
              <w:rPr>
                <w:rFonts w:ascii="Calibri" w:cs="Calibri" w:eastAsia="Calibri" w:hAnsi="Calibri"/>
                <w:b/>
                <w:bCs/>
                <w:color w:val="2E5496"/>
                <w:sz w:val="21"/>
                <w:szCs w:val="21"/>
              </w:rPr>
              <w:t xml:space="preserve">Correspondance avec l'application</w:t>
            </w:r>
          </w:p>
          <w:p>
            <w:pPr>
              <w:spacing w:after="0" w:line="276"/>
            </w:pPr>
            <w:r>
              <w:rPr>
                <w:rFonts w:ascii="Calibri" w:cs="Calibri" w:eastAsia="Calibri" w:hAnsi="Calibri"/>
                <w:sz w:val="21"/>
                <w:szCs w:val="21"/>
              </w:rPr>
              <w:t xml:space="preserve">Chaque ligne de la Saisie porte la clé technique de la donnée (colonne « Clé technique »), identique à celle indiquée dans la section 5 de ce guide. Les pièces à réunir sont donc les mêmes.</w:t>
            </w:r>
          </w:p>
        </w:tc>
      </w:tr>
    </w:tbl>
    <w:p>
      <w:pPr>
        <w:pStyle w:val="Heading1"/>
      </w:pPr>
      <w:r>
        <w:t xml:space="preserve">9. Bonnes pratiques et erreurs fréquentes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4819"/>
        <w:gridCol w:w="4819"/>
      </w:tblGrid>
      <w:tr>
        <w:trPr>
          <w:cantSplit/>
          <w:tblHeader/>
        </w:trPr>
        <w:tc>
          <w:tcPr>
            <w:tcW w:type="dxa" w:w="4819"/>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À faire</w:t>
            </w:r>
          </w:p>
        </w:tc>
        <w:tc>
          <w:tcPr>
            <w:tcW w:type="dxa" w:w="4819"/>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À éviter</w:t>
            </w:r>
          </w:p>
        </w:tc>
      </w:tr>
      <w:tr>
        <w:trPr>
          <w:cantSplit/>
        </w:trPr>
        <w:tc>
          <w:tcPr>
            <w:tcW w:type="dxa" w:w="4819"/>
            <w:tcMar>
              <w:top w:type="dxa" w:w="40"/>
              <w:left w:type="dxa" w:w="80"/>
              <w:bottom w:type="dxa" w:w="40"/>
              <w:right w:type="dxa" w:w="80"/>
            </w:tcMar>
          </w:tcPr>
          <w:p>
            <w:pPr>
              <w:spacing w:after="0" w:line="240"/>
            </w:pPr>
            <w:r>
              <w:rPr>
                <w:rFonts w:ascii="Calibri" w:cs="Calibri" w:eastAsia="Calibri" w:hAnsi="Calibri"/>
                <w:sz w:val="17"/>
                <w:szCs w:val="17"/>
              </w:rPr>
              <w:t xml:space="preserve">Laisser vide une donnée inconnue et réunir la pièce.</w:t>
            </w:r>
          </w:p>
        </w:tc>
        <w:tc>
          <w:tcPr>
            <w:tcW w:type="dxa" w:w="4819"/>
            <w:tcMar>
              <w:top w:type="dxa" w:w="40"/>
              <w:left w:type="dxa" w:w="80"/>
              <w:bottom w:type="dxa" w:w="40"/>
              <w:right w:type="dxa" w:w="80"/>
            </w:tcMar>
          </w:tcPr>
          <w:p>
            <w:pPr>
              <w:spacing w:after="0" w:line="240"/>
            </w:pPr>
            <w:r>
              <w:rPr>
                <w:rFonts w:ascii="Calibri" w:cs="Calibri" w:eastAsia="Calibri" w:hAnsi="Calibri"/>
                <w:sz w:val="17"/>
                <w:szCs w:val="17"/>
              </w:rPr>
              <w:t xml:space="preserve">Saisir 0 « pour avancer » : 0 peut donner la meilleure note (impasse, retard).</w:t>
            </w:r>
          </w:p>
        </w:tc>
      </w:tr>
      <w:tr>
        <w:trPr>
          <w:cantSplit/>
        </w:trPr>
        <w:tc>
          <w:tcPr>
            <w:tcW w:type="dxa" w:w="4819"/>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Saisir 0 quand il n'y a réellement aucun impayé, retard ou arrêt.</w:t>
            </w:r>
          </w:p>
        </w:tc>
        <w:tc>
          <w:tcPr>
            <w:tcW w:type="dxa" w:w="4819"/>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Laisser vide une donnée décisionnelle connue : le dossier reste incomplet.</w:t>
            </w:r>
          </w:p>
        </w:tc>
      </w:tr>
      <w:tr>
        <w:trPr>
          <w:cantSplit/>
        </w:trPr>
        <w:tc>
          <w:tcPr>
            <w:tcW w:type="dxa" w:w="4819"/>
            <w:tcMar>
              <w:top w:type="dxa" w:w="40"/>
              <w:left w:type="dxa" w:w="80"/>
              <w:bottom w:type="dxa" w:w="40"/>
              <w:right w:type="dxa" w:w="80"/>
            </w:tcMar>
          </w:tcPr>
          <w:p>
            <w:pPr>
              <w:spacing w:after="0" w:line="240"/>
            </w:pPr>
            <w:r>
              <w:rPr>
                <w:rFonts w:ascii="Calibri" w:cs="Calibri" w:eastAsia="Calibri" w:hAnsi="Calibri"/>
                <w:sz w:val="17"/>
                <w:szCs w:val="17"/>
              </w:rPr>
              <w:t xml:space="preserve">Synchroniser juste avant chaque calcul.</w:t>
            </w:r>
          </w:p>
        </w:tc>
        <w:tc>
          <w:tcPr>
            <w:tcW w:type="dxa" w:w="4819"/>
            <w:tcMar>
              <w:top w:type="dxa" w:w="40"/>
              <w:left w:type="dxa" w:w="80"/>
              <w:bottom w:type="dxa" w:w="40"/>
              <w:right w:type="dxa" w:w="80"/>
            </w:tcMar>
          </w:tcPr>
          <w:p>
            <w:pPr>
              <w:spacing w:after="0" w:line="240"/>
            </w:pPr>
            <w:r>
              <w:rPr>
                <w:rFonts w:ascii="Calibri" w:cs="Calibri" w:eastAsia="Calibri" w:hAnsi="Calibri"/>
                <w:sz w:val="17"/>
                <w:szCs w:val="17"/>
              </w:rPr>
              <w:t xml:space="preserve">Calculer sur des lots ou des autorisations périmés.</w:t>
            </w:r>
          </w:p>
        </w:tc>
      </w:tr>
      <w:tr>
        <w:trPr>
          <w:cantSplit/>
        </w:trPr>
        <w:tc>
          <w:tcPr>
            <w:tcW w:type="dxa" w:w="4819"/>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Renseigner segment et zone depuis les listes du modèle.</w:t>
            </w:r>
          </w:p>
        </w:tc>
        <w:tc>
          <w:tcPr>
            <w:tcW w:type="dxa" w:w="4819"/>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Saisir un segment ou une zone libre : aucun ajustement n'est appliqué.</w:t>
            </w:r>
          </w:p>
        </w:tc>
      </w:tr>
      <w:tr>
        <w:trPr>
          <w:cantSplit/>
        </w:trPr>
        <w:tc>
          <w:tcPr>
            <w:tcW w:type="dxa" w:w="4819"/>
            <w:tcMar>
              <w:top w:type="dxa" w:w="40"/>
              <w:left w:type="dxa" w:w="80"/>
              <w:bottom w:type="dxa" w:w="40"/>
              <w:right w:type="dxa" w:w="80"/>
            </w:tcMar>
          </w:tcPr>
          <w:p>
            <w:pPr>
              <w:spacing w:after="0" w:line="240"/>
            </w:pPr>
            <w:r>
              <w:rPr>
                <w:rFonts w:ascii="Calibri" w:cs="Calibri" w:eastAsia="Calibri" w:hAnsi="Calibri"/>
                <w:sz w:val="17"/>
                <w:szCs w:val="17"/>
              </w:rPr>
              <w:t xml:space="preserve">Utiliser la valeur d'expertise indépendante pour la LTV.</w:t>
            </w:r>
          </w:p>
        </w:tc>
        <w:tc>
          <w:tcPr>
            <w:tcW w:type="dxa" w:w="4819"/>
            <w:tcMar>
              <w:top w:type="dxa" w:w="40"/>
              <w:left w:type="dxa" w:w="80"/>
              <w:bottom w:type="dxa" w:w="40"/>
              <w:right w:type="dxa" w:w="80"/>
            </w:tcMar>
          </w:tcPr>
          <w:p>
            <w:pPr>
              <w:spacing w:after="0" w:line="240"/>
            </w:pPr>
            <w:r>
              <w:rPr>
                <w:rFonts w:ascii="Calibri" w:cs="Calibri" w:eastAsia="Calibri" w:hAnsi="Calibri"/>
                <w:sz w:val="17"/>
                <w:szCs w:val="17"/>
              </w:rPr>
              <w:t xml:space="preserve">Reprendre la valeur commerciale du promoteur.</w:t>
            </w:r>
          </w:p>
        </w:tc>
      </w:tr>
      <w:tr>
        <w:trPr>
          <w:cantSplit/>
        </w:trPr>
        <w:tc>
          <w:tcPr>
            <w:tcW w:type="dxa" w:w="4819"/>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Justifier chaque apport par un paiement effectif.</w:t>
            </w:r>
          </w:p>
        </w:tc>
        <w:tc>
          <w:tcPr>
            <w:tcW w:type="dxa" w:w="4819"/>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Compter un apport promis comme injecté.</w:t>
            </w:r>
          </w:p>
        </w:tc>
      </w:tr>
      <w:tr>
        <w:trPr>
          <w:cantSplit/>
        </w:trPr>
        <w:tc>
          <w:tcPr>
            <w:tcW w:type="dxa" w:w="4819"/>
            <w:tcMar>
              <w:top w:type="dxa" w:w="40"/>
              <w:left w:type="dxa" w:w="80"/>
              <w:bottom w:type="dxa" w:w="40"/>
              <w:right w:type="dxa" w:w="80"/>
            </w:tcMar>
          </w:tcPr>
          <w:p>
            <w:pPr>
              <w:spacing w:after="0" w:line="240"/>
            </w:pPr>
            <w:r>
              <w:rPr>
                <w:rFonts w:ascii="Calibri" w:cs="Calibri" w:eastAsia="Calibri" w:hAnsi="Calibri"/>
                <w:sz w:val="17"/>
                <w:szCs w:val="17"/>
              </w:rPr>
              <w:t xml:space="preserve">Déclarer tous les liens du groupe (sociétés sœurs, cautions).</w:t>
            </w:r>
          </w:p>
        </w:tc>
        <w:tc>
          <w:tcPr>
            <w:tcW w:type="dxa" w:w="4819"/>
            <w:tcMar>
              <w:top w:type="dxa" w:w="40"/>
              <w:left w:type="dxa" w:w="80"/>
              <w:bottom w:type="dxa" w:w="40"/>
              <w:right w:type="dxa" w:w="80"/>
            </w:tcMar>
          </w:tcPr>
          <w:p>
            <w:pPr>
              <w:spacing w:after="0" w:line="240"/>
            </w:pPr>
            <w:r>
              <w:rPr>
                <w:rFonts w:ascii="Calibri" w:cs="Calibri" w:eastAsia="Calibri" w:hAnsi="Calibri"/>
                <w:sz w:val="17"/>
                <w:szCs w:val="17"/>
              </w:rPr>
              <w:t xml:space="preserve">Omettre une société liée : effet groupe et division des risques faussés.</w:t>
            </w:r>
          </w:p>
        </w:tc>
      </w:tr>
      <w:tr>
        <w:trPr>
          <w:cantSplit/>
        </w:trPr>
        <w:tc>
          <w:tcPr>
            <w:tcW w:type="dxa" w:w="4819"/>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Déclarer immédiatement tout événement matériel.</w:t>
            </w:r>
          </w:p>
        </w:tc>
        <w:tc>
          <w:tcPr>
            <w:tcW w:type="dxa" w:w="4819"/>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Attendre la revue annuelle pour signaler un impayé ou un arrêt.</w:t>
            </w:r>
          </w:p>
        </w:tc>
      </w:tr>
      <w:tr>
        <w:trPr>
          <w:cantSplit/>
        </w:trPr>
        <w:tc>
          <w:tcPr>
            <w:tcW w:type="dxa" w:w="4819"/>
            <w:tcMar>
              <w:top w:type="dxa" w:w="40"/>
              <w:left w:type="dxa" w:w="80"/>
              <w:bottom w:type="dxa" w:w="40"/>
              <w:right w:type="dxa" w:w="80"/>
            </w:tcMar>
          </w:tcPr>
          <w:p>
            <w:pPr>
              <w:spacing w:after="0" w:line="240"/>
            </w:pPr>
            <w:r>
              <w:rPr>
                <w:rFonts w:ascii="Calibri" w:cs="Calibri" w:eastAsia="Calibri" w:hAnsi="Calibri"/>
                <w:sz w:val="17"/>
                <w:szCs w:val="17"/>
              </w:rPr>
              <w:t xml:space="preserve">Vérifier chaque valeur proposée par la lecture IA.</w:t>
            </w:r>
          </w:p>
        </w:tc>
        <w:tc>
          <w:tcPr>
            <w:tcW w:type="dxa" w:w="4819"/>
            <w:tcMar>
              <w:top w:type="dxa" w:w="40"/>
              <w:left w:type="dxa" w:w="80"/>
              <w:bottom w:type="dxa" w:w="40"/>
              <w:right w:type="dxa" w:w="80"/>
            </w:tcMar>
          </w:tcPr>
          <w:p>
            <w:pPr>
              <w:spacing w:after="0" w:line="240"/>
            </w:pPr>
            <w:r>
              <w:rPr>
                <w:rFonts w:ascii="Calibri" w:cs="Calibri" w:eastAsia="Calibri" w:hAnsi="Calibri"/>
                <w:sz w:val="17"/>
                <w:szCs w:val="17"/>
              </w:rPr>
              <w:t xml:space="preserve">Appliquer les propositions IA sans les confronter aux pièces.</w:t>
            </w:r>
          </w:p>
        </w:tc>
      </w:tr>
      <w:tr>
        <w:trPr>
          <w:cantSplit/>
        </w:trPr>
        <w:tc>
          <w:tcPr>
            <w:tcW w:type="dxa" w:w="4819"/>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Recalculer après toute nouvelle version du modèle.</w:t>
            </w:r>
          </w:p>
        </w:tc>
        <w:tc>
          <w:tcPr>
            <w:tcW w:type="dxa" w:w="4819"/>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Présenter en comité un score marqué « version retirée ».</w:t>
            </w:r>
          </w:p>
        </w:tc>
      </w:tr>
    </w:tbl>
    <w:p>
      <w:r>
        <w:br w:type="page"/>
      </w:r>
    </w:p>
    <w:p>
      <w:pPr>
        <w:pStyle w:val="Heading1"/>
      </w:pPr>
      <w:r>
        <w:t xml:space="preserve">Annexe A — Check-list imprimable des pièces</w:t>
      </w:r>
    </w:p>
    <w:p>
      <w:pPr>
        <w:spacing w:after="120" w:before="0" w:line="276"/>
      </w:pPr>
      <w:r>
        <w:rPr>
          <w:rFonts w:ascii="Calibri" w:cs="Calibri" w:eastAsia="Calibri" w:hAnsi="Calibri"/>
          <w:sz w:val="21"/>
          <w:szCs w:val="21"/>
        </w:rPr>
        <w:t xml:space="preserve">À cocher au montage du dossier puis à chaque revue. Date de la pièce à reporter dans la colonne prévue.</w:t>
      </w:r>
    </w:p>
    <w:p>
      <w:pPr>
        <w:pStyle w:val="Heading2"/>
        <w:keepNext/>
      </w:pPr>
      <w:r>
        <w:t xml:space="preserve">A. Promoteur et groupe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500"/>
        <w:gridCol w:w="700"/>
        <w:gridCol w:w="6438"/>
        <w:gridCol w:w="2000"/>
      </w:tblGrid>
      <w:tr>
        <w:trPr>
          <w:cantSplit/>
          <w:tblHeader/>
        </w:trPr>
        <w:tc>
          <w:tcPr>
            <w:tcW w:type="dxa" w:w="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w:t>
            </w:r>
          </w:p>
        </w:tc>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Réf.</w:t>
            </w:r>
          </w:p>
        </w:tc>
        <w:tc>
          <w:tcPr>
            <w:tcW w:type="dxa" w:w="64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w:t>
            </w:r>
          </w:p>
        </w:tc>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Date de la pièce</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P01</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Statuts à jour, modèle J du registre de commerce, ICE, IF, affiliation CNSS</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P02</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Procès-verbaux des organes (AG, conseil), liste des dirigeants et pouvoirs</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P03</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Organigramme du groupe : participations, sociétés sœurs, cautions croisées</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P04</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États de synthèse certifiés des 3 derniers exercices (bilan, CPC, ESG) et rapport du commissaire aux comptes</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P05</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Références : programmes livrés sur 5 ans avec justificatifs (permis d'habiter, certificats de conformité, PV de réception)</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P06</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Tableau des engagements bancaires toutes banques (encours, échéances, garanties)</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P07</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Consultation du crédit bureau (promoteur, dirigeants, sociétés du groupe)</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P08</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Chiffre d'affaires prévisionnel du groupe par programme</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w:r>
          </w:p>
        </w:tc>
      </w:tr>
    </w:tbl>
    <w:p>
      <w:pPr>
        <w:pStyle w:val="Heading2"/>
        <w:keepNext/>
      </w:pPr>
      <w:r>
        <w:t xml:space="preserve">B. Foncier et autorisations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500"/>
        <w:gridCol w:w="700"/>
        <w:gridCol w:w="6438"/>
        <w:gridCol w:w="2000"/>
      </w:tblGrid>
      <w:tr>
        <w:trPr>
          <w:cantSplit/>
          <w:tblHeader/>
        </w:trPr>
        <w:tc>
          <w:tcPr>
            <w:tcW w:type="dxa" w:w="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w:t>
            </w:r>
          </w:p>
        </w:tc>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Réf.</w:t>
            </w:r>
          </w:p>
        </w:tc>
        <w:tc>
          <w:tcPr>
            <w:tcW w:type="dxa" w:w="64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w:t>
            </w:r>
          </w:p>
        </w:tc>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Date de la pièce</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P10</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Certificat de propriété du titre foncier, avec inscriptions (hypothèques, saisies, servitudes)</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P11</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Acte d'acquisition du terrain (ou compromis) et justificatifs de paiement</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P12</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Note de renseignements urbanistiques</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P13</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Autorisation de lotir (loi 25-90) et/ou permis de construire (loi 12-90), avec plans autorisés</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P14</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Autorisation de morcellement / éclatement du titre mère</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P15</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Réception provisoire, permis d'habiter, certificat de conformité, réception définitive</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w:r>
          </w:p>
        </w:tc>
      </w:tr>
    </w:tbl>
    <w:p>
      <w:pPr>
        <w:pStyle w:val="Heading2"/>
        <w:keepNext/>
      </w:pPr>
      <w:r>
        <w:t xml:space="preserve">C. Programme, technique et business plan</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500"/>
        <w:gridCol w:w="700"/>
        <w:gridCol w:w="6438"/>
        <w:gridCol w:w="2000"/>
      </w:tblGrid>
      <w:tr>
        <w:trPr>
          <w:cantSplit/>
          <w:tblHeader/>
        </w:trPr>
        <w:tc>
          <w:tcPr>
            <w:tcW w:type="dxa" w:w="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w:t>
            </w:r>
          </w:p>
        </w:tc>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Réf.</w:t>
            </w:r>
          </w:p>
        </w:tc>
        <w:tc>
          <w:tcPr>
            <w:tcW w:type="dxa" w:w="64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w:t>
            </w:r>
          </w:p>
        </w:tc>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Date de la pièce</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P16</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Business plan du programme (bilan promoteur) : recettes, coût foncier, travaux, frais, marge, planning</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P17</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Plan de trésorerie MENSUEL du programme (encaissements, décaissements, tirages, remboursements)</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P18</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Étude de marché, grille de prix et références de transactions comparables</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P19</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Dossier technique : plans, CPS, marchés des entreprises (montants, délais, pénalités), note du BET</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P20</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Planning contractuel des travaux</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P21</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Situations de travaux visées (architecte / BET) et rapports de visite de chantier</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P34</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Plan de masse et découpage en tranches : tranches financées par la banque, ouvrages communs (accès, VRD, raccordements) et leur financement</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P35</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Cahier des charges du lotissement, convention avec la commune ou prescriptions de l'autorisation fixant les équipements exigés (mosquée, école, voirie…), avec coût, calendrier et financeur</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P36</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Marché de travaux de l'entreprise générale : classification / qualification, nature (forfait, régie), caution de bonne exécution, retenue de garantie</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P37</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Coût à terminaison actualisé (budget initial, engagé, reste à engager, écarts)</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P39</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Note de conjoncture du marché régional (référentiel « Marché régional » de la Direction des risques) ou étude de marché régionale</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bl>
    <w:p>
      <w:pPr>
        <w:pStyle w:val="Heading2"/>
        <w:keepNext/>
      </w:pPr>
      <w:r>
        <w:t xml:space="preserve">D. Commercialisation et acquéreurs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500"/>
        <w:gridCol w:w="700"/>
        <w:gridCol w:w="6438"/>
        <w:gridCol w:w="2000"/>
      </w:tblGrid>
      <w:tr>
        <w:trPr>
          <w:cantSplit/>
          <w:tblHeader/>
        </w:trPr>
        <w:tc>
          <w:tcPr>
            <w:tcW w:type="dxa" w:w="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w:t>
            </w:r>
          </w:p>
        </w:tc>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Réf.</w:t>
            </w:r>
          </w:p>
        </w:tc>
        <w:tc>
          <w:tcPr>
            <w:tcW w:type="dxa" w:w="64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w:t>
            </w:r>
          </w:p>
        </w:tc>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Date de la pièce</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P22</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État des ventes lot par lot : prix, date, statut (réservé, compromis, vendu, livré, désisté), acomptes encaissés</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P23</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Contrats de réservation, contrats VEFA (loi 44-00 modifiée par la loi 107-12) et actes de vente</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P24</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Financement de chaque acquéreur : attestation de déblocage, offre ou accord de crédit, dépôt de dossier, justificatif d'autofinancement, dispositif d'aide</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P25</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État des réclamations clients, désistements et litiges</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P38</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Lettre d'engagement d'un opérateur hôtelier, d'un investisseur ou de preneurs pour les composantes non résidentielles (hôtel, commerces, bureaux)</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bl>
    <w:p>
      <w:pPr>
        <w:pStyle w:val="Heading2"/>
        <w:keepNext/>
      </w:pPr>
      <w:r>
        <w:t xml:space="preserve">E. Financement et garanties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500"/>
        <w:gridCol w:w="700"/>
        <w:gridCol w:w="6438"/>
        <w:gridCol w:w="2000"/>
      </w:tblGrid>
      <w:tr>
        <w:trPr>
          <w:cantSplit/>
          <w:tblHeader/>
        </w:trPr>
        <w:tc>
          <w:tcPr>
            <w:tcW w:type="dxa" w:w="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w:t>
            </w:r>
          </w:p>
        </w:tc>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Réf.</w:t>
            </w:r>
          </w:p>
        </w:tc>
        <w:tc>
          <w:tcPr>
            <w:tcW w:type="dxa" w:w="64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w:t>
            </w:r>
          </w:p>
        </w:tc>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Date de la pièce</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P26</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Demande de crédit : montant, natures de concours, échéancier, plan de tirage</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P27</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Rapport d'expertise immobilière indépendant (valeur actuelle, valeur à l'achèvement)</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P28</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État des garanties proposées (hypothèque, cautions, nantissements, GFA) et projets d'actes</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P29</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Convention de crédit : clause de mainlevée partielle (quotité de désengagement par lot)</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w:r>
          </w:p>
        </w:tc>
      </w:tr>
    </w:tbl>
    <w:p>
      <w:pPr>
        <w:pStyle w:val="Heading2"/>
        <w:keepNext/>
      </w:pPr>
      <w:r>
        <w:t xml:space="preserve">F. Situation bancaire et réglementaire (dossier en cours)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500"/>
        <w:gridCol w:w="700"/>
        <w:gridCol w:w="6438"/>
        <w:gridCol w:w="2000"/>
      </w:tblGrid>
      <w:tr>
        <w:trPr>
          <w:cantSplit/>
          <w:tblHeader/>
        </w:trPr>
        <w:tc>
          <w:tcPr>
            <w:tcW w:type="dxa" w:w="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w:t>
            </w:r>
          </w:p>
        </w:tc>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Réf.</w:t>
            </w:r>
          </w:p>
        </w:tc>
        <w:tc>
          <w:tcPr>
            <w:tcW w:type="dxa" w:w="64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Pièce</w:t>
            </w:r>
          </w:p>
        </w:tc>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Date de la pièce</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P31</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Échéancier et état des impayés, dépassements, mouvements du compte</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P32</w:t>
            </w:r>
          </w:p>
        </w:tc>
        <w:tc>
          <w:tcPr>
            <w:tcW w:type="dxa" w:w="64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Avenants, protocoles de restructuration, reprofilage ou consolidation</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sz w:val="22"/>
                <w:szCs w:val="22"/>
              </w:rPr>
              <w:t xml:space="preserve">☐</w:t>
            </w:r>
          </w:p>
        </w:tc>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P33</w:t>
            </w:r>
          </w:p>
        </w:tc>
        <w:tc>
          <w:tcPr>
            <w:tcW w:type="dxa" w:w="6438"/>
            <w:tcMar>
              <w:top w:type="dxa" w:w="40"/>
              <w:left w:type="dxa" w:w="80"/>
              <w:bottom w:type="dxa" w:w="40"/>
              <w:right w:type="dxa" w:w="80"/>
            </w:tcMar>
          </w:tcPr>
          <w:p>
            <w:pPr>
              <w:spacing w:after="0" w:line="240"/>
            </w:pPr>
            <w:r>
              <w:rPr>
                <w:rFonts w:ascii="Calibri" w:cs="Calibri" w:eastAsia="Calibri" w:hAnsi="Calibri"/>
                <w:sz w:val="17"/>
                <w:szCs w:val="17"/>
              </w:rPr>
              <w:t xml:space="preserve">Notifications de saisie-arrêt / ATD, assignations, jugements (redressement, liquidation)</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
            </w:r>
          </w:p>
        </w:tc>
      </w:tr>
    </w:tbl>
    <w:p>
      <w:pPr>
        <w:pStyle w:val="Heading1"/>
      </w:pPr>
      <w:r>
        <w:t xml:space="preserve">Annexe B — Glossaire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3000"/>
        <w:gridCol w:w="6638"/>
      </w:tblGrid>
      <w:tr>
        <w:trPr>
          <w:cantSplit/>
          <w:tblHeader/>
        </w:trPr>
        <w:tc>
          <w:tcPr>
            <w:tcW w:type="dxa" w:w="3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Terme</w:t>
            </w:r>
          </w:p>
        </w:tc>
        <w:tc>
          <w:tcPr>
            <w:tcW w:type="dxa" w:w="66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Définition</w:t>
            </w:r>
          </w:p>
        </w:tc>
      </w:tr>
      <w:tr>
        <w:trPr>
          <w:cantSplit/>
        </w:trPr>
        <w:tc>
          <w:tcPr>
            <w:tcW w:type="dxa" w:w="3000"/>
            <w:tcMar>
              <w:top w:type="dxa" w:w="40"/>
              <w:left w:type="dxa" w:w="80"/>
              <w:bottom w:type="dxa" w:w="40"/>
              <w:right w:type="dxa" w:w="80"/>
            </w:tcMar>
          </w:tcPr>
          <w:p>
            <w:pPr>
              <w:spacing w:after="0" w:line="240"/>
            </w:pPr>
            <w:r>
              <w:rPr>
                <w:rFonts w:ascii="Calibri" w:cs="Calibri" w:eastAsia="Calibri" w:hAnsi="Calibri"/>
                <w:sz w:val="17"/>
                <w:szCs w:val="17"/>
              </w:rPr>
              <w:t xml:space="preserve">Critère éliminatoire (gate)</w:t>
            </w:r>
          </w:p>
        </w:tc>
        <w:tc>
          <w:tcPr>
            <w:tcW w:type="dxa" w:w="6638"/>
            <w:tcMar>
              <w:top w:type="dxa" w:w="40"/>
              <w:left w:type="dxa" w:w="80"/>
              <w:bottom w:type="dxa" w:w="40"/>
              <w:right w:type="dxa" w:w="80"/>
            </w:tcMar>
          </w:tcPr>
          <w:p>
            <w:pPr>
              <w:spacing w:after="0" w:line="240"/>
            </w:pPr>
            <w:r>
              <w:rPr>
                <w:rFonts w:ascii="Calibri" w:cs="Calibri" w:eastAsia="Calibri" w:hAnsi="Calibri"/>
                <w:sz w:val="17"/>
                <w:szCs w:val="17"/>
              </w:rPr>
              <w:t xml:space="preserve">Critère dont une note plancher bloque la décision favorable tant que la condition n'est pas levée, au jalon indiqué (signature, tirage).</w:t>
            </w:r>
          </w:p>
        </w:tc>
      </w:tr>
      <w:tr>
        <w:trPr>
          <w:cantSplit/>
        </w:trPr>
        <w:tc>
          <w:tcPr>
            <w:tcW w:type="dxa" w:w="3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Donnée décisionnelle</w:t>
            </w:r>
          </w:p>
        </w:tc>
        <w:tc>
          <w:tcPr>
            <w:tcW w:type="dxa" w:w="66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Donnée sans laquelle aucune décision officielle n'est possible (dossier incomplet).</w:t>
            </w:r>
          </w:p>
        </w:tc>
      </w:tr>
      <w:tr>
        <w:trPr>
          <w:cantSplit/>
        </w:trPr>
        <w:tc>
          <w:tcPr>
            <w:tcW w:type="dxa" w:w="3000"/>
            <w:tcMar>
              <w:top w:type="dxa" w:w="40"/>
              <w:left w:type="dxa" w:w="80"/>
              <w:bottom w:type="dxa" w:w="40"/>
              <w:right w:type="dxa" w:w="80"/>
            </w:tcMar>
          </w:tcPr>
          <w:p>
            <w:pPr>
              <w:spacing w:after="0" w:line="240"/>
            </w:pPr>
            <w:r>
              <w:rPr>
                <w:rFonts w:ascii="Calibri" w:cs="Calibri" w:eastAsia="Calibri" w:hAnsi="Calibri"/>
                <w:sz w:val="17"/>
                <w:szCs w:val="17"/>
              </w:rPr>
              <w:t xml:space="preserve">Alerte (red flag)</w:t>
            </w:r>
          </w:p>
        </w:tc>
        <w:tc>
          <w:tcPr>
            <w:tcW w:type="dxa" w:w="6638"/>
            <w:tcMar>
              <w:top w:type="dxa" w:w="40"/>
              <w:left w:type="dxa" w:w="80"/>
              <w:bottom w:type="dxa" w:w="40"/>
              <w:right w:type="dxa" w:w="80"/>
            </w:tcMar>
          </w:tcPr>
          <w:p>
            <w:pPr>
              <w:spacing w:after="0" w:line="240"/>
            </w:pPr>
            <w:r>
              <w:rPr>
                <w:rFonts w:ascii="Calibri" w:cs="Calibri" w:eastAsia="Calibri" w:hAnsi="Calibri"/>
                <w:sz w:val="17"/>
                <w:szCs w:val="17"/>
              </w:rPr>
              <w:t xml:space="preserve">Règle de la couche D5 : malus en points, souffrance automatique (bloquante) ou retour en comité.</w:t>
            </w:r>
          </w:p>
        </w:tc>
      </w:tr>
      <w:tr>
        <w:trPr>
          <w:cantSplit/>
        </w:trPr>
        <w:tc>
          <w:tcPr>
            <w:tcW w:type="dxa" w:w="3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Classe réglementaire BAM</w:t>
            </w:r>
          </w:p>
        </w:tc>
        <w:tc>
          <w:tcPr>
            <w:tcW w:type="dxa" w:w="66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Classement de la créance selon les circulaires de Bank Al-Maghrib (19/G/2002 et 1/W) ; module le score par un coefficient.</w:t>
            </w:r>
          </w:p>
        </w:tc>
      </w:tr>
      <w:tr>
        <w:trPr>
          <w:cantSplit/>
        </w:trPr>
        <w:tc>
          <w:tcPr>
            <w:tcW w:type="dxa" w:w="3000"/>
            <w:tcMar>
              <w:top w:type="dxa" w:w="40"/>
              <w:left w:type="dxa" w:w="80"/>
              <w:bottom w:type="dxa" w:w="40"/>
              <w:right w:type="dxa" w:w="80"/>
            </w:tcMar>
          </w:tcPr>
          <w:p>
            <w:pPr>
              <w:spacing w:after="0" w:line="240"/>
            </w:pPr>
            <w:r>
              <w:rPr>
                <w:rFonts w:ascii="Calibri" w:cs="Calibri" w:eastAsia="Calibri" w:hAnsi="Calibri"/>
                <w:sz w:val="17"/>
                <w:szCs w:val="17"/>
              </w:rPr>
              <w:t xml:space="preserve">Quotité de désengagement</w:t>
            </w:r>
          </w:p>
        </w:tc>
        <w:tc>
          <w:tcPr>
            <w:tcW w:type="dxa" w:w="6638"/>
            <w:tcMar>
              <w:top w:type="dxa" w:w="40"/>
              <w:left w:type="dxa" w:w="80"/>
              <w:bottom w:type="dxa" w:w="40"/>
              <w:right w:type="dxa" w:w="80"/>
            </w:tcMar>
          </w:tcPr>
          <w:p>
            <w:pPr>
              <w:spacing w:after="0" w:line="240"/>
            </w:pPr>
            <w:r>
              <w:rPr>
                <w:rFonts w:ascii="Calibri" w:cs="Calibri" w:eastAsia="Calibri" w:hAnsi="Calibri"/>
                <w:sz w:val="17"/>
                <w:szCs w:val="17"/>
              </w:rPr>
              <w:t xml:space="preserve">Part du prix de vente d'un lot remboursée à la banque en contrepartie de la mainlevée partielle.</w:t>
            </w:r>
          </w:p>
        </w:tc>
      </w:tr>
      <w:tr>
        <w:trPr>
          <w:cantSplit/>
        </w:trPr>
        <w:tc>
          <w:tcPr>
            <w:tcW w:type="dxa" w:w="3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Quotité d'équilibre</w:t>
            </w:r>
          </w:p>
        </w:tc>
        <w:tc>
          <w:tcPr>
            <w:tcW w:type="dxa" w:w="66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Encours / valeur commercialisable totale : quotité minimale qui éteint la dette à la vente du dernier lot.</w:t>
            </w:r>
          </w:p>
        </w:tc>
      </w:tr>
      <w:tr>
        <w:trPr>
          <w:cantSplit/>
        </w:trPr>
        <w:tc>
          <w:tcPr>
            <w:tcW w:type="dxa" w:w="3000"/>
            <w:tcMar>
              <w:top w:type="dxa" w:w="40"/>
              <w:left w:type="dxa" w:w="80"/>
              <w:bottom w:type="dxa" w:w="40"/>
              <w:right w:type="dxa" w:w="80"/>
            </w:tcMar>
          </w:tcPr>
          <w:p>
            <w:pPr>
              <w:spacing w:after="0" w:line="240"/>
            </w:pPr>
            <w:r>
              <w:rPr>
                <w:rFonts w:ascii="Calibri" w:cs="Calibri" w:eastAsia="Calibri" w:hAnsi="Calibri"/>
                <w:sz w:val="17"/>
                <w:szCs w:val="17"/>
              </w:rPr>
              <w:t xml:space="preserve">Ventes sécurisées</w:t>
            </w:r>
          </w:p>
        </w:tc>
        <w:tc>
          <w:tcPr>
            <w:tcW w:type="dxa" w:w="6638"/>
            <w:tcMar>
              <w:top w:type="dxa" w:w="40"/>
              <w:left w:type="dxa" w:w="80"/>
              <w:bottom w:type="dxa" w:w="40"/>
              <w:right w:type="dxa" w:w="80"/>
            </w:tcMar>
          </w:tcPr>
          <w:p>
            <w:pPr>
              <w:spacing w:after="0" w:line="240"/>
            </w:pPr>
            <w:r>
              <w:rPr>
                <w:rFonts w:ascii="Calibri" w:cs="Calibri" w:eastAsia="Calibri" w:hAnsi="Calibri"/>
                <w:sz w:val="17"/>
                <w:szCs w:val="17"/>
              </w:rPr>
              <w:t xml:space="preserve">Ventes pondérées par la solidité du financement de l'acquéreur (débloqué, accordé, en cours, non instruit, refusé).</w:t>
            </w:r>
          </w:p>
        </w:tc>
      </w:tr>
      <w:tr>
        <w:trPr>
          <w:cantSplit/>
        </w:trPr>
        <w:tc>
          <w:tcPr>
            <w:tcW w:type="dxa" w:w="3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Division des risques</w:t>
            </w:r>
          </w:p>
        </w:tc>
        <w:tc>
          <w:tcPr>
            <w:tcW w:type="dxa" w:w="66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Limite d'exposition sur une contrepartie ou un groupe, rapportée aux fonds propres de la banque.</w:t>
            </w:r>
          </w:p>
        </w:tc>
      </w:tr>
      <w:tr>
        <w:trPr>
          <w:cantSplit/>
        </w:trPr>
        <w:tc>
          <w:tcPr>
            <w:tcW w:type="dxa" w:w="3000"/>
            <w:tcMar>
              <w:top w:type="dxa" w:w="40"/>
              <w:left w:type="dxa" w:w="80"/>
              <w:bottom w:type="dxa" w:w="40"/>
              <w:right w:type="dxa" w:w="80"/>
            </w:tcMar>
          </w:tcPr>
          <w:p>
            <w:pPr>
              <w:spacing w:after="0" w:line="240"/>
            </w:pPr>
            <w:r>
              <w:rPr>
                <w:rFonts w:ascii="Calibri" w:cs="Calibri" w:eastAsia="Calibri" w:hAnsi="Calibri"/>
                <w:sz w:val="17"/>
                <w:szCs w:val="17"/>
              </w:rPr>
              <w:t xml:space="preserve">LTC / LTV</w:t>
            </w:r>
          </w:p>
        </w:tc>
        <w:tc>
          <w:tcPr>
            <w:tcW w:type="dxa" w:w="6638"/>
            <w:tcMar>
              <w:top w:type="dxa" w:w="40"/>
              <w:left w:type="dxa" w:w="80"/>
              <w:bottom w:type="dxa" w:w="40"/>
              <w:right w:type="dxa" w:w="80"/>
            </w:tcMar>
          </w:tcPr>
          <w:p>
            <w:pPr>
              <w:spacing w:after="0" w:line="240"/>
            </w:pPr>
            <w:r>
              <w:rPr>
                <w:rFonts w:ascii="Calibri" w:cs="Calibri" w:eastAsia="Calibri" w:hAnsi="Calibri"/>
                <w:sz w:val="17"/>
                <w:szCs w:val="17"/>
              </w:rPr>
              <w:t xml:space="preserve">Crédit rapporté au coût total du programme / à la valeur d'expertise décotée de 10 %.</w:t>
            </w:r>
          </w:p>
        </w:tc>
      </w:tr>
      <w:tr>
        <w:trPr>
          <w:cantSplit/>
        </w:trPr>
        <w:tc>
          <w:tcPr>
            <w:tcW w:type="dxa" w:w="3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Impasse</w:t>
            </w:r>
          </w:p>
        </w:tc>
        <w:tc>
          <w:tcPr>
            <w:tcW w:type="dxa" w:w="66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Besoin de financement non couvert au pire mois du plan de trésorerie.</w:t>
            </w:r>
          </w:p>
        </w:tc>
      </w:tr>
      <w:tr>
        <w:trPr>
          <w:cantSplit/>
        </w:trPr>
        <w:tc>
          <w:tcPr>
            <w:tcW w:type="dxa" w:w="3000"/>
            <w:tcMar>
              <w:top w:type="dxa" w:w="40"/>
              <w:left w:type="dxa" w:w="80"/>
              <w:bottom w:type="dxa" w:w="40"/>
              <w:right w:type="dxa" w:w="80"/>
            </w:tcMar>
          </w:tcPr>
          <w:p>
            <w:pPr>
              <w:spacing w:after="0" w:line="240"/>
            </w:pPr>
            <w:r>
              <w:rPr>
                <w:rFonts w:ascii="Calibri" w:cs="Calibri" w:eastAsia="Calibri" w:hAnsi="Calibri"/>
                <w:sz w:val="17"/>
                <w:szCs w:val="17"/>
              </w:rPr>
              <w:t xml:space="preserve">PD indicative</w:t>
            </w:r>
          </w:p>
        </w:tc>
        <w:tc>
          <w:tcPr>
            <w:tcW w:type="dxa" w:w="6638"/>
            <w:tcMar>
              <w:top w:type="dxa" w:w="40"/>
              <w:left w:type="dxa" w:w="80"/>
              <w:bottom w:type="dxa" w:w="40"/>
              <w:right w:type="dxa" w:w="80"/>
            </w:tcMar>
          </w:tcPr>
          <w:p>
            <w:pPr>
              <w:spacing w:after="0" w:line="240"/>
            </w:pPr>
            <w:r>
              <w:rPr>
                <w:rFonts w:ascii="Calibri" w:cs="Calibri" w:eastAsia="Calibri" w:hAnsi="Calibri"/>
                <w:sz w:val="17"/>
                <w:szCs w:val="17"/>
              </w:rPr>
              <w:t xml:space="preserve">Probabilité de défaut déduite du score par une formule non calibrée : à titre indicatif.</w:t>
            </w:r>
          </w:p>
        </w:tc>
      </w:tr>
      <w:tr>
        <w:trPr>
          <w:cantSplit/>
        </w:trPr>
        <w:tc>
          <w:tcPr>
            <w:tcW w:type="dxa" w:w="3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Synchroniser vers le scoring</w:t>
            </w:r>
          </w:p>
        </w:tc>
        <w:tc>
          <w:tcPr>
            <w:tcW w:type="dxa" w:w="66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Bouton qui reporte dans la saisie les données calculées à partir du suivi (lots, autorisations, facilités, événements).</w:t>
            </w:r>
          </w:p>
        </w:tc>
      </w:tr>
    </w:tbl>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F2" w:sz="4" w:space="4"/>
      </w:pBdr>
      <w:spacing w:after="0"/>
      <w:jc w:val="right"/>
    </w:pPr>
    <w:r>
      <w:rPr>
        <w:rFonts w:ascii="Calibri" w:cs="Calibri" w:eastAsia="Calibri" w:hAnsi="Calibri"/>
        <w:color w:val="595959"/>
        <w:sz w:val="15"/>
        <w:szCs w:val="15"/>
      </w:rPr>
      <w:t xml:space="preserve">Guide du chargé d'affaires — promotion immobilière · modèle v5.0.0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F2" w:sz="4" w:space="4"/>
      </w:pBdr>
      <w:spacing w:after="0"/>
      <w:jc w:val="right"/>
    </w:pPr>
    <w:r>
      <w:rPr>
        <w:rFonts w:ascii="Calibri" w:cs="Calibri" w:eastAsia="Calibri" w:hAnsi="Calibri"/>
        <w:color w:val="595959"/>
        <w:sz w:val="15"/>
        <w:szCs w:val="15"/>
      </w:rPr>
      <w:t xml:space="preserve">Guide du chargé d'affaires — promotion immobilière · modèle v5.0.0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F2" w:sz="4" w:space="4"/>
      </w:pBdr>
      <w:spacing w:after="0"/>
      <w:jc w:val="right"/>
    </w:pPr>
    <w:r>
      <w:rPr>
        <w:rFonts w:ascii="Calibri" w:cs="Calibri" w:eastAsia="Calibri" w:hAnsi="Calibri"/>
        <w:color w:val="595959"/>
        <w:sz w:val="15"/>
        <w:szCs w:val="15"/>
      </w:rPr>
      <w:t xml:space="preserve">Guide du chargé d'affaires — promotion immobilière · modèle v5.0.0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abstractNum w:abstractNumId="5"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1F2" w:sz="6" w:space="4"/>
      </w:pBdr>
      <w:spacing w:after="14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 chargé d'affaires — crédit à la promotion immobilière</dc:title>
  <dc:creator>Outil de scoring PI</dc:creator>
  <cp:lastModifiedBy>Un-named</cp:lastModifiedBy>
  <cp:revision>1</cp:revision>
  <dcterms:created xsi:type="dcterms:W3CDTF">2026-10-01T08:08:11.549Z</dcterms:created>
  <dcterms:modified xsi:type="dcterms:W3CDTF">2026-10-01T08:08:11.549Z</dcterms:modified>
</cp:coreProperties>
</file>

<file path=docProps/custom.xml><?xml version="1.0" encoding="utf-8"?>
<Properties xmlns="http://schemas.openxmlformats.org/officeDocument/2006/custom-properties" xmlns:vt="http://schemas.openxmlformats.org/officeDocument/2006/docPropsVTypes"/>
</file>