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rFonts w:ascii="Calibri" w:cs="Calibri" w:eastAsia="Calibri" w:hAnsi="Calibri"/>
          <w:b/>
          <w:bCs/>
          <w:color w:val="1F3864"/>
          <w:sz w:val="48"/>
          <w:szCs w:val="48"/>
        </w:rPr>
        <w:t xml:space="preserve">GUIDE DU CHARGÉ D'AFFAIRES</w:t>
      </w:r>
    </w:p>
    <w:p>
      <w:pPr>
        <w:spacing w:before="80"/>
        <w:jc w:val="center"/>
      </w:pPr>
      <w:r>
        <w:rPr>
          <w:rFonts w:ascii="Calibri" w:cs="Calibri" w:eastAsia="Calibri" w:hAnsi="Calibri"/>
          <w:b/>
          <w:bCs/>
          <w:color w:val="2E5496"/>
          <w:sz w:val="34"/>
          <w:szCs w:val="34"/>
        </w:rPr>
        <w:t xml:space="preserve">Crédit à la promotion immobilière</w:t>
      </w:r>
    </w:p>
    <w:p>
      <w:pPr>
        <w:pBdr>
          <w:top w:val="single" w:color="D9E1F2" w:sz="12" w:space="8"/>
        </w:pBdr>
        <w:spacing w:before="240"/>
        <w:jc w:val="center"/>
      </w:pPr>
      <w:r>
        <w:rPr>
          <w:rFonts w:ascii="Calibri" w:cs="Calibri" w:eastAsia="Calibri" w:hAnsi="Calibri"/>
          <w:sz w:val="2"/>
          <w:szCs w:val="2"/>
        </w:rPr>
        <w:t xml:space="preserve"/>
      </w:r>
    </w:p>
    <w:p>
      <w:pPr>
        <w:spacing w:before="280"/>
        <w:jc w:val="center"/>
      </w:pPr>
      <w:r>
        <w:rPr>
          <w:rFonts w:ascii="Calibri" w:cs="Calibri" w:eastAsia="Calibri" w:hAnsi="Calibri"/>
          <w:i/>
          <w:iCs/>
          <w:color w:val="595959"/>
          <w:sz w:val="26"/>
          <w:szCs w:val="26"/>
        </w:rPr>
        <w:t xml:space="preserve">Quelles pièces réunir, où saisir chaque donnée, comment lire le résultat et suivre le dossier</w:t>
      </w:r>
    </w:p>
    <w:p>
      <w:pPr>
        <w:spacing w:before="1300"/>
        <w:jc w:val="center"/>
      </w:pPr>
      <w:r>
        <w:rPr>
          <w:rFonts w:ascii="Calibri" w:cs="Calibri" w:eastAsia="Calibri" w:hAnsi="Calibri"/>
          <w:b/>
          <w:bCs/>
          <w:color w:val="1F3864"/>
          <w:sz w:val="22"/>
          <w:szCs w:val="22"/>
        </w:rPr>
        <w:t xml:space="preserve">Modèle de scoring PI_PROMOTION v4.0.0 · outil Excel 4.1</w:t>
      </w:r>
    </w:p>
    <w:p>
      <w:pPr>
        <w:spacing w:before="40"/>
        <w:jc w:val="center"/>
      </w:pPr>
      <w:r>
        <w:rPr>
          <w:rFonts w:ascii="Calibri" w:cs="Calibri" w:eastAsia="Calibri" w:hAnsi="Calibri"/>
          <w:color w:val="595959"/>
          <w:sz w:val="20"/>
          <w:szCs w:val="20"/>
        </w:rPr>
        <w:t xml:space="preserve">30 septembre 2026</w:t>
      </w:r>
    </w:p>
    <w:p>
      <w:r>
        <w:br w:type="page"/>
      </w:r>
    </w:p>
    <w:p>
      <w:pPr>
        <w:pStyle w:val="Heading1"/>
        <w:spacing w:after="120" w:before="0" w:line="276"/>
      </w:pPr>
      <w:r>
        <w:rPr>
          <w:rFonts w:ascii="Calibri" w:cs="Calibri" w:eastAsia="Calibri" w:hAnsi="Calibri"/>
          <w:sz w:val="21"/>
          <w:szCs w:val="21"/>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L'essentiel en une page</w:t>
      </w:r>
    </w:p>
    <w:p>
      <w:pPr>
        <w:spacing w:after="120" w:before="0" w:line="276"/>
      </w:pPr>
      <w:r>
        <w:rPr>
          <w:rFonts w:ascii="Calibri" w:cs="Calibri" w:eastAsia="Calibri" w:hAnsi="Calibri"/>
          <w:sz w:val="21"/>
          <w:szCs w:val="21"/>
        </w:rPr>
        <w:t xml:space="preserve">Votre dossier est noté par le modèle PI_PROMOTION : 29 critères répartis en 4 domaines, 13 alertes, puis une décision. La qualité de cette note dépend entièrement des pièces que vous réunissez et de la rigueur de la saisie.</w:t>
      </w:r>
    </w:p>
    <w:tbl>
      <w:tblPr>
        <w:tblW w:type="dxa" w:w="9638"/>
        <w:tblBorders>
          <w:top w:val="single" w:color="AEB6C6" w:sz="2"/>
          <w:left w:val="single" w:color="AEB6C6" w:sz="2"/>
          <w:bottom w:val="single" w:color="AEB6C6" w:sz="2"/>
          <w:right w:val="single" w:color="AEB6C6" w:sz="2"/>
          <w:insideH w:val="single" w:color="D0D6E2" w:sz="1"/>
          <w:insideV w:val="single" w:color="D0D6E2" w:sz="1"/>
        </w:tblBorders>
      </w:tblPr>
      <w:tblGrid>
        <w:gridCol w:w="2600"/>
        <w:gridCol w:w="900"/>
        <w:gridCol w:w="6138"/>
      </w:tblGrid>
      <w:tr>
        <w:trPr>
          <w:cantSplit/>
          <w:tblHeader/>
        </w:trPr>
        <w:tc>
          <w:tcPr>
            <w:tcW w:type="dxa" w:w="26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Domaine</w:t>
            </w:r>
          </w:p>
        </w:tc>
        <w:tc>
          <w:tcPr>
            <w:tcW w:type="dxa" w:w="9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Poids</w:t>
            </w:r>
          </w:p>
        </w:tc>
        <w:tc>
          <w:tcPr>
            <w:tcW w:type="dxa" w:w="6138"/>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Ce qui est apprécié</w:t>
            </w:r>
          </w:p>
        </w:tc>
      </w:tr>
      <w:tr>
        <w:trPr>
          <w:cantSplit/>
        </w:trPr>
        <w:tc>
          <w:tcPr>
            <w:tcW w:type="dxa" w:w="2600"/>
            <w:tcMar>
              <w:top w:type="dxa" w:w="40"/>
              <w:left w:type="dxa" w:w="80"/>
              <w:bottom w:type="dxa" w:w="40"/>
              <w:right w:type="dxa" w:w="80"/>
            </w:tcMar>
          </w:tcPr>
          <w:p>
            <w:pPr>
              <w:spacing w:after="0" w:line="240"/>
            </w:pPr>
            <w:r>
              <w:rPr>
                <w:rFonts w:ascii="Calibri" w:cs="Calibri" w:eastAsia="Calibri" w:hAnsi="Calibri"/>
                <w:b/>
                <w:bCs/>
                <w:sz w:val="17"/>
                <w:szCs w:val="17"/>
              </w:rPr>
              <w:t xml:space="preserve">D1 — Sponsor &amp; Gouvernance</w:t>
            </w:r>
          </w:p>
        </w:tc>
        <w:tc>
          <w:tcPr>
            <w:tcW w:type="dxa" w:w="900"/>
            <w:tcMar>
              <w:top w:type="dxa" w:w="40"/>
              <w:left w:type="dxa" w:w="80"/>
              <w:bottom w:type="dxa" w:w="40"/>
              <w:right w:type="dxa" w:w="80"/>
            </w:tcMar>
          </w:tcPr>
          <w:p>
            <w:pPr>
              <w:spacing w:after="0" w:line="240"/>
              <w:jc w:val="center"/>
            </w:pPr>
            <w:r>
              <w:rPr>
                <w:rFonts w:ascii="Calibri" w:cs="Calibri" w:eastAsia="Calibri" w:hAnsi="Calibri"/>
                <w:sz w:val="17"/>
                <w:szCs w:val="17"/>
              </w:rPr>
              <w:t xml:space="preserve">25 %</w:t>
            </w:r>
          </w:p>
        </w:tc>
        <w:tc>
          <w:tcPr>
            <w:tcW w:type="dxa" w:w="6138"/>
            <w:tcMar>
              <w:top w:type="dxa" w:w="40"/>
              <w:left w:type="dxa" w:w="80"/>
              <w:bottom w:type="dxa" w:w="40"/>
              <w:right w:type="dxa" w:w="80"/>
            </w:tcMar>
          </w:tcPr>
          <w:p>
            <w:pPr>
              <w:spacing w:after="0" w:line="240"/>
            </w:pPr>
            <w:r>
              <w:rPr>
                <w:rFonts w:ascii="Calibri" w:cs="Calibri" w:eastAsia="Calibri" w:hAnsi="Calibri"/>
                <w:sz w:val="17"/>
                <w:szCs w:val="17"/>
              </w:rPr>
              <w:t xml:space="preserve">Projets similaires livrés (5 ans) · Gearing promoteur · Gouvernance · Concentration mono-projet · Typologie promoteur · Apport effectif injecté / prévu</w:t>
            </w:r>
          </w:p>
        </w:tc>
      </w:tr>
      <w:tr>
        <w:trPr>
          <w:cantSplit/>
        </w:trPr>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D2 — Qualité intrinsèque du projet</w:t>
            </w:r>
          </w:p>
        </w:tc>
        <w:tc>
          <w:tcPr>
            <w:tcW w:type="dxa" w:w="9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20 %</w:t>
            </w:r>
          </w:p>
        </w:tc>
        <w:tc>
          <w:tcPr>
            <w:tcW w:type="dxa" w:w="61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Foncier &amp; autorisations · Marché &amp; positionnement · Complexité technique · Avancement vs planning · Litiges clients / SAV · Sensibilité macro / subvention · Coût foncier / CA · Chaîne d'autorisations — complétude</w:t>
            </w:r>
          </w:p>
        </w:tc>
      </w:tr>
      <w:tr>
        <w:trPr>
          <w:cantSplit/>
        </w:trPr>
        <w:tc>
          <w:tcPr>
            <w:tcW w:type="dxa" w:w="2600"/>
            <w:tcMar>
              <w:top w:type="dxa" w:w="40"/>
              <w:left w:type="dxa" w:w="80"/>
              <w:bottom w:type="dxa" w:w="40"/>
              <w:right w:type="dxa" w:w="80"/>
            </w:tcMar>
          </w:tcPr>
          <w:p>
            <w:pPr>
              <w:spacing w:after="0" w:line="240"/>
            </w:pPr>
            <w:r>
              <w:rPr>
                <w:rFonts w:ascii="Calibri" w:cs="Calibri" w:eastAsia="Calibri" w:hAnsi="Calibri"/>
                <w:b/>
                <w:bCs/>
                <w:sz w:val="17"/>
                <w:szCs w:val="17"/>
              </w:rPr>
              <w:t xml:space="preserve">D3 — Commercial &amp; Cash-flow</w:t>
            </w:r>
          </w:p>
        </w:tc>
        <w:tc>
          <w:tcPr>
            <w:tcW w:type="dxa" w:w="900"/>
            <w:tcMar>
              <w:top w:type="dxa" w:w="40"/>
              <w:left w:type="dxa" w:w="80"/>
              <w:bottom w:type="dxa" w:w="40"/>
              <w:right w:type="dxa" w:w="80"/>
            </w:tcMar>
          </w:tcPr>
          <w:p>
            <w:pPr>
              <w:spacing w:after="0" w:line="240"/>
              <w:jc w:val="center"/>
            </w:pPr>
            <w:r>
              <w:rPr>
                <w:rFonts w:ascii="Calibri" w:cs="Calibri" w:eastAsia="Calibri" w:hAnsi="Calibri"/>
                <w:sz w:val="17"/>
                <w:szCs w:val="17"/>
              </w:rPr>
              <w:t xml:space="preserve">31 %</w:t>
            </w:r>
          </w:p>
        </w:tc>
        <w:tc>
          <w:tcPr>
            <w:tcW w:type="dxa" w:w="6138"/>
            <w:tcMar>
              <w:top w:type="dxa" w:w="40"/>
              <w:left w:type="dxa" w:w="80"/>
              <w:bottom w:type="dxa" w:w="40"/>
              <w:right w:type="dxa" w:w="80"/>
            </w:tcMar>
          </w:tcPr>
          <w:p>
            <w:pPr>
              <w:spacing w:after="0" w:line="240"/>
            </w:pPr>
            <w:r>
              <w:rPr>
                <w:rFonts w:ascii="Calibri" w:cs="Calibri" w:eastAsia="Calibri" w:hAnsi="Calibri"/>
                <w:sz w:val="17"/>
                <w:szCs w:val="17"/>
              </w:rPr>
              <w:t xml:space="preserve">Préventes sécurisées · Ventes vs planning · DSO · Cash coverage · Impasse brute · Rotation stock · Marge stressée -10% · Ventes sécurisées par le financement acquéreur</w:t>
            </w:r>
          </w:p>
        </w:tc>
      </w:tr>
      <w:tr>
        <w:trPr>
          <w:cantSplit/>
        </w:trPr>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D4 — Structuration financière &amp; LGD</w:t>
            </w:r>
          </w:p>
        </w:tc>
        <w:tc>
          <w:tcPr>
            <w:tcW w:type="dxa" w:w="9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24 %</w:t>
            </w:r>
          </w:p>
        </w:tc>
        <w:tc>
          <w:tcPr>
            <w:tcW w:type="dxa" w:w="61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Marge brute · LTC · LTV stressée · Couverture garanties · Rang bancaire 1er rang · Interest coverage · Quotité de désengagement − équilibre</w:t>
            </w:r>
          </w:p>
        </w:tc>
      </w:tr>
    </w:tbl>
    <w:p>
      <w:pPr>
        <w:spacing w:after="60" w:before="0" w:line="276"/>
      </w:pPr>
      <w:r>
        <w:rPr>
          <w:rFonts w:ascii="Calibri" w:cs="Calibri" w:eastAsia="Calibri" w:hAnsi="Calibri"/>
          <w:sz w:val="21"/>
          <w:szCs w:val="21"/>
        </w:rPr>
        <w:t xml:space="preserve"/>
      </w:r>
    </w:p>
    <w:p>
      <w:pPr>
        <w:pStyle w:val="Heading2"/>
        <w:keepNext/>
      </w:pPr>
      <w:r>
        <w:t xml:space="preserve">Les cinq règles à retenir</w:t>
      </w:r>
    </w:p>
    <w:p>
      <w:pPr>
        <w:pStyle w:val="ListParagraph"/>
        <w:numPr>
          <w:ilvl w:val="0"/>
          <w:numId w:val="2"/>
        </w:numPr>
        <w:spacing w:after="60" w:line="276"/>
      </w:pPr>
      <w:r>
        <w:rPr>
          <w:rFonts w:ascii="Calibri" w:cs="Calibri" w:eastAsia="Calibri" w:hAnsi="Calibri"/>
          <w:b/>
          <w:bCs/>
          <w:sz w:val="21"/>
          <w:szCs w:val="21"/>
        </w:rPr>
        <w:t xml:space="preserve">Un champ vide = donnée absente. </w:t>
      </w:r>
      <w:r>
        <w:rPr>
          <w:rFonts w:ascii="Calibri" w:cs="Calibri" w:eastAsia="Calibri" w:hAnsi="Calibri"/>
          <w:sz w:val="21"/>
          <w:szCs w:val="21"/>
        </w:rPr>
        <w:t xml:space="preserve">Jamais 0, jamais « Non » par défaut. Une donnée absente reçoit la note la plus basse ; une donnée décisionnelle absente rend le dossier « Dossier incomplet ».</w:t>
      </w:r>
    </w:p>
    <w:p>
      <w:pPr>
        <w:pStyle w:val="ListParagraph"/>
        <w:numPr>
          <w:ilvl w:val="0"/>
          <w:numId w:val="2"/>
        </w:numPr>
        <w:spacing w:after="60" w:line="276"/>
      </w:pPr>
      <w:r>
        <w:rPr>
          <w:rFonts w:ascii="Calibri" w:cs="Calibri" w:eastAsia="Calibri" w:hAnsi="Calibri"/>
          <w:b/>
          <w:bCs/>
          <w:sz w:val="21"/>
          <w:szCs w:val="21"/>
        </w:rPr>
        <w:t xml:space="preserve">Chaque valeur saisie doit renvoyer à une pièce datée. </w:t>
      </w:r>
      <w:r>
        <w:rPr>
          <w:rFonts w:ascii="Calibri" w:cs="Calibri" w:eastAsia="Calibri" w:hAnsi="Calibri"/>
          <w:sz w:val="21"/>
          <w:szCs w:val="21"/>
        </w:rPr>
        <w:t xml:space="preserve">La section 5 donne, pour chaque donnée, la pièce source et la méthode de calcul.</w:t>
      </w:r>
    </w:p>
    <w:p>
      <w:pPr>
        <w:pStyle w:val="ListParagraph"/>
        <w:numPr>
          <w:ilvl w:val="0"/>
          <w:numId w:val="2"/>
        </w:numPr>
        <w:spacing w:after="60" w:line="276"/>
      </w:pPr>
      <w:r>
        <w:rPr>
          <w:rFonts w:ascii="Calibri" w:cs="Calibri" w:eastAsia="Calibri" w:hAnsi="Calibri"/>
          <w:b/>
          <w:bCs/>
          <w:sz w:val="21"/>
          <w:szCs w:val="21"/>
        </w:rPr>
        <w:t xml:space="preserve">Synchronisez avant de calculer. </w:t>
      </w:r>
      <w:r>
        <w:rPr>
          <w:rFonts w:ascii="Calibri" w:cs="Calibri" w:eastAsia="Calibri" w:hAnsi="Calibri"/>
          <w:sz w:val="21"/>
          <w:szCs w:val="21"/>
        </w:rPr>
        <w:t xml:space="preserve">Le bouton « Synchroniser vers le scoring » reporte automatiquement les données issues du suivi (ventes, autorisations, financement des acquéreurs, impayés, arrêt de chantier…).</w:t>
      </w:r>
    </w:p>
    <w:p>
      <w:pPr>
        <w:pStyle w:val="ListParagraph"/>
        <w:numPr>
          <w:ilvl w:val="0"/>
          <w:numId w:val="2"/>
        </w:numPr>
        <w:spacing w:after="60" w:line="276"/>
      </w:pPr>
      <w:r>
        <w:rPr>
          <w:rFonts w:ascii="Calibri" w:cs="Calibri" w:eastAsia="Calibri" w:hAnsi="Calibri"/>
          <w:b/>
          <w:bCs/>
          <w:sz w:val="21"/>
          <w:szCs w:val="21"/>
        </w:rPr>
        <w:t xml:space="preserve">Lisez l'encart « Lecture du résultat ». </w:t>
      </w:r>
      <w:r>
        <w:rPr>
          <w:rFonts w:ascii="Calibri" w:cs="Calibri" w:eastAsia="Calibri" w:hAnsi="Calibri"/>
          <w:sz w:val="21"/>
          <w:szCs w:val="21"/>
        </w:rPr>
        <w:t xml:space="preserve">Il liste les données manquantes, les conditions à lever et les alertes qui imposent un retour en comité.</w:t>
      </w:r>
    </w:p>
    <w:p>
      <w:pPr>
        <w:pStyle w:val="ListParagraph"/>
        <w:numPr>
          <w:ilvl w:val="0"/>
          <w:numId w:val="2"/>
        </w:numPr>
        <w:spacing w:after="60" w:line="276"/>
      </w:pPr>
      <w:r>
        <w:rPr>
          <w:rFonts w:ascii="Calibri" w:cs="Calibri" w:eastAsia="Calibri" w:hAnsi="Calibri"/>
          <w:b/>
          <w:bCs/>
          <w:sz w:val="21"/>
          <w:szCs w:val="21"/>
        </w:rPr>
        <w:t xml:space="preserve">Tout événement matériel se déclare au journal. </w:t>
      </w:r>
      <w:r>
        <w:rPr>
          <w:rFonts w:ascii="Calibri" w:cs="Calibri" w:eastAsia="Calibri" w:hAnsi="Calibri"/>
          <w:sz w:val="21"/>
          <w:szCs w:val="21"/>
        </w:rPr>
        <w:t xml:space="preserve">Impayé, arrêt de chantier, avenant, litige : il déclenche un nouveau calcul et, souvent, un retour en comité.</w:t>
      </w:r>
    </w:p>
    <w:p>
      <w:pPr>
        <w:spacing w:after="60" w:before="0" w:line="276"/>
      </w:pPr>
      <w:r>
        <w:rPr>
          <w:rFonts w:ascii="Calibri" w:cs="Calibri" w:eastAsia="Calibri" w:hAnsi="Calibri"/>
          <w:sz w:val="21"/>
          <w:szCs w:val="21"/>
        </w:rPr>
        <w:t xml:space="preserve"/>
      </w:r>
    </w:p>
    <w:tbl>
      <w:tblPr>
        <w:tblW w:type="dxa" w:w="9638"/>
        <w:tblBorders>
          <w:top w:val="single" w:color="C00000" w:sz="4"/>
          <w:left w:val="single" w:color="C00000" w:sz="4"/>
          <w:bottom w:val="single" w:color="C00000" w:sz="4"/>
          <w:right w:val="single" w:color="C00000" w:sz="4"/>
          <w:insideH w:val="none"/>
          <w:insideV w:val="none"/>
        </w:tblBorders>
      </w:tblPr>
      <w:tblGrid>
        <w:gridCol w:w="9638"/>
      </w:tblGrid>
      <w:tr>
        <w:tc>
          <w:tcPr>
            <w:tcW w:type="dxa" w:w="9638"/>
            <w:shd w:fill="FDECEA" w:color="auto" w:val="clear"/>
            <w:tcMar>
              <w:top w:type="dxa" w:w="100"/>
              <w:left w:type="dxa" w:w="160"/>
              <w:bottom w:type="dxa" w:w="100"/>
              <w:right w:type="dxa" w:w="160"/>
            </w:tcMar>
          </w:tcPr>
          <w:p>
            <w:pPr>
              <w:spacing w:after="40"/>
            </w:pPr>
            <w:r>
              <w:rPr>
                <w:rFonts w:ascii="Calibri" w:cs="Calibri" w:eastAsia="Calibri" w:hAnsi="Calibri"/>
                <w:b/>
                <w:bCs/>
                <w:color w:val="C00000"/>
                <w:sz w:val="21"/>
                <w:szCs w:val="21"/>
              </w:rPr>
              <w:t xml:space="preserve">Données décisionnelles — à renseigner obligatoirement</w:t>
            </w:r>
          </w:p>
          <w:p>
            <w:pPr>
              <w:spacing w:after="0" w:line="276"/>
            </w:pPr>
            <w:r>
              <w:rPr>
                <w:rFonts w:ascii="Calibri" w:cs="Calibri" w:eastAsia="Calibri" w:hAnsi="Calibri"/>
                <w:sz w:val="21"/>
                <w:szCs w:val="21"/>
              </w:rPr>
              <w:t xml:space="preserve">Sans elles, la décision est « Dossier incomplet » : Retard de paiement (jours) · Cash coverage (x) · Arrêt du projet (mois) · Retard chantier (mois) · Apport effectif injecté / prévu (%) · Foncier &amp; autorisations · Préventes sécurisées (%) · Impasse brute (%) · Marge brute (%). Pour le retard de paiement, le retard de chantier et la durée d'arrêt, saisir 0 lorsqu'il n'y en a pas.</w:t>
            </w:r>
          </w:p>
        </w:tc>
      </w:tr>
    </w:tbl>
    <w:p>
      <w:r>
        <w:br w:type="page"/>
      </w:r>
    </w:p>
    <w:p>
      <w:pPr>
        <w:pStyle w:val="Heading1"/>
      </w:pPr>
      <w:r>
        <w:t xml:space="preserve">2. Votre rôle et le circuit du dossier</w:t>
      </w:r>
    </w:p>
    <w:p>
      <w:pPr>
        <w:spacing w:after="120" w:before="0" w:line="276"/>
      </w:pPr>
      <w:r>
        <w:rPr>
          <w:rFonts w:ascii="Calibri" w:cs="Calibri" w:eastAsia="Calibri" w:hAnsi="Calibri"/>
          <w:sz w:val="21"/>
          <w:szCs w:val="21"/>
        </w:rPr>
        <w:t xml:space="preserve">Dans l'application, le chargé d'affaires peut consulter et modifier ses projets, lancer un calcul et exporter le dossier de comité. Il ne valide pas un score et ne décide pas : ces étapes relèvent de la contre-étude et de la délégation.</w:t>
      </w:r>
    </w:p>
    <w:tbl>
      <w:tblPr>
        <w:tblW w:type="dxa" w:w="9638"/>
        <w:tblBorders>
          <w:top w:val="single" w:color="AEB6C6" w:sz="2"/>
          <w:left w:val="single" w:color="AEB6C6" w:sz="2"/>
          <w:bottom w:val="single" w:color="AEB6C6" w:sz="2"/>
          <w:right w:val="single" w:color="AEB6C6" w:sz="2"/>
          <w:insideH w:val="single" w:color="D0D6E2" w:sz="1"/>
          <w:insideV w:val="single" w:color="D0D6E2" w:sz="1"/>
        </w:tblBorders>
      </w:tblPr>
      <w:tblGrid>
        <w:gridCol w:w="3000"/>
        <w:gridCol w:w="6638"/>
      </w:tblGrid>
      <w:tr>
        <w:trPr>
          <w:cantSplit/>
          <w:tblHeader/>
        </w:trPr>
        <w:tc>
          <w:tcPr>
            <w:tcW w:type="dxa" w:w="30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Rôle</w:t>
            </w:r>
          </w:p>
        </w:tc>
        <w:tc>
          <w:tcPr>
            <w:tcW w:type="dxa" w:w="6638"/>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Ce qu'il fait</w:t>
            </w:r>
          </w:p>
        </w:tc>
      </w:tr>
      <w:tr>
        <w:trPr>
          <w:cantSplit/>
        </w:trPr>
        <w:tc>
          <w:tcPr>
            <w:tcW w:type="dxa" w:w="3000"/>
            <w:tcMar>
              <w:top w:type="dxa" w:w="40"/>
              <w:left w:type="dxa" w:w="80"/>
              <w:bottom w:type="dxa" w:w="40"/>
              <w:right w:type="dxa" w:w="80"/>
            </w:tcMar>
          </w:tcPr>
          <w:p>
            <w:pPr>
              <w:spacing w:after="0" w:line="240"/>
            </w:pPr>
            <w:r>
              <w:rPr>
                <w:rFonts w:ascii="Calibri" w:cs="Calibri" w:eastAsia="Calibri" w:hAnsi="Calibri"/>
                <w:b w:val="false"/>
                <w:bCs w:val="false"/>
                <w:sz w:val="17"/>
                <w:szCs w:val="17"/>
              </w:rPr>
              <w:t xml:space="preserve">Administrateur</w:t>
            </w:r>
          </w:p>
        </w:tc>
        <w:tc>
          <w:tcPr>
            <w:tcW w:type="dxa" w:w="6638"/>
            <w:tcMar>
              <w:top w:type="dxa" w:w="40"/>
              <w:left w:type="dxa" w:w="80"/>
              <w:bottom w:type="dxa" w:w="40"/>
              <w:right w:type="dxa" w:w="80"/>
            </w:tcMar>
          </w:tcPr>
          <w:p>
            <w:pPr>
              <w:spacing w:after="0" w:line="240"/>
            </w:pPr>
            <w:r>
              <w:rPr>
                <w:rFonts w:ascii="Calibri" w:cs="Calibri" w:eastAsia="Calibri" w:hAnsi="Calibri"/>
                <w:sz w:val="17"/>
                <w:szCs w:val="17"/>
              </w:rPr>
              <w:t xml:space="preserve">Administration des utilisateurs, du modèle et des référentiels.</w:t>
            </w:r>
          </w:p>
        </w:tc>
      </w:tr>
      <w:tr>
        <w:trPr>
          <w:cantSplit/>
        </w:trPr>
        <w:tc>
          <w:tcPr>
            <w:tcW w:type="dxa" w:w="30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7"/>
                <w:szCs w:val="17"/>
              </w:rPr>
              <w:t xml:space="preserve">Contre-étude (Risque)</w:t>
            </w:r>
          </w:p>
        </w:tc>
        <w:tc>
          <w:tcPr>
            <w:tcW w:type="dxa" w:w="66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Contre-étude : vérifie les données, recalcule, valide le score ou renvoie le dossier.</w:t>
            </w:r>
          </w:p>
        </w:tc>
      </w:tr>
      <w:tr>
        <w:trPr>
          <w:cantSplit/>
        </w:trPr>
        <w:tc>
          <w:tcPr>
            <w:tcW w:type="dxa" w:w="3000"/>
            <w:tcMar>
              <w:top w:type="dxa" w:w="40"/>
              <w:left w:type="dxa" w:w="80"/>
              <w:bottom w:type="dxa" w:w="40"/>
              <w:right w:type="dxa" w:w="80"/>
            </w:tcMar>
          </w:tcPr>
          <w:p>
            <w:pPr>
              <w:spacing w:after="0" w:line="240"/>
            </w:pPr>
            <w:r>
              <w:rPr>
                <w:rFonts w:ascii="Calibri" w:cs="Calibri" w:eastAsia="Calibri" w:hAnsi="Calibri"/>
                <w:b/>
                <w:bCs/>
                <w:color w:val="1F3864"/>
                <w:sz w:val="17"/>
                <w:szCs w:val="17"/>
              </w:rPr>
              <w:t xml:space="preserve">Chargé d'affaires</w:t>
            </w:r>
          </w:p>
        </w:tc>
        <w:tc>
          <w:tcPr>
            <w:tcW w:type="dxa" w:w="6638"/>
            <w:tcMar>
              <w:top w:type="dxa" w:w="40"/>
              <w:left w:type="dxa" w:w="80"/>
              <w:bottom w:type="dxa" w:w="40"/>
              <w:right w:type="dxa" w:w="80"/>
            </w:tcMar>
          </w:tcPr>
          <w:p>
            <w:pPr>
              <w:spacing w:after="0" w:line="240"/>
            </w:pPr>
            <w:r>
              <w:rPr>
                <w:rFonts w:ascii="Calibri" w:cs="Calibri" w:eastAsia="Calibri" w:hAnsi="Calibri"/>
                <w:sz w:val="17"/>
                <w:szCs w:val="17"/>
              </w:rPr>
              <w:t xml:space="preserve">Monte le dossier, réunit les pièces, saisit, synchronise, calcule le score, soumet, assure le suivi.</w:t>
            </w:r>
          </w:p>
        </w:tc>
      </w:tr>
      <w:tr>
        <w:trPr>
          <w:cantSplit/>
        </w:trPr>
        <w:tc>
          <w:tcPr>
            <w:tcW w:type="dxa" w:w="30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7"/>
                <w:szCs w:val="17"/>
              </w:rPr>
              <w:t xml:space="preserve">Directeur de centre d'affaires</w:t>
            </w:r>
          </w:p>
        </w:tc>
        <w:tc>
          <w:tcPr>
            <w:tcW w:type="dxa" w:w="66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Émet l'avis front ; peut renvoyer le dossier au chargé d'affaires.</w:t>
            </w:r>
          </w:p>
        </w:tc>
      </w:tr>
      <w:tr>
        <w:trPr>
          <w:cantSplit/>
        </w:trPr>
        <w:tc>
          <w:tcPr>
            <w:tcW w:type="dxa" w:w="3000"/>
            <w:tcMar>
              <w:top w:type="dxa" w:w="40"/>
              <w:left w:type="dxa" w:w="80"/>
              <w:bottom w:type="dxa" w:w="40"/>
              <w:right w:type="dxa" w:w="80"/>
            </w:tcMar>
          </w:tcPr>
          <w:p>
            <w:pPr>
              <w:spacing w:after="0" w:line="240"/>
            </w:pPr>
            <w:r>
              <w:rPr>
                <w:rFonts w:ascii="Calibri" w:cs="Calibri" w:eastAsia="Calibri" w:hAnsi="Calibri"/>
                <w:b w:val="false"/>
                <w:bCs w:val="false"/>
                <w:sz w:val="17"/>
                <w:szCs w:val="17"/>
              </w:rPr>
              <w:t xml:space="preserve">Directeur de région</w:t>
            </w:r>
          </w:p>
        </w:tc>
        <w:tc>
          <w:tcPr>
            <w:tcW w:type="dxa" w:w="6638"/>
            <w:tcMar>
              <w:top w:type="dxa" w:w="40"/>
              <w:left w:type="dxa" w:w="80"/>
              <w:bottom w:type="dxa" w:w="40"/>
              <w:right w:type="dxa" w:w="80"/>
            </w:tcMar>
          </w:tcPr>
          <w:p>
            <w:pPr>
              <w:spacing w:after="0" w:line="240"/>
            </w:pPr>
            <w:r>
              <w:rPr>
                <w:rFonts w:ascii="Calibri" w:cs="Calibri" w:eastAsia="Calibri" w:hAnsi="Calibri"/>
                <w:sz w:val="17"/>
                <w:szCs w:val="17"/>
              </w:rPr>
              <w:t xml:space="preserve">Avis et décision dans sa délégation.</w:t>
            </w:r>
          </w:p>
        </w:tc>
      </w:tr>
      <w:tr>
        <w:trPr>
          <w:cantSplit/>
        </w:trPr>
        <w:tc>
          <w:tcPr>
            <w:tcW w:type="dxa" w:w="30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7"/>
                <w:szCs w:val="17"/>
              </w:rPr>
              <w:t xml:space="preserve">Comité de crédit</w:t>
            </w:r>
          </w:p>
        </w:tc>
        <w:tc>
          <w:tcPr>
            <w:tcW w:type="dxa" w:w="66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Décision ou comité de crédit.</w:t>
            </w:r>
          </w:p>
        </w:tc>
      </w:tr>
      <w:tr>
        <w:trPr>
          <w:cantSplit/>
        </w:trPr>
        <w:tc>
          <w:tcPr>
            <w:tcW w:type="dxa" w:w="3000"/>
            <w:tcMar>
              <w:top w:type="dxa" w:w="40"/>
              <w:left w:type="dxa" w:w="80"/>
              <w:bottom w:type="dxa" w:w="40"/>
              <w:right w:type="dxa" w:w="80"/>
            </w:tcMar>
          </w:tcPr>
          <w:p>
            <w:pPr>
              <w:spacing w:after="0" w:line="240"/>
            </w:pPr>
            <w:r>
              <w:rPr>
                <w:rFonts w:ascii="Calibri" w:cs="Calibri" w:eastAsia="Calibri" w:hAnsi="Calibri"/>
                <w:b w:val="false"/>
                <w:bCs w:val="false"/>
                <w:sz w:val="17"/>
                <w:szCs w:val="17"/>
              </w:rPr>
              <w:t xml:space="preserve">Auditeur</w:t>
            </w:r>
          </w:p>
        </w:tc>
        <w:tc>
          <w:tcPr>
            <w:tcW w:type="dxa" w:w="6638"/>
            <w:tcMar>
              <w:top w:type="dxa" w:w="40"/>
              <w:left w:type="dxa" w:w="80"/>
              <w:bottom w:type="dxa" w:w="40"/>
              <w:right w:type="dxa" w:w="80"/>
            </w:tcMar>
          </w:tcPr>
          <w:p>
            <w:pPr>
              <w:spacing w:after="0" w:line="240"/>
            </w:pPr>
            <w:r>
              <w:rPr>
                <w:rFonts w:ascii="Calibri" w:cs="Calibri" w:eastAsia="Calibri" w:hAnsi="Calibri"/>
                <w:sz w:val="17"/>
                <w:szCs w:val="17"/>
              </w:rPr>
              <w:t xml:space="preserve">Consultation et piste d'audit.</w:t>
            </w:r>
          </w:p>
        </w:tc>
      </w:tr>
    </w:tbl>
    <w:p>
      <w:pPr>
        <w:pStyle w:val="Heading2"/>
        <w:keepNext/>
      </w:pPr>
      <w:r>
        <w:t xml:space="preserve">Le circuit</w:t>
      </w:r>
    </w:p>
    <w:tbl>
      <w:tblPr>
        <w:tblW w:type="dxa" w:w="9638"/>
        <w:tblBorders>
          <w:top w:val="single" w:color="AEB6C6" w:sz="2"/>
          <w:left w:val="single" w:color="AEB6C6" w:sz="2"/>
          <w:bottom w:val="single" w:color="AEB6C6" w:sz="2"/>
          <w:right w:val="single" w:color="AEB6C6" w:sz="2"/>
          <w:insideH w:val="single" w:color="D0D6E2" w:sz="1"/>
          <w:insideV w:val="single" w:color="D0D6E2" w:sz="1"/>
        </w:tblBorders>
      </w:tblPr>
      <w:tblGrid>
        <w:gridCol w:w="3400"/>
        <w:gridCol w:w="6238"/>
      </w:tblGrid>
      <w:tr>
        <w:trPr>
          <w:cantSplit/>
          <w:tblHeader/>
        </w:trPr>
        <w:tc>
          <w:tcPr>
            <w:tcW w:type="dxa" w:w="34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Étape</w:t>
            </w:r>
          </w:p>
        </w:tc>
        <w:tc>
          <w:tcPr>
            <w:tcW w:type="dxa" w:w="6238"/>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Actions possibles</w:t>
            </w:r>
          </w:p>
        </w:tc>
      </w:tr>
      <w:tr>
        <w:trPr>
          <w:cantSplit/>
        </w:trPr>
        <w:tc>
          <w:tcPr>
            <w:tcW w:type="dxa" w:w="3400"/>
            <w:tcMar>
              <w:top w:type="dxa" w:w="40"/>
              <w:left w:type="dxa" w:w="80"/>
              <w:bottom w:type="dxa" w:w="40"/>
              <w:right w:type="dxa" w:w="80"/>
            </w:tcMar>
          </w:tcPr>
          <w:p>
            <w:pPr>
              <w:spacing w:after="0" w:line="240"/>
            </w:pPr>
            <w:r>
              <w:rPr>
                <w:rFonts w:ascii="Calibri" w:cs="Calibri" w:eastAsia="Calibri" w:hAnsi="Calibri"/>
                <w:b/>
                <w:bCs/>
                <w:sz w:val="17"/>
                <w:szCs w:val="17"/>
              </w:rPr>
              <w:t xml:space="preserve">Brouillon (chargé d'affaires)</w:t>
            </w:r>
          </w:p>
        </w:tc>
        <w:tc>
          <w:tcPr>
            <w:tcW w:type="dxa" w:w="6238"/>
            <w:tcMar>
              <w:top w:type="dxa" w:w="40"/>
              <w:left w:type="dxa" w:w="80"/>
              <w:bottom w:type="dxa" w:w="40"/>
              <w:right w:type="dxa" w:w="80"/>
            </w:tcMar>
          </w:tcPr>
          <w:p>
            <w:pPr>
              <w:spacing w:after="0" w:line="240"/>
            </w:pPr>
            <w:r>
              <w:rPr>
                <w:rFonts w:ascii="Calibri" w:cs="Calibri" w:eastAsia="Calibri" w:hAnsi="Calibri"/>
                <w:sz w:val="17"/>
                <w:szCs w:val="17"/>
              </w:rPr>
              <w:t xml:space="preserve">Soumettre</w:t>
            </w:r>
          </w:p>
        </w:tc>
      </w:tr>
      <w:tr>
        <w:trPr>
          <w:cantSplit/>
        </w:trPr>
        <w:tc>
          <w:tcPr>
            <w:tcW w:type="dxa" w:w="34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Soumis</w:t>
            </w:r>
          </w:p>
        </w:tc>
        <w:tc>
          <w:tcPr>
            <w:tcW w:type="dxa" w:w="62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Prendre pour avis (DCA) · Prendre en contre-étude · Rejeter</w:t>
            </w:r>
          </w:p>
        </w:tc>
      </w:tr>
      <w:tr>
        <w:trPr>
          <w:cantSplit/>
        </w:trPr>
        <w:tc>
          <w:tcPr>
            <w:tcW w:type="dxa" w:w="3400"/>
            <w:tcMar>
              <w:top w:type="dxa" w:w="40"/>
              <w:left w:type="dxa" w:w="80"/>
              <w:bottom w:type="dxa" w:w="40"/>
              <w:right w:type="dxa" w:w="80"/>
            </w:tcMar>
          </w:tcPr>
          <w:p>
            <w:pPr>
              <w:spacing w:after="0" w:line="240"/>
            </w:pPr>
            <w:r>
              <w:rPr>
                <w:rFonts w:ascii="Calibri" w:cs="Calibri" w:eastAsia="Calibri" w:hAnsi="Calibri"/>
                <w:b/>
                <w:bCs/>
                <w:sz w:val="17"/>
                <w:szCs w:val="17"/>
              </w:rPr>
              <w:t xml:space="preserve">Avis directeur de centre d'affaires</w:t>
            </w:r>
          </w:p>
        </w:tc>
        <w:tc>
          <w:tcPr>
            <w:tcW w:type="dxa" w:w="6238"/>
            <w:tcMar>
              <w:top w:type="dxa" w:w="40"/>
              <w:left w:type="dxa" w:w="80"/>
              <w:bottom w:type="dxa" w:w="40"/>
              <w:right w:type="dxa" w:w="80"/>
            </w:tcMar>
          </w:tcPr>
          <w:p>
            <w:pPr>
              <w:spacing w:after="0" w:line="240"/>
            </w:pPr>
            <w:r>
              <w:rPr>
                <w:rFonts w:ascii="Calibri" w:cs="Calibri" w:eastAsia="Calibri" w:hAnsi="Calibri"/>
                <w:sz w:val="17"/>
                <w:szCs w:val="17"/>
              </w:rPr>
              <w:t xml:space="preserve">Avis favorable — transmettre à la contre-étude · Renvoyer au chargé d'affaires · Avis défavorable — rejeter</w:t>
            </w:r>
          </w:p>
        </w:tc>
      </w:tr>
      <w:tr>
        <w:trPr>
          <w:cantSplit/>
        </w:trPr>
        <w:tc>
          <w:tcPr>
            <w:tcW w:type="dxa" w:w="34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Contre-étude (Risque)</w:t>
            </w:r>
          </w:p>
        </w:tc>
        <w:tc>
          <w:tcPr>
            <w:tcW w:type="dxa" w:w="62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Score validé — transmettre à la décision · Renvoyer au chargé d'affaires · Rejeter</w:t>
            </w:r>
          </w:p>
        </w:tc>
      </w:tr>
      <w:tr>
        <w:trPr>
          <w:cantSplit/>
        </w:trPr>
        <w:tc>
          <w:tcPr>
            <w:tcW w:type="dxa" w:w="3400"/>
            <w:tcMar>
              <w:top w:type="dxa" w:w="40"/>
              <w:left w:type="dxa" w:w="80"/>
              <w:bottom w:type="dxa" w:w="40"/>
              <w:right w:type="dxa" w:w="80"/>
            </w:tcMar>
          </w:tcPr>
          <w:p>
            <w:pPr>
              <w:spacing w:after="0" w:line="240"/>
            </w:pPr>
            <w:r>
              <w:rPr>
                <w:rFonts w:ascii="Calibri" w:cs="Calibri" w:eastAsia="Calibri" w:hAnsi="Calibri"/>
                <w:b/>
                <w:bCs/>
                <w:sz w:val="17"/>
                <w:szCs w:val="17"/>
              </w:rPr>
              <w:t xml:space="preserve">Décision (délégation)</w:t>
            </w:r>
          </w:p>
        </w:tc>
        <w:tc>
          <w:tcPr>
            <w:tcW w:type="dxa" w:w="6238"/>
            <w:tcMar>
              <w:top w:type="dxa" w:w="40"/>
              <w:left w:type="dxa" w:w="80"/>
              <w:bottom w:type="dxa" w:w="40"/>
              <w:right w:type="dxa" w:w="80"/>
            </w:tcMar>
          </w:tcPr>
          <w:p>
            <w:pPr>
              <w:spacing w:after="0" w:line="240"/>
            </w:pPr>
            <w:r>
              <w:rPr>
                <w:rFonts w:ascii="Calibri" w:cs="Calibri" w:eastAsia="Calibri" w:hAnsi="Calibri"/>
                <w:sz w:val="17"/>
                <w:szCs w:val="17"/>
              </w:rPr>
              <w:t xml:space="preserve">Passer en comité · Approuver · Rejeter</w:t>
            </w:r>
          </w:p>
        </w:tc>
      </w:tr>
      <w:tr>
        <w:trPr>
          <w:cantSplit/>
        </w:trPr>
        <w:tc>
          <w:tcPr>
            <w:tcW w:type="dxa" w:w="34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Comité de crédit</w:t>
            </w:r>
          </w:p>
        </w:tc>
        <w:tc>
          <w:tcPr>
            <w:tcW w:type="dxa" w:w="62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Décision favorable · Décision défavorable</w:t>
            </w:r>
          </w:p>
        </w:tc>
      </w:tr>
      <w:tr>
        <w:trPr>
          <w:cantSplit/>
        </w:trPr>
        <w:tc>
          <w:tcPr>
            <w:tcW w:type="dxa" w:w="3400"/>
            <w:tcMar>
              <w:top w:type="dxa" w:w="40"/>
              <w:left w:type="dxa" w:w="80"/>
              <w:bottom w:type="dxa" w:w="40"/>
              <w:right w:type="dxa" w:w="80"/>
            </w:tcMar>
          </w:tcPr>
          <w:p>
            <w:pPr>
              <w:spacing w:after="0" w:line="240"/>
            </w:pPr>
            <w:r>
              <w:rPr>
                <w:rFonts w:ascii="Calibri" w:cs="Calibri" w:eastAsia="Calibri" w:hAnsi="Calibri"/>
                <w:b/>
                <w:bCs/>
                <w:sz w:val="17"/>
                <w:szCs w:val="17"/>
              </w:rPr>
              <w:t xml:space="preserve">Approuvé</w:t>
            </w:r>
          </w:p>
        </w:tc>
        <w:tc>
          <w:tcPr>
            <w:tcW w:type="dxa" w:w="6238"/>
            <w:tcMar>
              <w:top w:type="dxa" w:w="40"/>
              <w:left w:type="dxa" w:w="80"/>
              <w:bottom w:type="dxa" w:w="40"/>
              <w:right w:type="dxa" w:w="80"/>
            </w:tcMar>
          </w:tcPr>
          <w:p>
            <w:pPr>
              <w:spacing w:after="0" w:line="240"/>
            </w:pPr>
            <w:r>
              <w:rPr>
                <w:rFonts w:ascii="Calibri" w:cs="Calibri" w:eastAsia="Calibri" w:hAnsi="Calibri"/>
                <w:sz w:val="17"/>
                <w:szCs w:val="17"/>
              </w:rPr>
              <w:t xml:space="preserve">Étape finale</w:t>
            </w:r>
          </w:p>
        </w:tc>
      </w:tr>
      <w:tr>
        <w:trPr>
          <w:cantSplit/>
        </w:trPr>
        <w:tc>
          <w:tcPr>
            <w:tcW w:type="dxa" w:w="34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Rejeté</w:t>
            </w:r>
          </w:p>
        </w:tc>
        <w:tc>
          <w:tcPr>
            <w:tcW w:type="dxa" w:w="62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Reprendre le dossier</w:t>
            </w:r>
          </w:p>
        </w:tc>
      </w:tr>
    </w:tbl>
    <w:p>
      <w:pPr>
        <w:spacing w:after="120" w:before="100" w:line="276"/>
      </w:pPr>
      <w:r>
        <w:rPr>
          <w:rFonts w:ascii="Calibri" w:cs="Calibri" w:eastAsia="Calibri" w:hAnsi="Calibri"/>
          <w:b/>
          <w:bCs/>
          <w:sz w:val="21"/>
          <w:szCs w:val="21"/>
        </w:rPr>
        <w:t xml:space="preserve">À retenir : </w:t>
      </w:r>
      <w:r>
        <w:rPr>
          <w:rFonts w:ascii="Calibri" w:cs="Calibri" w:eastAsia="Calibri" w:hAnsi="Calibri"/>
          <w:sz w:val="21"/>
          <w:szCs w:val="21"/>
        </w:rPr>
        <w:t xml:space="preserve">un dossier renvoyé revient à l'état « Brouillon (chargé d'affaires) ». Complétez, recalculez, puis soumettez de nouveau. Chaque transition est tracée avec son auteur.</w:t>
      </w:r>
    </w:p>
    <w:p>
      <w:r>
        <w:br w:type="page"/>
      </w:r>
    </w:p>
    <w:p>
      <w:pPr>
        <w:pStyle w:val="Heading1"/>
      </w:pPr>
      <w:r>
        <w:t xml:space="preserve">3. Le parcours en 10 étapes</w:t>
      </w:r>
    </w:p>
    <w:tbl>
      <w:tblPr>
        <w:tblW w:type="dxa" w:w="9638"/>
        <w:tblBorders>
          <w:top w:val="single" w:color="AEB6C6" w:sz="2"/>
          <w:left w:val="single" w:color="AEB6C6" w:sz="2"/>
          <w:bottom w:val="single" w:color="AEB6C6" w:sz="2"/>
          <w:right w:val="single" w:color="AEB6C6" w:sz="2"/>
          <w:insideH w:val="single" w:color="D0D6E2" w:sz="1"/>
          <w:insideV w:val="single" w:color="D0D6E2" w:sz="1"/>
        </w:tblBorders>
      </w:tblPr>
      <w:tblGrid>
        <w:gridCol w:w="500"/>
        <w:gridCol w:w="2600"/>
        <w:gridCol w:w="6538"/>
      </w:tblGrid>
      <w:tr>
        <w:trPr>
          <w:cantSplit/>
          <w:tblHeader/>
        </w:trPr>
        <w:tc>
          <w:tcPr>
            <w:tcW w:type="dxa" w:w="5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w:t>
            </w:r>
          </w:p>
        </w:tc>
        <w:tc>
          <w:tcPr>
            <w:tcW w:type="dxa" w:w="26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Étape</w:t>
            </w:r>
          </w:p>
        </w:tc>
        <w:tc>
          <w:tcPr>
            <w:tcW w:type="dxa" w:w="6538"/>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Où et comment</w:t>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b/>
                <w:bCs/>
                <w:color w:val="1F3864"/>
                <w:sz w:val="17"/>
                <w:szCs w:val="17"/>
              </w:rPr>
              <w:t xml:space="preserve">1</w:t>
            </w:r>
          </w:p>
        </w:tc>
        <w:tc>
          <w:tcPr>
            <w:tcW w:type="dxa" w:w="2600"/>
            <w:tcMar>
              <w:top w:type="dxa" w:w="40"/>
              <w:left w:type="dxa" w:w="80"/>
              <w:bottom w:type="dxa" w:w="40"/>
              <w:right w:type="dxa" w:w="80"/>
            </w:tcMar>
          </w:tcPr>
          <w:p>
            <w:pPr>
              <w:spacing w:after="0" w:line="240"/>
            </w:pPr>
            <w:r>
              <w:rPr>
                <w:rFonts w:ascii="Calibri" w:cs="Calibri" w:eastAsia="Calibri" w:hAnsi="Calibri"/>
                <w:b/>
                <w:bCs/>
                <w:sz w:val="17"/>
                <w:szCs w:val="17"/>
              </w:rPr>
              <w:t xml:space="preserve">Réunir les pièces</w:t>
            </w:r>
          </w:p>
        </w:tc>
        <w:tc>
          <w:tcPr>
            <w:tcW w:type="dxa" w:w="6538"/>
            <w:tcMar>
              <w:top w:type="dxa" w:w="40"/>
              <w:left w:type="dxa" w:w="80"/>
              <w:bottom w:type="dxa" w:w="40"/>
              <w:right w:type="dxa" w:w="80"/>
            </w:tcMar>
          </w:tcPr>
          <w:p>
            <w:pPr>
              <w:spacing w:after="0" w:line="240"/>
            </w:pPr>
            <w:r>
              <w:rPr>
                <w:rFonts w:ascii="Calibri" w:cs="Calibri" w:eastAsia="Calibri" w:hAnsi="Calibri"/>
                <w:sz w:val="17"/>
                <w:szCs w:val="17"/>
              </w:rPr>
              <w:t xml:space="preserve">Liste de la section 4 (check-list en annexe A) : chaque pièce datée, lisible, rattachée au bon programme.</w:t>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b/>
                <w:bCs/>
                <w:color w:val="1F3864"/>
                <w:sz w:val="17"/>
                <w:szCs w:val="17"/>
              </w:rPr>
              <w:t xml:space="preserve">2</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Créer ou mettre à jour le promoteur</w:t>
            </w:r>
          </w:p>
        </w:tc>
        <w:tc>
          <w:tcPr>
            <w:tcW w:type="dxa" w:w="65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Promoteurs › Nouveau promoteur : signalétique, groupe d'intérêt, liens avec les autres sociétés.</w:t>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b/>
                <w:bCs/>
                <w:color w:val="1F3864"/>
                <w:sz w:val="17"/>
                <w:szCs w:val="17"/>
              </w:rPr>
              <w:t xml:space="preserve">3</w:t>
            </w:r>
          </w:p>
        </w:tc>
        <w:tc>
          <w:tcPr>
            <w:tcW w:type="dxa" w:w="2600"/>
            <w:tcMar>
              <w:top w:type="dxa" w:w="40"/>
              <w:left w:type="dxa" w:w="80"/>
              <w:bottom w:type="dxa" w:w="40"/>
              <w:right w:type="dxa" w:w="80"/>
            </w:tcMar>
          </w:tcPr>
          <w:p>
            <w:pPr>
              <w:spacing w:after="0" w:line="240"/>
            </w:pPr>
            <w:r>
              <w:rPr>
                <w:rFonts w:ascii="Calibri" w:cs="Calibri" w:eastAsia="Calibri" w:hAnsi="Calibri"/>
                <w:b/>
                <w:bCs/>
                <w:sz w:val="17"/>
                <w:szCs w:val="17"/>
              </w:rPr>
              <w:t xml:space="preserve">Créer le projet</w:t>
            </w:r>
          </w:p>
        </w:tc>
        <w:tc>
          <w:tcPr>
            <w:tcW w:type="dxa" w:w="6538"/>
            <w:tcMar>
              <w:top w:type="dxa" w:w="40"/>
              <w:left w:type="dxa" w:w="80"/>
              <w:bottom w:type="dxa" w:w="40"/>
              <w:right w:type="dxa" w:w="80"/>
            </w:tcMar>
          </w:tcPr>
          <w:p>
            <w:pPr>
              <w:spacing w:after="0" w:line="240"/>
            </w:pPr>
            <w:r>
              <w:rPr>
                <w:rFonts w:ascii="Calibri" w:cs="Calibri" w:eastAsia="Calibri" w:hAnsi="Calibri"/>
                <w:sz w:val="17"/>
                <w:szCs w:val="17"/>
              </w:rPr>
              <w:t xml:space="preserve">Projets › Nouveau projet : identification, segment et zone du modèle, foncier, calendrier, montants, mode de vente.</w:t>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b/>
                <w:bCs/>
                <w:color w:val="1F3864"/>
                <w:sz w:val="17"/>
                <w:szCs w:val="17"/>
              </w:rPr>
              <w:t xml:space="preserve">4</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Renseigner le suivi</w:t>
            </w:r>
          </w:p>
        </w:tc>
        <w:tc>
          <w:tcPr>
            <w:tcW w:type="dxa" w:w="65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Fiche projet › Suivi : chaîne d'autorisations, nature du programme, quotité de désengagement, lots et financement des acquéreurs, facilités, événements, visites.</w:t>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b/>
                <w:bCs/>
                <w:color w:val="1F3864"/>
                <w:sz w:val="17"/>
                <w:szCs w:val="17"/>
              </w:rPr>
              <w:t xml:space="preserve">5</w:t>
            </w:r>
          </w:p>
        </w:tc>
        <w:tc>
          <w:tcPr>
            <w:tcW w:type="dxa" w:w="2600"/>
            <w:tcMar>
              <w:top w:type="dxa" w:w="40"/>
              <w:left w:type="dxa" w:w="80"/>
              <w:bottom w:type="dxa" w:w="40"/>
              <w:right w:type="dxa" w:w="80"/>
            </w:tcMar>
          </w:tcPr>
          <w:p>
            <w:pPr>
              <w:spacing w:after="0" w:line="240"/>
            </w:pPr>
            <w:r>
              <w:rPr>
                <w:rFonts w:ascii="Calibri" w:cs="Calibri" w:eastAsia="Calibri" w:hAnsi="Calibri"/>
                <w:b/>
                <w:bCs/>
                <w:sz w:val="17"/>
                <w:szCs w:val="17"/>
              </w:rPr>
              <w:t xml:space="preserve">Saisir les critères</w:t>
            </w:r>
          </w:p>
        </w:tc>
        <w:tc>
          <w:tcPr>
            <w:tcW w:type="dxa" w:w="6538"/>
            <w:tcMar>
              <w:top w:type="dxa" w:w="40"/>
              <w:left w:type="dxa" w:w="80"/>
              <w:bottom w:type="dxa" w:w="40"/>
              <w:right w:type="dxa" w:w="80"/>
            </w:tcMar>
          </w:tcPr>
          <w:p>
            <w:pPr>
              <w:spacing w:after="0" w:line="240"/>
            </w:pPr>
            <w:r>
              <w:rPr>
                <w:rFonts w:ascii="Calibri" w:cs="Calibri" w:eastAsia="Calibri" w:hAnsi="Calibri"/>
                <w:sz w:val="17"/>
                <w:szCs w:val="17"/>
              </w:rPr>
              <w:t xml:space="preserve">Wizard de scoring (7 étapes). Option : « Lecture IA des documents » pré-remplit, vous vérifiez chaque valeur.</w:t>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b/>
                <w:bCs/>
                <w:color w:val="1F3864"/>
                <w:sz w:val="17"/>
                <w:szCs w:val="17"/>
              </w:rPr>
              <w:t xml:space="preserve">6</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Synchroniser vers le scoring</w:t>
            </w:r>
          </w:p>
        </w:tc>
        <w:tc>
          <w:tcPr>
            <w:tcW w:type="dxa" w:w="65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Reporte automatiquement préventes, ventes, avancement, autorisations, ventes sécurisées, désengagement, division des risques, impayés, arrêt de chantier.</w:t>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b/>
                <w:bCs/>
                <w:color w:val="1F3864"/>
                <w:sz w:val="17"/>
                <w:szCs w:val="17"/>
              </w:rPr>
              <w:t xml:space="preserve">7</w:t>
            </w:r>
          </w:p>
        </w:tc>
        <w:tc>
          <w:tcPr>
            <w:tcW w:type="dxa" w:w="2600"/>
            <w:tcMar>
              <w:top w:type="dxa" w:w="40"/>
              <w:left w:type="dxa" w:w="80"/>
              <w:bottom w:type="dxa" w:w="40"/>
              <w:right w:type="dxa" w:w="80"/>
            </w:tcMar>
          </w:tcPr>
          <w:p>
            <w:pPr>
              <w:spacing w:after="0" w:line="240"/>
            </w:pPr>
            <w:r>
              <w:rPr>
                <w:rFonts w:ascii="Calibri" w:cs="Calibri" w:eastAsia="Calibri" w:hAnsi="Calibri"/>
                <w:b/>
                <w:bCs/>
                <w:sz w:val="17"/>
                <w:szCs w:val="17"/>
              </w:rPr>
              <w:t xml:space="preserve">Calculer le score</w:t>
            </w:r>
          </w:p>
        </w:tc>
        <w:tc>
          <w:tcPr>
            <w:tcW w:type="dxa" w:w="6538"/>
            <w:tcMar>
              <w:top w:type="dxa" w:w="40"/>
              <w:left w:type="dxa" w:w="80"/>
              <w:bottom w:type="dxa" w:w="40"/>
              <w:right w:type="dxa" w:w="80"/>
            </w:tcMar>
          </w:tcPr>
          <w:p>
            <w:pPr>
              <w:spacing w:after="0" w:line="240"/>
            </w:pPr>
            <w:r>
              <w:rPr>
                <w:rFonts w:ascii="Calibri" w:cs="Calibri" w:eastAsia="Calibri" w:hAnsi="Calibri"/>
                <w:sz w:val="17"/>
                <w:szCs w:val="17"/>
              </w:rPr>
              <w:t xml:space="preserve">« Enregistrer &amp; calculer » : classification BAM, score, provision.</w:t>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b/>
                <w:bCs/>
                <w:color w:val="1F3864"/>
                <w:sz w:val="17"/>
                <w:szCs w:val="17"/>
              </w:rPr>
              <w:t xml:space="preserve">8</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Lire le résultat</w:t>
            </w:r>
          </w:p>
        </w:tc>
        <w:tc>
          <w:tcPr>
            <w:tcW w:type="dxa" w:w="65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Fiche projet › Scoring › « Lecture du résultat » : données manquantes, conditions, alertes, retour en comité.</w:t>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b/>
                <w:bCs/>
                <w:color w:val="1F3864"/>
                <w:sz w:val="17"/>
                <w:szCs w:val="17"/>
              </w:rPr>
              <w:t xml:space="preserve">9</w:t>
            </w:r>
          </w:p>
        </w:tc>
        <w:tc>
          <w:tcPr>
            <w:tcW w:type="dxa" w:w="2600"/>
            <w:tcMar>
              <w:top w:type="dxa" w:w="40"/>
              <w:left w:type="dxa" w:w="80"/>
              <w:bottom w:type="dxa" w:w="40"/>
              <w:right w:type="dxa" w:w="80"/>
            </w:tcMar>
          </w:tcPr>
          <w:p>
            <w:pPr>
              <w:spacing w:after="0" w:line="240"/>
            </w:pPr>
            <w:r>
              <w:rPr>
                <w:rFonts w:ascii="Calibri" w:cs="Calibri" w:eastAsia="Calibri" w:hAnsi="Calibri"/>
                <w:b/>
                <w:bCs/>
                <w:sz w:val="17"/>
                <w:szCs w:val="17"/>
              </w:rPr>
              <w:t xml:space="preserve">Compléter ou argumenter</w:t>
            </w:r>
          </w:p>
        </w:tc>
        <w:tc>
          <w:tcPr>
            <w:tcW w:type="dxa" w:w="6538"/>
            <w:tcMar>
              <w:top w:type="dxa" w:w="40"/>
              <w:left w:type="dxa" w:w="80"/>
              <w:bottom w:type="dxa" w:w="40"/>
              <w:right w:type="dxa" w:w="80"/>
            </w:tcMar>
          </w:tcPr>
          <w:p>
            <w:pPr>
              <w:spacing w:after="0" w:line="240"/>
            </w:pPr>
            <w:r>
              <w:rPr>
                <w:rFonts w:ascii="Calibri" w:cs="Calibri" w:eastAsia="Calibri" w:hAnsi="Calibri"/>
                <w:sz w:val="17"/>
                <w:szCs w:val="17"/>
              </w:rPr>
              <w:t xml:space="preserve">Dossier incomplet → compléter ; alertes → mitigants ; conditions → calendrier de levée.</w:t>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b/>
                <w:bCs/>
                <w:color w:val="1F3864"/>
                <w:sz w:val="17"/>
                <w:szCs w:val="17"/>
              </w:rPr>
              <w:t xml:space="preserve">10</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Soumettre</w:t>
            </w:r>
          </w:p>
        </w:tc>
        <w:tc>
          <w:tcPr>
            <w:tcW w:type="dxa" w:w="65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Circuit : avis du directeur de centre d'affaires, contre-étude Risque, décision ou comité.</w:t>
            </w:r>
          </w:p>
        </w:tc>
      </w:tr>
    </w:tbl>
    <w:p>
      <w:pPr>
        <w:spacing w:after="60" w:before="0" w:line="276"/>
      </w:pPr>
      <w:r>
        <w:rPr>
          <w:rFonts w:ascii="Calibri" w:cs="Calibri" w:eastAsia="Calibri" w:hAnsi="Calibri"/>
          <w:sz w:val="21"/>
          <w:szCs w:val="21"/>
        </w:rPr>
        <w:t xml:space="preserve"/>
      </w:r>
    </w:p>
    <w:tbl>
      <w:tblPr>
        <w:tblW w:type="dxa" w:w="9638"/>
        <w:tblBorders>
          <w:top w:val="single" w:color="2E5496" w:sz="4"/>
          <w:left w:val="single" w:color="2E5496" w:sz="4"/>
          <w:bottom w:val="single" w:color="2E5496" w:sz="4"/>
          <w:right w:val="single" w:color="2E5496" w:sz="4"/>
          <w:insideH w:val="none"/>
          <w:insideV w:val="none"/>
        </w:tblBorders>
      </w:tblPr>
      <w:tblGrid>
        <w:gridCol w:w="9638"/>
      </w:tblGrid>
      <w:tr>
        <w:tc>
          <w:tcPr>
            <w:tcW w:type="dxa" w:w="9638"/>
            <w:shd w:fill="EEF3FB" w:color="auto" w:val="clear"/>
            <w:tcMar>
              <w:top w:type="dxa" w:w="100"/>
              <w:left w:type="dxa" w:w="160"/>
              <w:bottom w:type="dxa" w:w="100"/>
              <w:right w:type="dxa" w:w="160"/>
            </w:tcMar>
          </w:tcPr>
          <w:p>
            <w:pPr>
              <w:spacing w:after="40"/>
            </w:pPr>
            <w:r>
              <w:rPr>
                <w:rFonts w:ascii="Calibri" w:cs="Calibri" w:eastAsia="Calibri" w:hAnsi="Calibri"/>
                <w:b/>
                <w:bCs/>
                <w:color w:val="2E5496"/>
                <w:sz w:val="21"/>
                <w:szCs w:val="21"/>
              </w:rPr>
              <w:t xml:space="preserve">Lecture IA des documents</w:t>
            </w:r>
          </w:p>
          <w:p>
            <w:pPr>
              <w:spacing w:after="0" w:line="276"/>
            </w:pPr>
            <w:r>
              <w:rPr>
                <w:rFonts w:ascii="Calibri" w:cs="Calibri" w:eastAsia="Calibri" w:hAnsi="Calibri"/>
                <w:sz w:val="21"/>
                <w:szCs w:val="21"/>
              </w:rPr>
              <w:t xml:space="preserve">Sur l'écran de saisie, « Lecture IA des documents » propose des valeurs extraites des pièces que vous déposez (business plan, autorisations, états financiers). Ce sont des propositions : chaque valeur doit être vérifiée contre la pièce avant d'être appliquée. L'IA ne remplit que ce que les documents établissent ; le reste reste à saisir.</w:t>
            </w:r>
          </w:p>
        </w:tc>
      </w:tr>
    </w:tbl>
    <w:p>
      <w:pPr>
        <w:sectPr>
          <w:headerReference w:type="default" r:id="rId7"/>
          <w:footerReference w:type="default" r:id="rId8"/>
          <w:pgSz w:w="11906" w:h="16838" w:orient="portrait"/>
          <w:pgMar w:top="1134" w:right="1134" w:bottom="1134" w:left="1134" w:header="708" w:footer="708" w:gutter="0"/>
          <w:pgNumType/>
          <w:docGrid w:linePitch="360"/>
        </w:sectPr>
      </w:pPr>
    </w:p>
    <w:p>
      <w:pPr>
        <w:pStyle w:val="Heading1"/>
      </w:pPr>
      <w:r>
        <w:t xml:space="preserve">4. Les pièces à réunir</w:t>
      </w:r>
    </w:p>
    <w:p>
      <w:pPr>
        <w:spacing w:after="120" w:before="0" w:line="276"/>
      </w:pPr>
      <w:r>
        <w:rPr>
          <w:rFonts w:ascii="Calibri" w:cs="Calibri" w:eastAsia="Calibri" w:hAnsi="Calibri"/>
          <w:sz w:val="21"/>
          <w:szCs w:val="21"/>
        </w:rPr>
        <w:t xml:space="preserve">Liste de référence par famille. Pour chaque pièce : qui la produit, sa fraîcheur recommandée et les données du modèle qu'elle alimente. La liste est à valider avec la politique de crédit et la procédure interne de l'établissement.</w:t>
      </w:r>
    </w:p>
    <w:p>
      <w:pPr>
        <w:pStyle w:val="Heading2"/>
        <w:keepNext/>
      </w:pPr>
      <w:r>
        <w:t xml:space="preserve">A. Promoteur et groupe</w:t>
      </w:r>
    </w:p>
    <w:tbl>
      <w:tblPr>
        <w:tblW w:type="dxa" w:w="14400"/>
        <w:tblBorders>
          <w:top w:val="single" w:color="AEB6C6" w:sz="2"/>
          <w:left w:val="single" w:color="AEB6C6" w:sz="2"/>
          <w:bottom w:val="single" w:color="AEB6C6" w:sz="2"/>
          <w:right w:val="single" w:color="AEB6C6" w:sz="2"/>
          <w:insideH w:val="single" w:color="D0D6E2" w:sz="1"/>
          <w:insideV w:val="single" w:color="D0D6E2" w:sz="1"/>
        </w:tblBorders>
      </w:tblPr>
      <w:tblGrid>
        <w:gridCol w:w="700"/>
        <w:gridCol w:w="5500"/>
        <w:gridCol w:w="2600"/>
        <w:gridCol w:w="2300"/>
        <w:gridCol w:w="3300"/>
      </w:tblGrid>
      <w:tr>
        <w:trPr>
          <w:cantSplit/>
          <w:tblHeader/>
        </w:trPr>
        <w:tc>
          <w:tcPr>
            <w:tcW w:type="dxa" w:w="7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Réf.</w:t>
            </w:r>
          </w:p>
        </w:tc>
        <w:tc>
          <w:tcPr>
            <w:tcW w:type="dxa" w:w="55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Pièce</w:t>
            </w:r>
          </w:p>
        </w:tc>
        <w:tc>
          <w:tcPr>
            <w:tcW w:type="dxa" w:w="26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Émetteur</w:t>
            </w:r>
          </w:p>
        </w:tc>
        <w:tc>
          <w:tcPr>
            <w:tcW w:type="dxa" w:w="23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Fraîcheur</w:t>
            </w:r>
          </w:p>
        </w:tc>
        <w:tc>
          <w:tcPr>
            <w:tcW w:type="dxa" w:w="33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Alimente</w:t>
            </w:r>
          </w:p>
        </w:tc>
      </w:tr>
      <w:tr>
        <w:trPr>
          <w:cantSplit/>
        </w:trPr>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P01</w:t>
            </w:r>
          </w:p>
        </w:tc>
        <w:tc>
          <w:tcPr>
            <w:tcW w:type="dxa" w:w="5500"/>
            <w:tcMar>
              <w:top w:type="dxa" w:w="40"/>
              <w:left w:type="dxa" w:w="80"/>
              <w:bottom w:type="dxa" w:w="40"/>
              <w:right w:type="dxa" w:w="80"/>
            </w:tcMar>
          </w:tcPr>
          <w:p>
            <w:pPr>
              <w:spacing w:after="0" w:line="240"/>
            </w:pPr>
            <w:r>
              <w:rPr>
                <w:rFonts w:ascii="Calibri" w:cs="Calibri" w:eastAsia="Calibri" w:hAnsi="Calibri"/>
                <w:sz w:val="17"/>
                <w:szCs w:val="17"/>
              </w:rPr>
              <w:t xml:space="preserve">Statuts à jour, modèle J du registre de commerce, ICE, IF, affiliation CNSS</w:t>
            </w:r>
          </w:p>
        </w:tc>
        <w:tc>
          <w:tcPr>
            <w:tcW w:type="dxa" w:w="2600"/>
            <w:tcMar>
              <w:top w:type="dxa" w:w="40"/>
              <w:left w:type="dxa" w:w="80"/>
              <w:bottom w:type="dxa" w:w="40"/>
              <w:right w:type="dxa" w:w="80"/>
            </w:tcMar>
          </w:tcPr>
          <w:p>
            <w:pPr>
              <w:spacing w:after="0" w:line="240"/>
            </w:pPr>
            <w:r>
              <w:rPr>
                <w:rFonts w:ascii="Calibri" w:cs="Calibri" w:eastAsia="Calibri" w:hAnsi="Calibri"/>
                <w:sz w:val="17"/>
                <w:szCs w:val="17"/>
              </w:rPr>
              <w:t xml:space="preserve">Promoteur / tribunal de commerce</w:t>
            </w:r>
          </w:p>
        </w:tc>
        <w:tc>
          <w:tcPr>
            <w:tcW w:type="dxa" w:w="2300"/>
            <w:tcMar>
              <w:top w:type="dxa" w:w="40"/>
              <w:left w:type="dxa" w:w="80"/>
              <w:bottom w:type="dxa" w:w="40"/>
              <w:right w:type="dxa" w:w="80"/>
            </w:tcMar>
          </w:tcPr>
          <w:p>
            <w:pPr>
              <w:spacing w:after="0" w:line="240"/>
            </w:pPr>
            <w:r>
              <w:rPr>
                <w:rFonts w:ascii="Calibri" w:cs="Calibri" w:eastAsia="Calibri" w:hAnsi="Calibri"/>
                <w:sz w:val="17"/>
                <w:szCs w:val="17"/>
              </w:rPr>
              <w:t xml:space="preserve">Modèle J de moins de 3 mois</w:t>
            </w:r>
          </w:p>
        </w:tc>
        <w:tc>
          <w:tcPr>
            <w:tcW w:type="dxa" w:w="3300"/>
            <w:tcMar>
              <w:top w:type="dxa" w:w="40"/>
              <w:left w:type="dxa" w:w="80"/>
              <w:bottom w:type="dxa" w:w="40"/>
              <w:right w:type="dxa" w:w="80"/>
            </w:tcMar>
          </w:tcPr>
          <w:p>
            <w:pPr>
              <w:spacing w:after="0" w:line="240"/>
            </w:pPr>
            <w:r>
              <w:rPr>
                <w:rFonts w:ascii="Calibri" w:cs="Calibri" w:eastAsia="Calibri" w:hAnsi="Calibri"/>
                <w:sz w:val="17"/>
                <w:szCs w:val="17"/>
              </w:rPr>
              <w:t xml:space="preserve">Fiche promoteur ; gouvernance</w:t>
            </w:r>
          </w:p>
        </w:tc>
      </w:tr>
      <w:tr>
        <w:trPr>
          <w:cantSplit/>
        </w:trPr>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P02</w:t>
            </w:r>
          </w:p>
        </w:tc>
        <w:tc>
          <w:tcPr>
            <w:tcW w:type="dxa" w:w="5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Procès-verbaux des organes (AG, conseil), liste des dirigeants et pouvoirs</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Promoteur</w:t>
            </w:r>
          </w:p>
        </w:tc>
        <w:tc>
          <w:tcPr>
            <w:tcW w:type="dxa" w:w="2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Dernier exercice</w:t>
            </w:r>
          </w:p>
        </w:tc>
        <w:tc>
          <w:tcPr>
            <w:tcW w:type="dxa" w:w="3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Gouvernance &amp; structure juridique</w:t>
            </w:r>
          </w:p>
        </w:tc>
      </w:tr>
      <w:tr>
        <w:trPr>
          <w:cantSplit/>
        </w:trPr>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P03</w:t>
            </w:r>
          </w:p>
        </w:tc>
        <w:tc>
          <w:tcPr>
            <w:tcW w:type="dxa" w:w="5500"/>
            <w:tcMar>
              <w:top w:type="dxa" w:w="40"/>
              <w:left w:type="dxa" w:w="80"/>
              <w:bottom w:type="dxa" w:w="40"/>
              <w:right w:type="dxa" w:w="80"/>
            </w:tcMar>
          </w:tcPr>
          <w:p>
            <w:pPr>
              <w:spacing w:after="0" w:line="240"/>
            </w:pPr>
            <w:r>
              <w:rPr>
                <w:rFonts w:ascii="Calibri" w:cs="Calibri" w:eastAsia="Calibri" w:hAnsi="Calibri"/>
                <w:sz w:val="17"/>
                <w:szCs w:val="17"/>
              </w:rPr>
              <w:t xml:space="preserve">Organigramme du groupe : participations, sociétés sœurs, cautions croisées</w:t>
            </w:r>
          </w:p>
        </w:tc>
        <w:tc>
          <w:tcPr>
            <w:tcW w:type="dxa" w:w="2600"/>
            <w:tcMar>
              <w:top w:type="dxa" w:w="40"/>
              <w:left w:type="dxa" w:w="80"/>
              <w:bottom w:type="dxa" w:w="40"/>
              <w:right w:type="dxa" w:w="80"/>
            </w:tcMar>
          </w:tcPr>
          <w:p>
            <w:pPr>
              <w:spacing w:after="0" w:line="240"/>
            </w:pPr>
            <w:r>
              <w:rPr>
                <w:rFonts w:ascii="Calibri" w:cs="Calibri" w:eastAsia="Calibri" w:hAnsi="Calibri"/>
                <w:sz w:val="17"/>
                <w:szCs w:val="17"/>
              </w:rPr>
              <w:t xml:space="preserve">Promoteur</w:t>
            </w:r>
          </w:p>
        </w:tc>
        <w:tc>
          <w:tcPr>
            <w:tcW w:type="dxa" w:w="2300"/>
            <w:tcMar>
              <w:top w:type="dxa" w:w="40"/>
              <w:left w:type="dxa" w:w="80"/>
              <w:bottom w:type="dxa" w:w="40"/>
              <w:right w:type="dxa" w:w="80"/>
            </w:tcMar>
          </w:tcPr>
          <w:p>
            <w:pPr>
              <w:spacing w:after="0" w:line="240"/>
            </w:pPr>
            <w:r>
              <w:rPr>
                <w:rFonts w:ascii="Calibri" w:cs="Calibri" w:eastAsia="Calibri" w:hAnsi="Calibri"/>
                <w:sz w:val="17"/>
                <w:szCs w:val="17"/>
              </w:rPr>
              <w:t xml:space="preserve">À jour</w:t>
            </w:r>
          </w:p>
        </w:tc>
        <w:tc>
          <w:tcPr>
            <w:tcW w:type="dxa" w:w="3300"/>
            <w:tcMar>
              <w:top w:type="dxa" w:w="40"/>
              <w:left w:type="dxa" w:w="80"/>
              <w:bottom w:type="dxa" w:w="40"/>
              <w:right w:type="dxa" w:w="80"/>
            </w:tcMar>
          </w:tcPr>
          <w:p>
            <w:pPr>
              <w:spacing w:after="0" w:line="240"/>
            </w:pPr>
            <w:r>
              <w:rPr>
                <w:rFonts w:ascii="Calibri" w:cs="Calibri" w:eastAsia="Calibri" w:hAnsi="Calibri"/>
                <w:sz w:val="17"/>
                <w:szCs w:val="17"/>
              </w:rPr>
              <w:t xml:space="preserve">Groupe d'intérêt (effet groupe BAM, division des risques)</w:t>
            </w:r>
          </w:p>
        </w:tc>
      </w:tr>
      <w:tr>
        <w:trPr>
          <w:cantSplit/>
        </w:trPr>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P04</w:t>
            </w:r>
          </w:p>
        </w:tc>
        <w:tc>
          <w:tcPr>
            <w:tcW w:type="dxa" w:w="5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États de synthèse certifiés des 3 derniers exercices (bilan, CPC, ESG) et rapport du commissaire aux comptes</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Promoteur / CAC</w:t>
            </w:r>
          </w:p>
        </w:tc>
        <w:tc>
          <w:tcPr>
            <w:tcW w:type="dxa" w:w="2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3 derniers exercices clos</w:t>
            </w:r>
          </w:p>
        </w:tc>
        <w:tc>
          <w:tcPr>
            <w:tcW w:type="dxa" w:w="3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Gearing, fonds propres négatifs, couverture des intérêts, dettes / FP, baisse du CA</w:t>
            </w:r>
          </w:p>
        </w:tc>
      </w:tr>
      <w:tr>
        <w:trPr>
          <w:cantSplit/>
        </w:trPr>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P05</w:t>
            </w:r>
          </w:p>
        </w:tc>
        <w:tc>
          <w:tcPr>
            <w:tcW w:type="dxa" w:w="5500"/>
            <w:tcMar>
              <w:top w:type="dxa" w:w="40"/>
              <w:left w:type="dxa" w:w="80"/>
              <w:bottom w:type="dxa" w:w="40"/>
              <w:right w:type="dxa" w:w="80"/>
            </w:tcMar>
          </w:tcPr>
          <w:p>
            <w:pPr>
              <w:spacing w:after="0" w:line="240"/>
            </w:pPr>
            <w:r>
              <w:rPr>
                <w:rFonts w:ascii="Calibri" w:cs="Calibri" w:eastAsia="Calibri" w:hAnsi="Calibri"/>
                <w:sz w:val="17"/>
                <w:szCs w:val="17"/>
              </w:rPr>
              <w:t xml:space="preserve">Références : programmes livrés sur 5 ans avec justificatifs (permis d'habiter, certificats de conformité, PV de réception)</w:t>
            </w:r>
          </w:p>
        </w:tc>
        <w:tc>
          <w:tcPr>
            <w:tcW w:type="dxa" w:w="2600"/>
            <w:tcMar>
              <w:top w:type="dxa" w:w="40"/>
              <w:left w:type="dxa" w:w="80"/>
              <w:bottom w:type="dxa" w:w="40"/>
              <w:right w:type="dxa" w:w="80"/>
            </w:tcMar>
          </w:tcPr>
          <w:p>
            <w:pPr>
              <w:spacing w:after="0" w:line="240"/>
            </w:pPr>
            <w:r>
              <w:rPr>
                <w:rFonts w:ascii="Calibri" w:cs="Calibri" w:eastAsia="Calibri" w:hAnsi="Calibri"/>
                <w:sz w:val="17"/>
                <w:szCs w:val="17"/>
              </w:rPr>
              <w:t xml:space="preserve">Promoteur ; administration</w:t>
            </w:r>
          </w:p>
        </w:tc>
        <w:tc>
          <w:tcPr>
            <w:tcW w:type="dxa" w:w="2300"/>
            <w:tcMar>
              <w:top w:type="dxa" w:w="40"/>
              <w:left w:type="dxa" w:w="80"/>
              <w:bottom w:type="dxa" w:w="40"/>
              <w:right w:type="dxa" w:w="80"/>
            </w:tcMar>
          </w:tcPr>
          <w:p>
            <w:pPr>
              <w:spacing w:after="0" w:line="240"/>
            </w:pPr>
            <w:r>
              <w:rPr>
                <w:rFonts w:ascii="Calibri" w:cs="Calibri" w:eastAsia="Calibri" w:hAnsi="Calibri"/>
                <w:sz w:val="17"/>
                <w:szCs w:val="17"/>
              </w:rPr>
              <w:t xml:space="preserve">5 dernières années</w:t>
            </w:r>
          </w:p>
        </w:tc>
        <w:tc>
          <w:tcPr>
            <w:tcW w:type="dxa" w:w="3300"/>
            <w:tcMar>
              <w:top w:type="dxa" w:w="40"/>
              <w:left w:type="dxa" w:w="80"/>
              <w:bottom w:type="dxa" w:w="40"/>
              <w:right w:type="dxa" w:w="80"/>
            </w:tcMar>
          </w:tcPr>
          <w:p>
            <w:pPr>
              <w:spacing w:after="0" w:line="240"/>
            </w:pPr>
            <w:r>
              <w:rPr>
                <w:rFonts w:ascii="Calibri" w:cs="Calibri" w:eastAsia="Calibri" w:hAnsi="Calibri"/>
                <w:sz w:val="17"/>
                <w:szCs w:val="17"/>
              </w:rPr>
              <w:t xml:space="preserve">Projets similaires livrés ; typologie promoteur ; SAV</w:t>
            </w:r>
          </w:p>
        </w:tc>
      </w:tr>
      <w:tr>
        <w:trPr>
          <w:cantSplit/>
        </w:trPr>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P06</w:t>
            </w:r>
          </w:p>
        </w:tc>
        <w:tc>
          <w:tcPr>
            <w:tcW w:type="dxa" w:w="5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Tableau des engagements bancaires toutes banques (encours, échéances, garanties)</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Promoteur ; attestations bancaires</w:t>
            </w:r>
          </w:p>
        </w:tc>
        <w:tc>
          <w:tcPr>
            <w:tcW w:type="dxa" w:w="2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Moins de 3 mois</w:t>
            </w:r>
          </w:p>
        </w:tc>
        <w:tc>
          <w:tcPr>
            <w:tcW w:type="dxa" w:w="3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Gearing ; exposition du groupe ; division des risques</w:t>
            </w:r>
          </w:p>
        </w:tc>
      </w:tr>
      <w:tr>
        <w:trPr>
          <w:cantSplit/>
        </w:trPr>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P07</w:t>
            </w:r>
          </w:p>
        </w:tc>
        <w:tc>
          <w:tcPr>
            <w:tcW w:type="dxa" w:w="5500"/>
            <w:tcMar>
              <w:top w:type="dxa" w:w="40"/>
              <w:left w:type="dxa" w:w="80"/>
              <w:bottom w:type="dxa" w:w="40"/>
              <w:right w:type="dxa" w:w="80"/>
            </w:tcMar>
          </w:tcPr>
          <w:p>
            <w:pPr>
              <w:spacing w:after="0" w:line="240"/>
            </w:pPr>
            <w:r>
              <w:rPr>
                <w:rFonts w:ascii="Calibri" w:cs="Calibri" w:eastAsia="Calibri" w:hAnsi="Calibri"/>
                <w:sz w:val="17"/>
                <w:szCs w:val="17"/>
              </w:rPr>
              <w:t xml:space="preserve">Consultation du crédit bureau (promoteur, dirigeants, sociétés du groupe)</w:t>
            </w:r>
          </w:p>
        </w:tc>
        <w:tc>
          <w:tcPr>
            <w:tcW w:type="dxa" w:w="2600"/>
            <w:tcMar>
              <w:top w:type="dxa" w:w="40"/>
              <w:left w:type="dxa" w:w="80"/>
              <w:bottom w:type="dxa" w:w="40"/>
              <w:right w:type="dxa" w:w="80"/>
            </w:tcMar>
          </w:tcPr>
          <w:p>
            <w:pPr>
              <w:spacing w:after="0" w:line="240"/>
            </w:pPr>
            <w:r>
              <w:rPr>
                <w:rFonts w:ascii="Calibri" w:cs="Calibri" w:eastAsia="Calibri" w:hAnsi="Calibri"/>
                <w:sz w:val="17"/>
                <w:szCs w:val="17"/>
              </w:rPr>
              <w:t xml:space="preserve">Banque</w:t>
            </w:r>
          </w:p>
        </w:tc>
        <w:tc>
          <w:tcPr>
            <w:tcW w:type="dxa" w:w="2300"/>
            <w:tcMar>
              <w:top w:type="dxa" w:w="40"/>
              <w:left w:type="dxa" w:w="80"/>
              <w:bottom w:type="dxa" w:w="40"/>
              <w:right w:type="dxa" w:w="80"/>
            </w:tcMar>
          </w:tcPr>
          <w:p>
            <w:pPr>
              <w:spacing w:after="0" w:line="240"/>
            </w:pPr>
            <w:r>
              <w:rPr>
                <w:rFonts w:ascii="Calibri" w:cs="Calibri" w:eastAsia="Calibri" w:hAnsi="Calibri"/>
                <w:sz w:val="17"/>
                <w:szCs w:val="17"/>
              </w:rPr>
              <w:t xml:space="preserve">Moins de 1 mois à l'instruction</w:t>
            </w:r>
          </w:p>
        </w:tc>
        <w:tc>
          <w:tcPr>
            <w:tcW w:type="dxa" w:w="3300"/>
            <w:tcMar>
              <w:top w:type="dxa" w:w="40"/>
              <w:left w:type="dxa" w:w="80"/>
              <w:bottom w:type="dxa" w:w="40"/>
              <w:right w:type="dxa" w:w="80"/>
            </w:tcMar>
          </w:tcPr>
          <w:p>
            <w:pPr>
              <w:spacing w:after="0" w:line="240"/>
            </w:pPr>
            <w:r>
              <w:rPr>
                <w:rFonts w:ascii="Calibri" w:cs="Calibri" w:eastAsia="Calibri" w:hAnsi="Calibri"/>
                <w:sz w:val="17"/>
                <w:szCs w:val="17"/>
              </w:rPr>
              <w:t xml:space="preserve">Information négative crédit bureau (classification 1/W)</w:t>
            </w:r>
          </w:p>
        </w:tc>
      </w:tr>
      <w:tr>
        <w:trPr>
          <w:cantSplit/>
        </w:trPr>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P08</w:t>
            </w:r>
          </w:p>
        </w:tc>
        <w:tc>
          <w:tcPr>
            <w:tcW w:type="dxa" w:w="5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Chiffre d'affaires prévisionnel du groupe par programme</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Promoteur</w:t>
            </w:r>
          </w:p>
        </w:tc>
        <w:tc>
          <w:tcPr>
            <w:tcW w:type="dxa" w:w="2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À l'instruction</w:t>
            </w:r>
          </w:p>
        </w:tc>
        <w:tc>
          <w:tcPr>
            <w:tcW w:type="dxa" w:w="3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Concentration mono-projet</w:t>
            </w:r>
          </w:p>
        </w:tc>
      </w:tr>
    </w:tbl>
    <w:p>
      <w:pPr>
        <w:pStyle w:val="Heading2"/>
        <w:keepNext/>
      </w:pPr>
      <w:r>
        <w:t xml:space="preserve">B. Foncier et autorisations</w:t>
      </w:r>
    </w:p>
    <w:tbl>
      <w:tblPr>
        <w:tblW w:type="dxa" w:w="14400"/>
        <w:tblBorders>
          <w:top w:val="single" w:color="AEB6C6" w:sz="2"/>
          <w:left w:val="single" w:color="AEB6C6" w:sz="2"/>
          <w:bottom w:val="single" w:color="AEB6C6" w:sz="2"/>
          <w:right w:val="single" w:color="AEB6C6" w:sz="2"/>
          <w:insideH w:val="single" w:color="D0D6E2" w:sz="1"/>
          <w:insideV w:val="single" w:color="D0D6E2" w:sz="1"/>
        </w:tblBorders>
      </w:tblPr>
      <w:tblGrid>
        <w:gridCol w:w="700"/>
        <w:gridCol w:w="5500"/>
        <w:gridCol w:w="2600"/>
        <w:gridCol w:w="2300"/>
        <w:gridCol w:w="3300"/>
      </w:tblGrid>
      <w:tr>
        <w:trPr>
          <w:cantSplit/>
          <w:tblHeader/>
        </w:trPr>
        <w:tc>
          <w:tcPr>
            <w:tcW w:type="dxa" w:w="7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Réf.</w:t>
            </w:r>
          </w:p>
        </w:tc>
        <w:tc>
          <w:tcPr>
            <w:tcW w:type="dxa" w:w="55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Pièce</w:t>
            </w:r>
          </w:p>
        </w:tc>
        <w:tc>
          <w:tcPr>
            <w:tcW w:type="dxa" w:w="26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Émetteur</w:t>
            </w:r>
          </w:p>
        </w:tc>
        <w:tc>
          <w:tcPr>
            <w:tcW w:type="dxa" w:w="23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Fraîcheur</w:t>
            </w:r>
          </w:p>
        </w:tc>
        <w:tc>
          <w:tcPr>
            <w:tcW w:type="dxa" w:w="33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Alimente</w:t>
            </w:r>
          </w:p>
        </w:tc>
      </w:tr>
      <w:tr>
        <w:trPr>
          <w:cantSplit/>
        </w:trPr>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P10</w:t>
            </w:r>
          </w:p>
        </w:tc>
        <w:tc>
          <w:tcPr>
            <w:tcW w:type="dxa" w:w="5500"/>
            <w:tcMar>
              <w:top w:type="dxa" w:w="40"/>
              <w:left w:type="dxa" w:w="80"/>
              <w:bottom w:type="dxa" w:w="40"/>
              <w:right w:type="dxa" w:w="80"/>
            </w:tcMar>
          </w:tcPr>
          <w:p>
            <w:pPr>
              <w:spacing w:after="0" w:line="240"/>
            </w:pPr>
            <w:r>
              <w:rPr>
                <w:rFonts w:ascii="Calibri" w:cs="Calibri" w:eastAsia="Calibri" w:hAnsi="Calibri"/>
                <w:sz w:val="17"/>
                <w:szCs w:val="17"/>
              </w:rPr>
              <w:t xml:space="preserve">Certificat de propriété du titre foncier, avec inscriptions (hypothèques, saisies, servitudes)</w:t>
            </w:r>
          </w:p>
        </w:tc>
        <w:tc>
          <w:tcPr>
            <w:tcW w:type="dxa" w:w="2600"/>
            <w:tcMar>
              <w:top w:type="dxa" w:w="40"/>
              <w:left w:type="dxa" w:w="80"/>
              <w:bottom w:type="dxa" w:w="40"/>
              <w:right w:type="dxa" w:w="80"/>
            </w:tcMar>
          </w:tcPr>
          <w:p>
            <w:pPr>
              <w:spacing w:after="0" w:line="240"/>
            </w:pPr>
            <w:r>
              <w:rPr>
                <w:rFonts w:ascii="Calibri" w:cs="Calibri" w:eastAsia="Calibri" w:hAnsi="Calibri"/>
                <w:sz w:val="17"/>
                <w:szCs w:val="17"/>
              </w:rPr>
              <w:t xml:space="preserve">ANCFCC — conservation foncière</w:t>
            </w:r>
          </w:p>
        </w:tc>
        <w:tc>
          <w:tcPr>
            <w:tcW w:type="dxa" w:w="2300"/>
            <w:tcMar>
              <w:top w:type="dxa" w:w="40"/>
              <w:left w:type="dxa" w:w="80"/>
              <w:bottom w:type="dxa" w:w="40"/>
              <w:right w:type="dxa" w:w="80"/>
            </w:tcMar>
          </w:tcPr>
          <w:p>
            <w:pPr>
              <w:spacing w:after="0" w:line="240"/>
            </w:pPr>
            <w:r>
              <w:rPr>
                <w:rFonts w:ascii="Calibri" w:cs="Calibri" w:eastAsia="Calibri" w:hAnsi="Calibri"/>
                <w:sz w:val="17"/>
                <w:szCs w:val="17"/>
              </w:rPr>
              <w:t xml:space="preserve">Récent (moins de 3 mois recommandé)</w:t>
            </w:r>
          </w:p>
        </w:tc>
        <w:tc>
          <w:tcPr>
            <w:tcW w:type="dxa" w:w="3300"/>
            <w:tcMar>
              <w:top w:type="dxa" w:w="40"/>
              <w:left w:type="dxa" w:w="80"/>
              <w:bottom w:type="dxa" w:w="40"/>
              <w:right w:type="dxa" w:w="80"/>
            </w:tcMar>
          </w:tcPr>
          <w:p>
            <w:pPr>
              <w:spacing w:after="0" w:line="240"/>
            </w:pPr>
            <w:r>
              <w:rPr>
                <w:rFonts w:ascii="Calibri" w:cs="Calibri" w:eastAsia="Calibri" w:hAnsi="Calibri"/>
                <w:sz w:val="17"/>
                <w:szCs w:val="17"/>
              </w:rPr>
              <w:t xml:space="preserve">Foncier &amp; autorisations ; titre purgé ; rang de l'hypothèque</w:t>
            </w:r>
          </w:p>
        </w:tc>
      </w:tr>
      <w:tr>
        <w:trPr>
          <w:cantSplit/>
        </w:trPr>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P11</w:t>
            </w:r>
          </w:p>
        </w:tc>
        <w:tc>
          <w:tcPr>
            <w:tcW w:type="dxa" w:w="5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Acte d'acquisition du terrain (ou compromis) et justificatifs de paiement</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Notaire / adoul ; banque</w:t>
            </w:r>
          </w:p>
        </w:tc>
        <w:tc>
          <w:tcPr>
            <w:tcW w:type="dxa" w:w="2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w:t>
            </w:r>
          </w:p>
        </w:tc>
        <w:tc>
          <w:tcPr>
            <w:tcW w:type="dxa" w:w="3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Coût foncier / CA ; apport effectif (terrain payé sur fonds propres)</w:t>
            </w:r>
          </w:p>
        </w:tc>
      </w:tr>
      <w:tr>
        <w:trPr>
          <w:cantSplit/>
        </w:trPr>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P12</w:t>
            </w:r>
          </w:p>
        </w:tc>
        <w:tc>
          <w:tcPr>
            <w:tcW w:type="dxa" w:w="5500"/>
            <w:tcMar>
              <w:top w:type="dxa" w:w="40"/>
              <w:left w:type="dxa" w:w="80"/>
              <w:bottom w:type="dxa" w:w="40"/>
              <w:right w:type="dxa" w:w="80"/>
            </w:tcMar>
          </w:tcPr>
          <w:p>
            <w:pPr>
              <w:spacing w:after="0" w:line="240"/>
            </w:pPr>
            <w:r>
              <w:rPr>
                <w:rFonts w:ascii="Calibri" w:cs="Calibri" w:eastAsia="Calibri" w:hAnsi="Calibri"/>
                <w:sz w:val="17"/>
                <w:szCs w:val="17"/>
              </w:rPr>
              <w:t xml:space="preserve">Note de renseignements urbanistiques</w:t>
            </w:r>
          </w:p>
        </w:tc>
        <w:tc>
          <w:tcPr>
            <w:tcW w:type="dxa" w:w="2600"/>
            <w:tcMar>
              <w:top w:type="dxa" w:w="40"/>
              <w:left w:type="dxa" w:w="80"/>
              <w:bottom w:type="dxa" w:w="40"/>
              <w:right w:type="dxa" w:w="80"/>
            </w:tcMar>
          </w:tcPr>
          <w:p>
            <w:pPr>
              <w:spacing w:after="0" w:line="240"/>
            </w:pPr>
            <w:r>
              <w:rPr>
                <w:rFonts w:ascii="Calibri" w:cs="Calibri" w:eastAsia="Calibri" w:hAnsi="Calibri"/>
                <w:sz w:val="17"/>
                <w:szCs w:val="17"/>
              </w:rPr>
              <w:t xml:space="preserve">Agence urbaine</w:t>
            </w:r>
          </w:p>
        </w:tc>
        <w:tc>
          <w:tcPr>
            <w:tcW w:type="dxa" w:w="2300"/>
            <w:tcMar>
              <w:top w:type="dxa" w:w="40"/>
              <w:left w:type="dxa" w:w="80"/>
              <w:bottom w:type="dxa" w:w="40"/>
              <w:right w:type="dxa" w:w="80"/>
            </w:tcMar>
          </w:tcPr>
          <w:p>
            <w:pPr>
              <w:spacing w:after="0" w:line="240"/>
            </w:pPr>
            <w:r>
              <w:rPr>
                <w:rFonts w:ascii="Calibri" w:cs="Calibri" w:eastAsia="Calibri" w:hAnsi="Calibri"/>
                <w:sz w:val="17"/>
                <w:szCs w:val="17"/>
              </w:rPr>
              <w:t xml:space="preserve">En cours de validité</w:t>
            </w:r>
          </w:p>
        </w:tc>
        <w:tc>
          <w:tcPr>
            <w:tcW w:type="dxa" w:w="3300"/>
            <w:tcMar>
              <w:top w:type="dxa" w:w="40"/>
              <w:left w:type="dxa" w:w="80"/>
              <w:bottom w:type="dxa" w:w="40"/>
              <w:right w:type="dxa" w:w="80"/>
            </w:tcMar>
          </w:tcPr>
          <w:p>
            <w:pPr>
              <w:spacing w:after="0" w:line="240"/>
            </w:pPr>
            <w:r>
              <w:rPr>
                <w:rFonts w:ascii="Calibri" w:cs="Calibri" w:eastAsia="Calibri" w:hAnsi="Calibri"/>
                <w:sz w:val="17"/>
                <w:szCs w:val="17"/>
              </w:rPr>
              <w:t xml:space="preserve">Chaîne d'autorisations (étude)</w:t>
            </w:r>
          </w:p>
        </w:tc>
      </w:tr>
      <w:tr>
        <w:trPr>
          <w:cantSplit/>
        </w:trPr>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P13</w:t>
            </w:r>
          </w:p>
        </w:tc>
        <w:tc>
          <w:tcPr>
            <w:tcW w:type="dxa" w:w="5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Autorisation de lotir (loi 25-90) et/ou permis de construire (loi 12-90), avec plans autorisés</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Commune / agence urbaine</w:t>
            </w:r>
          </w:p>
        </w:tc>
        <w:tc>
          <w:tcPr>
            <w:tcW w:type="dxa" w:w="2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En cours de validité</w:t>
            </w:r>
          </w:p>
        </w:tc>
        <w:tc>
          <w:tcPr>
            <w:tcW w:type="dxa" w:w="3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Chaîne d'autorisations ; verrou de tirage des travaux</w:t>
            </w:r>
          </w:p>
        </w:tc>
      </w:tr>
      <w:tr>
        <w:trPr>
          <w:cantSplit/>
        </w:trPr>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P14</w:t>
            </w:r>
          </w:p>
        </w:tc>
        <w:tc>
          <w:tcPr>
            <w:tcW w:type="dxa" w:w="5500"/>
            <w:tcMar>
              <w:top w:type="dxa" w:w="40"/>
              <w:left w:type="dxa" w:w="80"/>
              <w:bottom w:type="dxa" w:w="40"/>
              <w:right w:type="dxa" w:w="80"/>
            </w:tcMar>
          </w:tcPr>
          <w:p>
            <w:pPr>
              <w:spacing w:after="0" w:line="240"/>
            </w:pPr>
            <w:r>
              <w:rPr>
                <w:rFonts w:ascii="Calibri" w:cs="Calibri" w:eastAsia="Calibri" w:hAnsi="Calibri"/>
                <w:sz w:val="17"/>
                <w:szCs w:val="17"/>
              </w:rPr>
              <w:t xml:space="preserve">Autorisation de morcellement / éclatement du titre mère</w:t>
            </w:r>
          </w:p>
        </w:tc>
        <w:tc>
          <w:tcPr>
            <w:tcW w:type="dxa" w:w="2600"/>
            <w:tcMar>
              <w:top w:type="dxa" w:w="40"/>
              <w:left w:type="dxa" w:w="80"/>
              <w:bottom w:type="dxa" w:w="40"/>
              <w:right w:type="dxa" w:w="80"/>
            </w:tcMar>
          </w:tcPr>
          <w:p>
            <w:pPr>
              <w:spacing w:after="0" w:line="240"/>
            </w:pPr>
            <w:r>
              <w:rPr>
                <w:rFonts w:ascii="Calibri" w:cs="Calibri" w:eastAsia="Calibri" w:hAnsi="Calibri"/>
                <w:sz w:val="17"/>
                <w:szCs w:val="17"/>
              </w:rPr>
              <w:t xml:space="preserve">ANCFCC</w:t>
            </w:r>
          </w:p>
        </w:tc>
        <w:tc>
          <w:tcPr>
            <w:tcW w:type="dxa" w:w="2300"/>
            <w:tcMar>
              <w:top w:type="dxa" w:w="40"/>
              <w:left w:type="dxa" w:w="80"/>
              <w:bottom w:type="dxa" w:w="40"/>
              <w:right w:type="dxa" w:w="80"/>
            </w:tcMar>
          </w:tcPr>
          <w:p>
            <w:pPr>
              <w:spacing w:after="0" w:line="240"/>
            </w:pPr>
            <w:r>
              <w:rPr>
                <w:rFonts w:ascii="Calibri" w:cs="Calibri" w:eastAsia="Calibri" w:hAnsi="Calibri"/>
                <w:sz w:val="17"/>
                <w:szCs w:val="17"/>
              </w:rPr>
              <w:t xml:space="preserve">Avant la vente des lots</w:t>
            </w:r>
          </w:p>
        </w:tc>
        <w:tc>
          <w:tcPr>
            <w:tcW w:type="dxa" w:w="3300"/>
            <w:tcMar>
              <w:top w:type="dxa" w:w="40"/>
              <w:left w:type="dxa" w:w="80"/>
              <w:bottom w:type="dxa" w:w="40"/>
              <w:right w:type="dxa" w:w="80"/>
            </w:tcMar>
          </w:tcPr>
          <w:p>
            <w:pPr>
              <w:spacing w:after="0" w:line="240"/>
            </w:pPr>
            <w:r>
              <w:rPr>
                <w:rFonts w:ascii="Calibri" w:cs="Calibri" w:eastAsia="Calibri" w:hAnsi="Calibri"/>
                <w:sz w:val="17"/>
                <w:szCs w:val="17"/>
              </w:rPr>
              <w:t xml:space="preserve">Chaîne d'autorisations (lotissement)</w:t>
            </w:r>
          </w:p>
        </w:tc>
      </w:tr>
      <w:tr>
        <w:trPr>
          <w:cantSplit/>
        </w:trPr>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P15</w:t>
            </w:r>
          </w:p>
        </w:tc>
        <w:tc>
          <w:tcPr>
            <w:tcW w:type="dxa" w:w="5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Réception provisoire, permis d'habiter, certificat de conformité, réception définitive</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Commune ; maître d'œuvre</w:t>
            </w:r>
          </w:p>
        </w:tc>
        <w:tc>
          <w:tcPr>
            <w:tcW w:type="dxa" w:w="2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Au fil du programme</w:t>
            </w:r>
          </w:p>
        </w:tc>
        <w:tc>
          <w:tcPr>
            <w:tcW w:type="dxa" w:w="3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Chaîne d'autorisations (livraison) ; mainlevées</w:t>
            </w:r>
          </w:p>
        </w:tc>
      </w:tr>
    </w:tbl>
    <w:p>
      <w:pPr>
        <w:pStyle w:val="Heading2"/>
        <w:keepNext/>
      </w:pPr>
      <w:r>
        <w:t xml:space="preserve">C. Programme, technique et business plan</w:t>
      </w:r>
    </w:p>
    <w:tbl>
      <w:tblPr>
        <w:tblW w:type="dxa" w:w="14400"/>
        <w:tblBorders>
          <w:top w:val="single" w:color="AEB6C6" w:sz="2"/>
          <w:left w:val="single" w:color="AEB6C6" w:sz="2"/>
          <w:bottom w:val="single" w:color="AEB6C6" w:sz="2"/>
          <w:right w:val="single" w:color="AEB6C6" w:sz="2"/>
          <w:insideH w:val="single" w:color="D0D6E2" w:sz="1"/>
          <w:insideV w:val="single" w:color="D0D6E2" w:sz="1"/>
        </w:tblBorders>
      </w:tblPr>
      <w:tblGrid>
        <w:gridCol w:w="700"/>
        <w:gridCol w:w="5500"/>
        <w:gridCol w:w="2600"/>
        <w:gridCol w:w="2300"/>
        <w:gridCol w:w="3300"/>
      </w:tblGrid>
      <w:tr>
        <w:trPr>
          <w:cantSplit/>
          <w:tblHeader/>
        </w:trPr>
        <w:tc>
          <w:tcPr>
            <w:tcW w:type="dxa" w:w="7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Réf.</w:t>
            </w:r>
          </w:p>
        </w:tc>
        <w:tc>
          <w:tcPr>
            <w:tcW w:type="dxa" w:w="55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Pièce</w:t>
            </w:r>
          </w:p>
        </w:tc>
        <w:tc>
          <w:tcPr>
            <w:tcW w:type="dxa" w:w="26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Émetteur</w:t>
            </w:r>
          </w:p>
        </w:tc>
        <w:tc>
          <w:tcPr>
            <w:tcW w:type="dxa" w:w="23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Fraîcheur</w:t>
            </w:r>
          </w:p>
        </w:tc>
        <w:tc>
          <w:tcPr>
            <w:tcW w:type="dxa" w:w="33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Alimente</w:t>
            </w:r>
          </w:p>
        </w:tc>
      </w:tr>
      <w:tr>
        <w:trPr>
          <w:cantSplit/>
        </w:trPr>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P16</w:t>
            </w:r>
          </w:p>
        </w:tc>
        <w:tc>
          <w:tcPr>
            <w:tcW w:type="dxa" w:w="5500"/>
            <w:tcMar>
              <w:top w:type="dxa" w:w="40"/>
              <w:left w:type="dxa" w:w="80"/>
              <w:bottom w:type="dxa" w:w="40"/>
              <w:right w:type="dxa" w:w="80"/>
            </w:tcMar>
          </w:tcPr>
          <w:p>
            <w:pPr>
              <w:spacing w:after="0" w:line="240"/>
            </w:pPr>
            <w:r>
              <w:rPr>
                <w:rFonts w:ascii="Calibri" w:cs="Calibri" w:eastAsia="Calibri" w:hAnsi="Calibri"/>
                <w:sz w:val="17"/>
                <w:szCs w:val="17"/>
              </w:rPr>
              <w:t xml:space="preserve">Business plan du programme (bilan promoteur) : recettes, coût foncier, travaux, frais, marge, planning</w:t>
            </w:r>
          </w:p>
        </w:tc>
        <w:tc>
          <w:tcPr>
            <w:tcW w:type="dxa" w:w="2600"/>
            <w:tcMar>
              <w:top w:type="dxa" w:w="40"/>
              <w:left w:type="dxa" w:w="80"/>
              <w:bottom w:type="dxa" w:w="40"/>
              <w:right w:type="dxa" w:w="80"/>
            </w:tcMar>
          </w:tcPr>
          <w:p>
            <w:pPr>
              <w:spacing w:after="0" w:line="240"/>
            </w:pPr>
            <w:r>
              <w:rPr>
                <w:rFonts w:ascii="Calibri" w:cs="Calibri" w:eastAsia="Calibri" w:hAnsi="Calibri"/>
                <w:sz w:val="17"/>
                <w:szCs w:val="17"/>
              </w:rPr>
              <w:t xml:space="preserve">Promoteur</w:t>
            </w:r>
          </w:p>
        </w:tc>
        <w:tc>
          <w:tcPr>
            <w:tcW w:type="dxa" w:w="2300"/>
            <w:tcMar>
              <w:top w:type="dxa" w:w="40"/>
              <w:left w:type="dxa" w:w="80"/>
              <w:bottom w:type="dxa" w:w="40"/>
              <w:right w:type="dxa" w:w="80"/>
            </w:tcMar>
          </w:tcPr>
          <w:p>
            <w:pPr>
              <w:spacing w:after="0" w:line="240"/>
            </w:pPr>
            <w:r>
              <w:rPr>
                <w:rFonts w:ascii="Calibri" w:cs="Calibri" w:eastAsia="Calibri" w:hAnsi="Calibri"/>
                <w:sz w:val="17"/>
                <w:szCs w:val="17"/>
              </w:rPr>
              <w:t xml:space="preserve">Version datée et signée</w:t>
            </w:r>
          </w:p>
        </w:tc>
        <w:tc>
          <w:tcPr>
            <w:tcW w:type="dxa" w:w="3300"/>
            <w:tcMar>
              <w:top w:type="dxa" w:w="40"/>
              <w:left w:type="dxa" w:w="80"/>
              <w:bottom w:type="dxa" w:w="40"/>
              <w:right w:type="dxa" w:w="80"/>
            </w:tcMar>
          </w:tcPr>
          <w:p>
            <w:pPr>
              <w:spacing w:after="0" w:line="240"/>
            </w:pPr>
            <w:r>
              <w:rPr>
                <w:rFonts w:ascii="Calibri" w:cs="Calibri" w:eastAsia="Calibri" w:hAnsi="Calibri"/>
                <w:sz w:val="17"/>
                <w:szCs w:val="17"/>
              </w:rPr>
              <w:t xml:space="preserve">Marge brute, marge stressée, coût foncier / CA, LTC</w:t>
            </w:r>
          </w:p>
        </w:tc>
      </w:tr>
      <w:tr>
        <w:trPr>
          <w:cantSplit/>
        </w:trPr>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P17</w:t>
            </w:r>
          </w:p>
        </w:tc>
        <w:tc>
          <w:tcPr>
            <w:tcW w:type="dxa" w:w="5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Plan de trésorerie MENSUEL du programme (encaissements, décaissements, tirages, remboursements)</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Promoteur</w:t>
            </w:r>
          </w:p>
        </w:tc>
        <w:tc>
          <w:tcPr>
            <w:tcW w:type="dxa" w:w="2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Mis à jour à chaque revue</w:t>
            </w:r>
          </w:p>
        </w:tc>
        <w:tc>
          <w:tcPr>
            <w:tcW w:type="dxa" w:w="3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Cash coverage, impasse brute, impasse persistante</w:t>
            </w:r>
          </w:p>
        </w:tc>
      </w:tr>
      <w:tr>
        <w:trPr>
          <w:cantSplit/>
        </w:trPr>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P18</w:t>
            </w:r>
          </w:p>
        </w:tc>
        <w:tc>
          <w:tcPr>
            <w:tcW w:type="dxa" w:w="5500"/>
            <w:tcMar>
              <w:top w:type="dxa" w:w="40"/>
              <w:left w:type="dxa" w:w="80"/>
              <w:bottom w:type="dxa" w:w="40"/>
              <w:right w:type="dxa" w:w="80"/>
            </w:tcMar>
          </w:tcPr>
          <w:p>
            <w:pPr>
              <w:spacing w:after="0" w:line="240"/>
            </w:pPr>
            <w:r>
              <w:rPr>
                <w:rFonts w:ascii="Calibri" w:cs="Calibri" w:eastAsia="Calibri" w:hAnsi="Calibri"/>
                <w:sz w:val="17"/>
                <w:szCs w:val="17"/>
              </w:rPr>
              <w:t xml:space="preserve">Étude de marché, grille de prix et références de transactions comparables</w:t>
            </w:r>
          </w:p>
        </w:tc>
        <w:tc>
          <w:tcPr>
            <w:tcW w:type="dxa" w:w="2600"/>
            <w:tcMar>
              <w:top w:type="dxa" w:w="40"/>
              <w:left w:type="dxa" w:w="80"/>
              <w:bottom w:type="dxa" w:w="40"/>
              <w:right w:type="dxa" w:w="80"/>
            </w:tcMar>
          </w:tcPr>
          <w:p>
            <w:pPr>
              <w:spacing w:after="0" w:line="240"/>
            </w:pPr>
            <w:r>
              <w:rPr>
                <w:rFonts w:ascii="Calibri" w:cs="Calibri" w:eastAsia="Calibri" w:hAnsi="Calibri"/>
                <w:sz w:val="17"/>
                <w:szCs w:val="17"/>
              </w:rPr>
              <w:t xml:space="preserve">Promoteur ; expert ; banque</w:t>
            </w:r>
          </w:p>
        </w:tc>
        <w:tc>
          <w:tcPr>
            <w:tcW w:type="dxa" w:w="2300"/>
            <w:tcMar>
              <w:top w:type="dxa" w:w="40"/>
              <w:left w:type="dxa" w:w="80"/>
              <w:bottom w:type="dxa" w:w="40"/>
              <w:right w:type="dxa" w:w="80"/>
            </w:tcMar>
          </w:tcPr>
          <w:p>
            <w:pPr>
              <w:spacing w:after="0" w:line="240"/>
            </w:pPr>
            <w:r>
              <w:rPr>
                <w:rFonts w:ascii="Calibri" w:cs="Calibri" w:eastAsia="Calibri" w:hAnsi="Calibri"/>
                <w:sz w:val="17"/>
                <w:szCs w:val="17"/>
              </w:rPr>
              <w:t xml:space="preserve">Moins de 12 mois</w:t>
            </w:r>
          </w:p>
        </w:tc>
        <w:tc>
          <w:tcPr>
            <w:tcW w:type="dxa" w:w="3300"/>
            <w:tcMar>
              <w:top w:type="dxa" w:w="40"/>
              <w:left w:type="dxa" w:w="80"/>
              <w:bottom w:type="dxa" w:w="40"/>
              <w:right w:type="dxa" w:w="80"/>
            </w:tcMar>
          </w:tcPr>
          <w:p>
            <w:pPr>
              <w:spacing w:after="0" w:line="240"/>
            </w:pPr>
            <w:r>
              <w:rPr>
                <w:rFonts w:ascii="Calibri" w:cs="Calibri" w:eastAsia="Calibri" w:hAnsi="Calibri"/>
                <w:sz w:val="17"/>
                <w:szCs w:val="17"/>
              </w:rPr>
              <w:t xml:space="preserve">Marché &amp; positionnement ; sensibilité macro / subvention</w:t>
            </w:r>
          </w:p>
        </w:tc>
      </w:tr>
      <w:tr>
        <w:trPr>
          <w:cantSplit/>
        </w:trPr>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P19</w:t>
            </w:r>
          </w:p>
        </w:tc>
        <w:tc>
          <w:tcPr>
            <w:tcW w:type="dxa" w:w="5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Dossier technique : plans, CPS, marchés des entreprises (montants, délais, pénalités), note du BET</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Promoteur ; architecte ; BET</w:t>
            </w:r>
          </w:p>
        </w:tc>
        <w:tc>
          <w:tcPr>
            <w:tcW w:type="dxa" w:w="2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w:t>
            </w:r>
          </w:p>
        </w:tc>
        <w:tc>
          <w:tcPr>
            <w:tcW w:type="dxa" w:w="3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Complexité technique</w:t>
            </w:r>
          </w:p>
        </w:tc>
      </w:tr>
      <w:tr>
        <w:trPr>
          <w:cantSplit/>
        </w:trPr>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P20</w:t>
            </w:r>
          </w:p>
        </w:tc>
        <w:tc>
          <w:tcPr>
            <w:tcW w:type="dxa" w:w="5500"/>
            <w:tcMar>
              <w:top w:type="dxa" w:w="40"/>
              <w:left w:type="dxa" w:w="80"/>
              <w:bottom w:type="dxa" w:w="40"/>
              <w:right w:type="dxa" w:w="80"/>
            </w:tcMar>
          </w:tcPr>
          <w:p>
            <w:pPr>
              <w:spacing w:after="0" w:line="240"/>
            </w:pPr>
            <w:r>
              <w:rPr>
                <w:rFonts w:ascii="Calibri" w:cs="Calibri" w:eastAsia="Calibri" w:hAnsi="Calibri"/>
                <w:sz w:val="17"/>
                <w:szCs w:val="17"/>
              </w:rPr>
              <w:t xml:space="preserve">Planning contractuel des travaux</w:t>
            </w:r>
          </w:p>
        </w:tc>
        <w:tc>
          <w:tcPr>
            <w:tcW w:type="dxa" w:w="2600"/>
            <w:tcMar>
              <w:top w:type="dxa" w:w="40"/>
              <w:left w:type="dxa" w:w="80"/>
              <w:bottom w:type="dxa" w:w="40"/>
              <w:right w:type="dxa" w:w="80"/>
            </w:tcMar>
          </w:tcPr>
          <w:p>
            <w:pPr>
              <w:spacing w:after="0" w:line="240"/>
            </w:pPr>
            <w:r>
              <w:rPr>
                <w:rFonts w:ascii="Calibri" w:cs="Calibri" w:eastAsia="Calibri" w:hAnsi="Calibri"/>
                <w:sz w:val="17"/>
                <w:szCs w:val="17"/>
              </w:rPr>
              <w:t xml:space="preserve">Promoteur ; entreprise</w:t>
            </w:r>
          </w:p>
        </w:tc>
        <w:tc>
          <w:tcPr>
            <w:tcW w:type="dxa" w:w="2300"/>
            <w:tcMar>
              <w:top w:type="dxa" w:w="40"/>
              <w:left w:type="dxa" w:w="80"/>
              <w:bottom w:type="dxa" w:w="40"/>
              <w:right w:type="dxa" w:w="80"/>
            </w:tcMar>
          </w:tcPr>
          <w:p>
            <w:pPr>
              <w:spacing w:after="0" w:line="240"/>
            </w:pPr>
            <w:r>
              <w:rPr>
                <w:rFonts w:ascii="Calibri" w:cs="Calibri" w:eastAsia="Calibri" w:hAnsi="Calibri"/>
                <w:sz w:val="17"/>
                <w:szCs w:val="17"/>
              </w:rPr>
              <w:t xml:space="preserve">Version en vigueur</w:t>
            </w:r>
          </w:p>
        </w:tc>
        <w:tc>
          <w:tcPr>
            <w:tcW w:type="dxa" w:w="3300"/>
            <w:tcMar>
              <w:top w:type="dxa" w:w="40"/>
              <w:left w:type="dxa" w:w="80"/>
              <w:bottom w:type="dxa" w:w="40"/>
              <w:right w:type="dxa" w:w="80"/>
            </w:tcMar>
          </w:tcPr>
          <w:p>
            <w:pPr>
              <w:spacing w:after="0" w:line="240"/>
            </w:pPr>
            <w:r>
              <w:rPr>
                <w:rFonts w:ascii="Calibri" w:cs="Calibri" w:eastAsia="Calibri" w:hAnsi="Calibri"/>
                <w:sz w:val="17"/>
                <w:szCs w:val="17"/>
              </w:rPr>
              <w:t xml:space="preserve">Avancement vs planning ; retard de chantier</w:t>
            </w:r>
          </w:p>
        </w:tc>
      </w:tr>
      <w:tr>
        <w:trPr>
          <w:cantSplit/>
        </w:trPr>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P21</w:t>
            </w:r>
          </w:p>
        </w:tc>
        <w:tc>
          <w:tcPr>
            <w:tcW w:type="dxa" w:w="5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Situations de travaux visées (architecte / BET) et rapports de visite de chantier</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Maître d'œuvre ; banque</w:t>
            </w:r>
          </w:p>
        </w:tc>
        <w:tc>
          <w:tcPr>
            <w:tcW w:type="dxa" w:w="2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Avant chaque tirage</w:t>
            </w:r>
          </w:p>
        </w:tc>
        <w:tc>
          <w:tcPr>
            <w:tcW w:type="dxa" w:w="3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Avancement vs planning ; déblocages ; arrêt de chantier</w:t>
            </w:r>
          </w:p>
        </w:tc>
      </w:tr>
    </w:tbl>
    <w:p>
      <w:pPr>
        <w:pStyle w:val="Heading2"/>
        <w:keepNext/>
      </w:pPr>
      <w:r>
        <w:t xml:space="preserve">D. Commercialisation et acquéreurs</w:t>
      </w:r>
    </w:p>
    <w:tbl>
      <w:tblPr>
        <w:tblW w:type="dxa" w:w="14400"/>
        <w:tblBorders>
          <w:top w:val="single" w:color="AEB6C6" w:sz="2"/>
          <w:left w:val="single" w:color="AEB6C6" w:sz="2"/>
          <w:bottom w:val="single" w:color="AEB6C6" w:sz="2"/>
          <w:right w:val="single" w:color="AEB6C6" w:sz="2"/>
          <w:insideH w:val="single" w:color="D0D6E2" w:sz="1"/>
          <w:insideV w:val="single" w:color="D0D6E2" w:sz="1"/>
        </w:tblBorders>
      </w:tblPr>
      <w:tblGrid>
        <w:gridCol w:w="700"/>
        <w:gridCol w:w="5500"/>
        <w:gridCol w:w="2600"/>
        <w:gridCol w:w="2300"/>
        <w:gridCol w:w="3300"/>
      </w:tblGrid>
      <w:tr>
        <w:trPr>
          <w:cantSplit/>
          <w:tblHeader/>
        </w:trPr>
        <w:tc>
          <w:tcPr>
            <w:tcW w:type="dxa" w:w="7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Réf.</w:t>
            </w:r>
          </w:p>
        </w:tc>
        <w:tc>
          <w:tcPr>
            <w:tcW w:type="dxa" w:w="55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Pièce</w:t>
            </w:r>
          </w:p>
        </w:tc>
        <w:tc>
          <w:tcPr>
            <w:tcW w:type="dxa" w:w="26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Émetteur</w:t>
            </w:r>
          </w:p>
        </w:tc>
        <w:tc>
          <w:tcPr>
            <w:tcW w:type="dxa" w:w="23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Fraîcheur</w:t>
            </w:r>
          </w:p>
        </w:tc>
        <w:tc>
          <w:tcPr>
            <w:tcW w:type="dxa" w:w="33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Alimente</w:t>
            </w:r>
          </w:p>
        </w:tc>
      </w:tr>
      <w:tr>
        <w:trPr>
          <w:cantSplit/>
        </w:trPr>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P22</w:t>
            </w:r>
          </w:p>
        </w:tc>
        <w:tc>
          <w:tcPr>
            <w:tcW w:type="dxa" w:w="5500"/>
            <w:tcMar>
              <w:top w:type="dxa" w:w="40"/>
              <w:left w:type="dxa" w:w="80"/>
              <w:bottom w:type="dxa" w:w="40"/>
              <w:right w:type="dxa" w:w="80"/>
            </w:tcMar>
          </w:tcPr>
          <w:p>
            <w:pPr>
              <w:spacing w:after="0" w:line="240"/>
            </w:pPr>
            <w:r>
              <w:rPr>
                <w:rFonts w:ascii="Calibri" w:cs="Calibri" w:eastAsia="Calibri" w:hAnsi="Calibri"/>
                <w:sz w:val="17"/>
                <w:szCs w:val="17"/>
              </w:rPr>
              <w:t xml:space="preserve">État des ventes lot par lot : prix, date, statut (réservé, compromis, vendu, livré, désisté), acomptes encaissés</w:t>
            </w:r>
          </w:p>
        </w:tc>
        <w:tc>
          <w:tcPr>
            <w:tcW w:type="dxa" w:w="2600"/>
            <w:tcMar>
              <w:top w:type="dxa" w:w="40"/>
              <w:left w:type="dxa" w:w="80"/>
              <w:bottom w:type="dxa" w:w="40"/>
              <w:right w:type="dxa" w:w="80"/>
            </w:tcMar>
          </w:tcPr>
          <w:p>
            <w:pPr>
              <w:spacing w:after="0" w:line="240"/>
            </w:pPr>
            <w:r>
              <w:rPr>
                <w:rFonts w:ascii="Calibri" w:cs="Calibri" w:eastAsia="Calibri" w:hAnsi="Calibri"/>
                <w:sz w:val="17"/>
                <w:szCs w:val="17"/>
              </w:rPr>
              <w:t xml:space="preserve">Promoteur</w:t>
            </w:r>
          </w:p>
        </w:tc>
        <w:tc>
          <w:tcPr>
            <w:tcW w:type="dxa" w:w="2300"/>
            <w:tcMar>
              <w:top w:type="dxa" w:w="40"/>
              <w:left w:type="dxa" w:w="80"/>
              <w:bottom w:type="dxa" w:w="40"/>
              <w:right w:type="dxa" w:w="80"/>
            </w:tcMar>
          </w:tcPr>
          <w:p>
            <w:pPr>
              <w:spacing w:after="0" w:line="240"/>
            </w:pPr>
            <w:r>
              <w:rPr>
                <w:rFonts w:ascii="Calibri" w:cs="Calibri" w:eastAsia="Calibri" w:hAnsi="Calibri"/>
                <w:sz w:val="17"/>
                <w:szCs w:val="17"/>
              </w:rPr>
              <w:t xml:space="preserve">Mensuel</w:t>
            </w:r>
          </w:p>
        </w:tc>
        <w:tc>
          <w:tcPr>
            <w:tcW w:type="dxa" w:w="3300"/>
            <w:tcMar>
              <w:top w:type="dxa" w:w="40"/>
              <w:left w:type="dxa" w:w="80"/>
              <w:bottom w:type="dxa" w:w="40"/>
              <w:right w:type="dxa" w:w="80"/>
            </w:tcMar>
          </w:tcPr>
          <w:p>
            <w:pPr>
              <w:spacing w:after="0" w:line="240"/>
            </w:pPr>
            <w:r>
              <w:rPr>
                <w:rFonts w:ascii="Calibri" w:cs="Calibri" w:eastAsia="Calibri" w:hAnsi="Calibri"/>
                <w:sz w:val="17"/>
                <w:szCs w:val="17"/>
              </w:rPr>
              <w:t xml:space="preserve">Préventes, ventes vs planning, rotation du stock, DSO</w:t>
            </w:r>
          </w:p>
        </w:tc>
      </w:tr>
      <w:tr>
        <w:trPr>
          <w:cantSplit/>
        </w:trPr>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P23</w:t>
            </w:r>
          </w:p>
        </w:tc>
        <w:tc>
          <w:tcPr>
            <w:tcW w:type="dxa" w:w="5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Contrats de réservation, contrats VEFA (loi 44-00 modifiée par la loi 107-12) et actes de vente</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Notaire ; promoteur</w:t>
            </w:r>
          </w:p>
        </w:tc>
        <w:tc>
          <w:tcPr>
            <w:tcW w:type="dxa" w:w="2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w:t>
            </w:r>
          </w:p>
        </w:tc>
        <w:tc>
          <w:tcPr>
            <w:tcW w:type="dxa" w:w="3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Préventes juridiquement sécurisées</w:t>
            </w:r>
          </w:p>
        </w:tc>
      </w:tr>
      <w:tr>
        <w:trPr>
          <w:cantSplit/>
        </w:trPr>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P24</w:t>
            </w:r>
          </w:p>
        </w:tc>
        <w:tc>
          <w:tcPr>
            <w:tcW w:type="dxa" w:w="5500"/>
            <w:tcMar>
              <w:top w:type="dxa" w:w="40"/>
              <w:left w:type="dxa" w:w="80"/>
              <w:bottom w:type="dxa" w:w="40"/>
              <w:right w:type="dxa" w:w="80"/>
            </w:tcMar>
          </w:tcPr>
          <w:p>
            <w:pPr>
              <w:spacing w:after="0" w:line="240"/>
            </w:pPr>
            <w:r>
              <w:rPr>
                <w:rFonts w:ascii="Calibri" w:cs="Calibri" w:eastAsia="Calibri" w:hAnsi="Calibri"/>
                <w:sz w:val="17"/>
                <w:szCs w:val="17"/>
              </w:rPr>
              <w:t xml:space="preserve">Financement de chaque acquéreur : attestation de déblocage, offre ou accord de crédit, dépôt de dossier, justificatif d'autofinancement, dispositif d'aide</w:t>
            </w:r>
          </w:p>
        </w:tc>
        <w:tc>
          <w:tcPr>
            <w:tcW w:type="dxa" w:w="2600"/>
            <w:tcMar>
              <w:top w:type="dxa" w:w="40"/>
              <w:left w:type="dxa" w:w="80"/>
              <w:bottom w:type="dxa" w:w="40"/>
              <w:right w:type="dxa" w:w="80"/>
            </w:tcMar>
          </w:tcPr>
          <w:p>
            <w:pPr>
              <w:spacing w:after="0" w:line="240"/>
            </w:pPr>
            <w:r>
              <w:rPr>
                <w:rFonts w:ascii="Calibri" w:cs="Calibri" w:eastAsia="Calibri" w:hAnsi="Calibri"/>
                <w:sz w:val="17"/>
                <w:szCs w:val="17"/>
              </w:rPr>
              <w:t xml:space="preserve">Banque de l'acquéreur ; acquéreur</w:t>
            </w:r>
          </w:p>
        </w:tc>
        <w:tc>
          <w:tcPr>
            <w:tcW w:type="dxa" w:w="2300"/>
            <w:tcMar>
              <w:top w:type="dxa" w:w="40"/>
              <w:left w:type="dxa" w:w="80"/>
              <w:bottom w:type="dxa" w:w="40"/>
              <w:right w:type="dxa" w:w="80"/>
            </w:tcMar>
          </w:tcPr>
          <w:p>
            <w:pPr>
              <w:spacing w:after="0" w:line="240"/>
            </w:pPr>
            <w:r>
              <w:rPr>
                <w:rFonts w:ascii="Calibri" w:cs="Calibri" w:eastAsia="Calibri" w:hAnsi="Calibri"/>
                <w:sz w:val="17"/>
                <w:szCs w:val="17"/>
              </w:rPr>
              <w:t xml:space="preserve">À chaque revue</w:t>
            </w:r>
          </w:p>
        </w:tc>
        <w:tc>
          <w:tcPr>
            <w:tcW w:type="dxa" w:w="3300"/>
            <w:tcMar>
              <w:top w:type="dxa" w:w="40"/>
              <w:left w:type="dxa" w:w="80"/>
              <w:bottom w:type="dxa" w:w="40"/>
              <w:right w:type="dxa" w:w="80"/>
            </w:tcMar>
          </w:tcPr>
          <w:p>
            <w:pPr>
              <w:spacing w:after="0" w:line="240"/>
            </w:pPr>
            <w:r>
              <w:rPr>
                <w:rFonts w:ascii="Calibri" w:cs="Calibri" w:eastAsia="Calibri" w:hAnsi="Calibri"/>
                <w:sz w:val="17"/>
                <w:szCs w:val="17"/>
              </w:rPr>
              <w:t xml:space="preserve">Ventes sécurisées par le financement acquéreur ; alerte acquéreurs non financés</w:t>
            </w:r>
          </w:p>
        </w:tc>
      </w:tr>
      <w:tr>
        <w:trPr>
          <w:cantSplit/>
        </w:trPr>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P25</w:t>
            </w:r>
          </w:p>
        </w:tc>
        <w:tc>
          <w:tcPr>
            <w:tcW w:type="dxa" w:w="5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État des réclamations clients, désistements et litiges</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Promoteur ; avocat</w:t>
            </w:r>
          </w:p>
        </w:tc>
        <w:tc>
          <w:tcPr>
            <w:tcW w:type="dxa" w:w="2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À chaque revue</w:t>
            </w:r>
          </w:p>
        </w:tc>
        <w:tc>
          <w:tcPr>
            <w:tcW w:type="dxa" w:w="3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Litiges clients / SAV ; exposition contentieuse</w:t>
            </w:r>
          </w:p>
        </w:tc>
      </w:tr>
    </w:tbl>
    <w:p>
      <w:pPr>
        <w:pStyle w:val="Heading2"/>
        <w:keepNext/>
      </w:pPr>
      <w:r>
        <w:t xml:space="preserve">E. Financement et garanties</w:t>
      </w:r>
    </w:p>
    <w:tbl>
      <w:tblPr>
        <w:tblW w:type="dxa" w:w="14400"/>
        <w:tblBorders>
          <w:top w:val="single" w:color="AEB6C6" w:sz="2"/>
          <w:left w:val="single" w:color="AEB6C6" w:sz="2"/>
          <w:bottom w:val="single" w:color="AEB6C6" w:sz="2"/>
          <w:right w:val="single" w:color="AEB6C6" w:sz="2"/>
          <w:insideH w:val="single" w:color="D0D6E2" w:sz="1"/>
          <w:insideV w:val="single" w:color="D0D6E2" w:sz="1"/>
        </w:tblBorders>
      </w:tblPr>
      <w:tblGrid>
        <w:gridCol w:w="700"/>
        <w:gridCol w:w="5500"/>
        <w:gridCol w:w="2600"/>
        <w:gridCol w:w="2300"/>
        <w:gridCol w:w="3300"/>
      </w:tblGrid>
      <w:tr>
        <w:trPr>
          <w:cantSplit/>
          <w:tblHeader/>
        </w:trPr>
        <w:tc>
          <w:tcPr>
            <w:tcW w:type="dxa" w:w="7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Réf.</w:t>
            </w:r>
          </w:p>
        </w:tc>
        <w:tc>
          <w:tcPr>
            <w:tcW w:type="dxa" w:w="55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Pièce</w:t>
            </w:r>
          </w:p>
        </w:tc>
        <w:tc>
          <w:tcPr>
            <w:tcW w:type="dxa" w:w="26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Émetteur</w:t>
            </w:r>
          </w:p>
        </w:tc>
        <w:tc>
          <w:tcPr>
            <w:tcW w:type="dxa" w:w="23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Fraîcheur</w:t>
            </w:r>
          </w:p>
        </w:tc>
        <w:tc>
          <w:tcPr>
            <w:tcW w:type="dxa" w:w="33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Alimente</w:t>
            </w:r>
          </w:p>
        </w:tc>
      </w:tr>
      <w:tr>
        <w:trPr>
          <w:cantSplit/>
        </w:trPr>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P26</w:t>
            </w:r>
          </w:p>
        </w:tc>
        <w:tc>
          <w:tcPr>
            <w:tcW w:type="dxa" w:w="5500"/>
            <w:tcMar>
              <w:top w:type="dxa" w:w="40"/>
              <w:left w:type="dxa" w:w="80"/>
              <w:bottom w:type="dxa" w:w="40"/>
              <w:right w:type="dxa" w:w="80"/>
            </w:tcMar>
          </w:tcPr>
          <w:p>
            <w:pPr>
              <w:spacing w:after="0" w:line="240"/>
            </w:pPr>
            <w:r>
              <w:rPr>
                <w:rFonts w:ascii="Calibri" w:cs="Calibri" w:eastAsia="Calibri" w:hAnsi="Calibri"/>
                <w:sz w:val="17"/>
                <w:szCs w:val="17"/>
              </w:rPr>
              <w:t xml:space="preserve">Demande de crédit : montant, natures de concours, échéancier, plan de tirage</w:t>
            </w:r>
          </w:p>
        </w:tc>
        <w:tc>
          <w:tcPr>
            <w:tcW w:type="dxa" w:w="2600"/>
            <w:tcMar>
              <w:top w:type="dxa" w:w="40"/>
              <w:left w:type="dxa" w:w="80"/>
              <w:bottom w:type="dxa" w:w="40"/>
              <w:right w:type="dxa" w:w="80"/>
            </w:tcMar>
          </w:tcPr>
          <w:p>
            <w:pPr>
              <w:spacing w:after="0" w:line="240"/>
            </w:pPr>
            <w:r>
              <w:rPr>
                <w:rFonts w:ascii="Calibri" w:cs="Calibri" w:eastAsia="Calibri" w:hAnsi="Calibri"/>
                <w:sz w:val="17"/>
                <w:szCs w:val="17"/>
              </w:rPr>
              <w:t xml:space="preserve">Promoteur ; chargé d'affaires</w:t>
            </w:r>
          </w:p>
        </w:tc>
        <w:tc>
          <w:tcPr>
            <w:tcW w:type="dxa" w:w="2300"/>
            <w:tcMar>
              <w:top w:type="dxa" w:w="40"/>
              <w:left w:type="dxa" w:w="80"/>
              <w:bottom w:type="dxa" w:w="40"/>
              <w:right w:type="dxa" w:w="80"/>
            </w:tcMar>
          </w:tcPr>
          <w:p>
            <w:pPr>
              <w:spacing w:after="0" w:line="240"/>
            </w:pPr>
            <w:r>
              <w:rPr>
                <w:rFonts w:ascii="Calibri" w:cs="Calibri" w:eastAsia="Calibri" w:hAnsi="Calibri"/>
                <w:sz w:val="17"/>
                <w:szCs w:val="17"/>
              </w:rPr>
              <w:t xml:space="preserve">—</w:t>
            </w:r>
          </w:p>
        </w:tc>
        <w:tc>
          <w:tcPr>
            <w:tcW w:type="dxa" w:w="3300"/>
            <w:tcMar>
              <w:top w:type="dxa" w:w="40"/>
              <w:left w:type="dxa" w:w="80"/>
              <w:bottom w:type="dxa" w:w="40"/>
              <w:right w:type="dxa" w:w="80"/>
            </w:tcMar>
          </w:tcPr>
          <w:p>
            <w:pPr>
              <w:spacing w:after="0" w:line="240"/>
            </w:pPr>
            <w:r>
              <w:rPr>
                <w:rFonts w:ascii="Calibri" w:cs="Calibri" w:eastAsia="Calibri" w:hAnsi="Calibri"/>
                <w:sz w:val="17"/>
                <w:szCs w:val="17"/>
              </w:rPr>
              <w:t xml:space="preserve">LTC ; facilités ; déblocages</w:t>
            </w:r>
          </w:p>
        </w:tc>
      </w:tr>
      <w:tr>
        <w:trPr>
          <w:cantSplit/>
        </w:trPr>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P27</w:t>
            </w:r>
          </w:p>
        </w:tc>
        <w:tc>
          <w:tcPr>
            <w:tcW w:type="dxa" w:w="5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Rapport d'expertise immobilière indépendant (valeur actuelle, valeur à l'achèvement)</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Expert agréé</w:t>
            </w:r>
          </w:p>
        </w:tc>
        <w:tc>
          <w:tcPr>
            <w:tcW w:type="dxa" w:w="2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Moins de 12 mois</w:t>
            </w:r>
          </w:p>
        </w:tc>
        <w:tc>
          <w:tcPr>
            <w:tcW w:type="dxa" w:w="3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LTV stressée ; couverture des garanties</w:t>
            </w:r>
          </w:p>
        </w:tc>
      </w:tr>
      <w:tr>
        <w:trPr>
          <w:cantSplit/>
        </w:trPr>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P28</w:t>
            </w:r>
          </w:p>
        </w:tc>
        <w:tc>
          <w:tcPr>
            <w:tcW w:type="dxa" w:w="5500"/>
            <w:tcMar>
              <w:top w:type="dxa" w:w="40"/>
              <w:left w:type="dxa" w:w="80"/>
              <w:bottom w:type="dxa" w:w="40"/>
              <w:right w:type="dxa" w:w="80"/>
            </w:tcMar>
          </w:tcPr>
          <w:p>
            <w:pPr>
              <w:spacing w:after="0" w:line="240"/>
            </w:pPr>
            <w:r>
              <w:rPr>
                <w:rFonts w:ascii="Calibri" w:cs="Calibri" w:eastAsia="Calibri" w:hAnsi="Calibri"/>
                <w:sz w:val="17"/>
                <w:szCs w:val="17"/>
              </w:rPr>
              <w:t xml:space="preserve">État des garanties proposées (hypothèque, cautions, nantissements, GFA) et projets d'actes</w:t>
            </w:r>
          </w:p>
        </w:tc>
        <w:tc>
          <w:tcPr>
            <w:tcW w:type="dxa" w:w="2600"/>
            <w:tcMar>
              <w:top w:type="dxa" w:w="40"/>
              <w:left w:type="dxa" w:w="80"/>
              <w:bottom w:type="dxa" w:w="40"/>
              <w:right w:type="dxa" w:w="80"/>
            </w:tcMar>
          </w:tcPr>
          <w:p>
            <w:pPr>
              <w:spacing w:after="0" w:line="240"/>
            </w:pPr>
            <w:r>
              <w:rPr>
                <w:rFonts w:ascii="Calibri" w:cs="Calibri" w:eastAsia="Calibri" w:hAnsi="Calibri"/>
                <w:sz w:val="17"/>
                <w:szCs w:val="17"/>
              </w:rPr>
              <w:t xml:space="preserve">Promoteur ; notaire</w:t>
            </w:r>
          </w:p>
        </w:tc>
        <w:tc>
          <w:tcPr>
            <w:tcW w:type="dxa" w:w="2300"/>
            <w:tcMar>
              <w:top w:type="dxa" w:w="40"/>
              <w:left w:type="dxa" w:w="80"/>
              <w:bottom w:type="dxa" w:w="40"/>
              <w:right w:type="dxa" w:w="80"/>
            </w:tcMar>
          </w:tcPr>
          <w:p>
            <w:pPr>
              <w:spacing w:after="0" w:line="240"/>
            </w:pPr>
            <w:r>
              <w:rPr>
                <w:rFonts w:ascii="Calibri" w:cs="Calibri" w:eastAsia="Calibri" w:hAnsi="Calibri"/>
                <w:sz w:val="17"/>
                <w:szCs w:val="17"/>
              </w:rPr>
              <w:t xml:space="preserve">—</w:t>
            </w:r>
          </w:p>
        </w:tc>
        <w:tc>
          <w:tcPr>
            <w:tcW w:type="dxa" w:w="3300"/>
            <w:tcMar>
              <w:top w:type="dxa" w:w="40"/>
              <w:left w:type="dxa" w:w="80"/>
              <w:bottom w:type="dxa" w:w="40"/>
              <w:right w:type="dxa" w:w="80"/>
            </w:tcMar>
          </w:tcPr>
          <w:p>
            <w:pPr>
              <w:spacing w:after="0" w:line="240"/>
            </w:pPr>
            <w:r>
              <w:rPr>
                <w:rFonts w:ascii="Calibri" w:cs="Calibri" w:eastAsia="Calibri" w:hAnsi="Calibri"/>
                <w:sz w:val="17"/>
                <w:szCs w:val="17"/>
              </w:rPr>
              <w:t xml:space="preserve">Couverture des garanties ; rang ; garanties affectées</w:t>
            </w:r>
          </w:p>
        </w:tc>
      </w:tr>
      <w:tr>
        <w:trPr>
          <w:cantSplit/>
        </w:trPr>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P29</w:t>
            </w:r>
          </w:p>
        </w:tc>
        <w:tc>
          <w:tcPr>
            <w:tcW w:type="dxa" w:w="5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Convention de crédit : clause de mainlevée partielle (quotité de désengagement par lot)</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Banque</w:t>
            </w:r>
          </w:p>
        </w:tc>
        <w:tc>
          <w:tcPr>
            <w:tcW w:type="dxa" w:w="2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Version signée</w:t>
            </w:r>
          </w:p>
        </w:tc>
        <w:tc>
          <w:tcPr>
            <w:tcW w:type="dxa" w:w="3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Quotité de désengagement ; alerte mainlevée sous-tarifée</w:t>
            </w:r>
          </w:p>
        </w:tc>
      </w:tr>
    </w:tbl>
    <w:p>
      <w:pPr>
        <w:pStyle w:val="Heading2"/>
        <w:keepNext/>
      </w:pPr>
      <w:r>
        <w:t xml:space="preserve">F. Situation bancaire et réglementaire (dossier en cours)</w:t>
      </w:r>
    </w:p>
    <w:tbl>
      <w:tblPr>
        <w:tblW w:type="dxa" w:w="14400"/>
        <w:tblBorders>
          <w:top w:val="single" w:color="AEB6C6" w:sz="2"/>
          <w:left w:val="single" w:color="AEB6C6" w:sz="2"/>
          <w:bottom w:val="single" w:color="AEB6C6" w:sz="2"/>
          <w:right w:val="single" w:color="AEB6C6" w:sz="2"/>
          <w:insideH w:val="single" w:color="D0D6E2" w:sz="1"/>
          <w:insideV w:val="single" w:color="D0D6E2" w:sz="1"/>
        </w:tblBorders>
      </w:tblPr>
      <w:tblGrid>
        <w:gridCol w:w="700"/>
        <w:gridCol w:w="5500"/>
        <w:gridCol w:w="2600"/>
        <w:gridCol w:w="2300"/>
        <w:gridCol w:w="3300"/>
      </w:tblGrid>
      <w:tr>
        <w:trPr>
          <w:cantSplit/>
          <w:tblHeader/>
        </w:trPr>
        <w:tc>
          <w:tcPr>
            <w:tcW w:type="dxa" w:w="7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Réf.</w:t>
            </w:r>
          </w:p>
        </w:tc>
        <w:tc>
          <w:tcPr>
            <w:tcW w:type="dxa" w:w="55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Pièce</w:t>
            </w:r>
          </w:p>
        </w:tc>
        <w:tc>
          <w:tcPr>
            <w:tcW w:type="dxa" w:w="26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Émetteur</w:t>
            </w:r>
          </w:p>
        </w:tc>
        <w:tc>
          <w:tcPr>
            <w:tcW w:type="dxa" w:w="23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Fraîcheur</w:t>
            </w:r>
          </w:p>
        </w:tc>
        <w:tc>
          <w:tcPr>
            <w:tcW w:type="dxa" w:w="33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Alimente</w:t>
            </w:r>
          </w:p>
        </w:tc>
      </w:tr>
      <w:tr>
        <w:trPr>
          <w:cantSplit/>
        </w:trPr>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P31</w:t>
            </w:r>
          </w:p>
        </w:tc>
        <w:tc>
          <w:tcPr>
            <w:tcW w:type="dxa" w:w="5500"/>
            <w:tcMar>
              <w:top w:type="dxa" w:w="40"/>
              <w:left w:type="dxa" w:w="80"/>
              <w:bottom w:type="dxa" w:w="40"/>
              <w:right w:type="dxa" w:w="80"/>
            </w:tcMar>
          </w:tcPr>
          <w:p>
            <w:pPr>
              <w:spacing w:after="0" w:line="240"/>
            </w:pPr>
            <w:r>
              <w:rPr>
                <w:rFonts w:ascii="Calibri" w:cs="Calibri" w:eastAsia="Calibri" w:hAnsi="Calibri"/>
                <w:sz w:val="17"/>
                <w:szCs w:val="17"/>
              </w:rPr>
              <w:t xml:space="preserve">Échéancier et état des impayés, dépassements, mouvements du compte</w:t>
            </w:r>
          </w:p>
        </w:tc>
        <w:tc>
          <w:tcPr>
            <w:tcW w:type="dxa" w:w="2600"/>
            <w:tcMar>
              <w:top w:type="dxa" w:w="40"/>
              <w:left w:type="dxa" w:w="80"/>
              <w:bottom w:type="dxa" w:w="40"/>
              <w:right w:type="dxa" w:w="80"/>
            </w:tcMar>
          </w:tcPr>
          <w:p>
            <w:pPr>
              <w:spacing w:after="0" w:line="240"/>
            </w:pPr>
            <w:r>
              <w:rPr>
                <w:rFonts w:ascii="Calibri" w:cs="Calibri" w:eastAsia="Calibri" w:hAnsi="Calibri"/>
                <w:sz w:val="17"/>
                <w:szCs w:val="17"/>
              </w:rPr>
              <w:t xml:space="preserve">SI bancaire (T24 / Evolan)</w:t>
            </w:r>
          </w:p>
        </w:tc>
        <w:tc>
          <w:tcPr>
            <w:tcW w:type="dxa" w:w="2300"/>
            <w:tcMar>
              <w:top w:type="dxa" w:w="40"/>
              <w:left w:type="dxa" w:w="80"/>
              <w:bottom w:type="dxa" w:w="40"/>
              <w:right w:type="dxa" w:w="80"/>
            </w:tcMar>
          </w:tcPr>
          <w:p>
            <w:pPr>
              <w:spacing w:after="0" w:line="240"/>
            </w:pPr>
            <w:r>
              <w:rPr>
                <w:rFonts w:ascii="Calibri" w:cs="Calibri" w:eastAsia="Calibri" w:hAnsi="Calibri"/>
                <w:sz w:val="17"/>
                <w:szCs w:val="17"/>
              </w:rPr>
              <w:t xml:space="preserve">À la date du calcul</w:t>
            </w:r>
          </w:p>
        </w:tc>
        <w:tc>
          <w:tcPr>
            <w:tcW w:type="dxa" w:w="3300"/>
            <w:tcMar>
              <w:top w:type="dxa" w:w="40"/>
              <w:left w:type="dxa" w:w="80"/>
              <w:bottom w:type="dxa" w:w="40"/>
              <w:right w:type="dxa" w:w="80"/>
            </w:tcMar>
          </w:tcPr>
          <w:p>
            <w:pPr>
              <w:spacing w:after="0" w:line="240"/>
            </w:pPr>
            <w:r>
              <w:rPr>
                <w:rFonts w:ascii="Calibri" w:cs="Calibri" w:eastAsia="Calibri" w:hAnsi="Calibri"/>
                <w:sz w:val="17"/>
                <w:szCs w:val="17"/>
              </w:rPr>
              <w:t xml:space="preserve">Retard de paiement ; dépassements ; crédit in fine (1/W art.10-12)</w:t>
            </w:r>
          </w:p>
        </w:tc>
      </w:tr>
      <w:tr>
        <w:trPr>
          <w:cantSplit/>
        </w:trPr>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P32</w:t>
            </w:r>
          </w:p>
        </w:tc>
        <w:tc>
          <w:tcPr>
            <w:tcW w:type="dxa" w:w="5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Avenants, protocoles de restructuration, reprofilage ou consolidation</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Banque</w:t>
            </w:r>
          </w:p>
        </w:tc>
        <w:tc>
          <w:tcPr>
            <w:tcW w:type="dxa" w:w="2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w:t>
            </w:r>
          </w:p>
        </w:tc>
        <w:tc>
          <w:tcPr>
            <w:tcW w:type="dxa" w:w="3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Restructuration (1/W art.17-31) ; retour en comité</w:t>
            </w:r>
          </w:p>
        </w:tc>
      </w:tr>
      <w:tr>
        <w:trPr>
          <w:cantSplit/>
        </w:trPr>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P33</w:t>
            </w:r>
          </w:p>
        </w:tc>
        <w:tc>
          <w:tcPr>
            <w:tcW w:type="dxa" w:w="5500"/>
            <w:tcMar>
              <w:top w:type="dxa" w:w="40"/>
              <w:left w:type="dxa" w:w="80"/>
              <w:bottom w:type="dxa" w:w="40"/>
              <w:right w:type="dxa" w:w="80"/>
            </w:tcMar>
          </w:tcPr>
          <w:p>
            <w:pPr>
              <w:spacing w:after="0" w:line="240"/>
            </w:pPr>
            <w:r>
              <w:rPr>
                <w:rFonts w:ascii="Calibri" w:cs="Calibri" w:eastAsia="Calibri" w:hAnsi="Calibri"/>
                <w:sz w:val="17"/>
                <w:szCs w:val="17"/>
              </w:rPr>
              <w:t xml:space="preserve">Notifications de saisie-arrêt / ATD, assignations, jugements (redressement, liquidation)</w:t>
            </w:r>
          </w:p>
        </w:tc>
        <w:tc>
          <w:tcPr>
            <w:tcW w:type="dxa" w:w="2600"/>
            <w:tcMar>
              <w:top w:type="dxa" w:w="40"/>
              <w:left w:type="dxa" w:w="80"/>
              <w:bottom w:type="dxa" w:w="40"/>
              <w:right w:type="dxa" w:w="80"/>
            </w:tcMar>
          </w:tcPr>
          <w:p>
            <w:pPr>
              <w:spacing w:after="0" w:line="240"/>
            </w:pPr>
            <w:r>
              <w:rPr>
                <w:rFonts w:ascii="Calibri" w:cs="Calibri" w:eastAsia="Calibri" w:hAnsi="Calibri"/>
                <w:sz w:val="17"/>
                <w:szCs w:val="17"/>
              </w:rPr>
              <w:t xml:space="preserve">Tribunal ; administration fiscale</w:t>
            </w:r>
          </w:p>
        </w:tc>
        <w:tc>
          <w:tcPr>
            <w:tcW w:type="dxa" w:w="2300"/>
            <w:tcMar>
              <w:top w:type="dxa" w:w="40"/>
              <w:left w:type="dxa" w:w="80"/>
              <w:bottom w:type="dxa" w:w="40"/>
              <w:right w:type="dxa" w:w="80"/>
            </w:tcMar>
          </w:tcPr>
          <w:p>
            <w:pPr>
              <w:spacing w:after="0" w:line="240"/>
            </w:pPr>
            <w:r>
              <w:rPr>
                <w:rFonts w:ascii="Calibri" w:cs="Calibri" w:eastAsia="Calibri" w:hAnsi="Calibri"/>
                <w:sz w:val="17"/>
                <w:szCs w:val="17"/>
              </w:rPr>
              <w:t xml:space="preserve">Dès réception</w:t>
            </w:r>
          </w:p>
        </w:tc>
        <w:tc>
          <w:tcPr>
            <w:tcW w:type="dxa" w:w="3300"/>
            <w:tcMar>
              <w:top w:type="dxa" w:w="40"/>
              <w:left w:type="dxa" w:w="80"/>
              <w:bottom w:type="dxa" w:w="40"/>
              <w:right w:type="dxa" w:w="80"/>
            </w:tcMar>
          </w:tcPr>
          <w:p>
            <w:pPr>
              <w:spacing w:after="0" w:line="240"/>
            </w:pPr>
            <w:r>
              <w:rPr>
                <w:rFonts w:ascii="Calibri" w:cs="Calibri" w:eastAsia="Calibri" w:hAnsi="Calibri"/>
                <w:sz w:val="17"/>
                <w:szCs w:val="17"/>
              </w:rPr>
              <w:t xml:space="preserve">Exposition contentieuse ; classification 1/W</w:t>
            </w:r>
          </w:p>
        </w:tc>
      </w:tr>
    </w:tbl>
    <w:p>
      <w:r>
        <w:br w:type="page"/>
      </w:r>
    </w:p>
    <w:p>
      <w:pPr>
        <w:pStyle w:val="Heading1"/>
      </w:pPr>
      <w:r>
        <w:t xml:space="preserve">5. Donnée par donnée : où saisir, quelle pièce, comment calculer</w:t>
      </w:r>
    </w:p>
    <w:p>
      <w:pPr>
        <w:spacing w:after="120" w:before="0" w:line="276"/>
      </w:pPr>
      <w:r>
        <w:rPr>
          <w:rFonts w:ascii="Calibri" w:cs="Calibri" w:eastAsia="Calibri" w:hAnsi="Calibri"/>
          <w:b/>
          <w:bCs/>
          <w:color w:val="C00000"/>
          <w:sz w:val="21"/>
          <w:szCs w:val="21"/>
        </w:rPr>
        <w:t xml:space="preserve">★ </w:t>
      </w:r>
      <w:r>
        <w:rPr>
          <w:rFonts w:ascii="Calibri" w:cs="Calibri" w:eastAsia="Calibri" w:hAnsi="Calibri"/>
          <w:sz w:val="21"/>
          <w:szCs w:val="21"/>
        </w:rPr>
        <w:t xml:space="preserve">donnée décisionnelle (absente = dossier incomplet) · </w:t>
      </w:r>
      <w:r>
        <w:rPr>
          <w:rFonts w:ascii="Calibri" w:cs="Calibri" w:eastAsia="Calibri" w:hAnsi="Calibri"/>
          <w:b/>
          <w:bCs/>
          <w:color w:val="C00000"/>
          <w:sz w:val="21"/>
          <w:szCs w:val="21"/>
        </w:rPr>
        <w:t xml:space="preserve">⛔ </w:t>
      </w:r>
      <w:r>
        <w:rPr>
          <w:rFonts w:ascii="Calibri" w:cs="Calibri" w:eastAsia="Calibri" w:hAnsi="Calibri"/>
          <w:sz w:val="21"/>
          <w:szCs w:val="21"/>
        </w:rPr>
        <w:t xml:space="preserve">critère éliminatoire (jalon indiqué) · </w:t>
      </w:r>
      <w:r>
        <w:rPr>
          <w:rFonts w:ascii="Calibri" w:cs="Calibri" w:eastAsia="Calibri" w:hAnsi="Calibri"/>
          <w:b/>
          <w:bCs/>
          <w:color w:val="2E5496"/>
          <w:sz w:val="21"/>
          <w:szCs w:val="21"/>
        </w:rPr>
        <w:t xml:space="preserve">S </w:t>
      </w:r>
      <w:r>
        <w:rPr>
          <w:rFonts w:ascii="Calibri" w:cs="Calibri" w:eastAsia="Calibri" w:hAnsi="Calibri"/>
          <w:sz w:val="21"/>
          <w:szCs w:val="21"/>
        </w:rPr>
        <w:t xml:space="preserve">note de sûretés. La colonne « Barème » donne la note de 1 à 10 selon la valeur.</w:t>
      </w:r>
    </w:p>
    <w:p>
      <w:pPr>
        <w:pStyle w:val="Heading2"/>
        <w:keepNext/>
      </w:pPr>
      <w:r>
        <w:t xml:space="preserve">D1 — Sponsor &amp; Gouvernance (25 %)</w:t>
      </w:r>
    </w:p>
    <w:tbl>
      <w:tblPr>
        <w:tblW w:type="dxa" w:w="14400"/>
        <w:tblBorders>
          <w:top w:val="single" w:color="AEB6C6" w:sz="2"/>
          <w:left w:val="single" w:color="AEB6C6" w:sz="2"/>
          <w:bottom w:val="single" w:color="AEB6C6" w:sz="2"/>
          <w:right w:val="single" w:color="AEB6C6" w:sz="2"/>
          <w:insideH w:val="single" w:color="D0D6E2" w:sz="1"/>
          <w:insideV w:val="single" w:color="D0D6E2" w:sz="1"/>
        </w:tblBorders>
      </w:tblPr>
      <w:tblGrid>
        <w:gridCol w:w="2600"/>
        <w:gridCol w:w="1100"/>
        <w:gridCol w:w="4300"/>
        <w:gridCol w:w="2600"/>
        <w:gridCol w:w="3800"/>
      </w:tblGrid>
      <w:tr>
        <w:trPr>
          <w:cantSplit/>
          <w:tblHeader/>
        </w:trPr>
        <w:tc>
          <w:tcPr>
            <w:tcW w:type="dxa" w:w="26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Donnée (clé technique)</w:t>
            </w:r>
          </w:p>
        </w:tc>
        <w:tc>
          <w:tcPr>
            <w:tcW w:type="dxa" w:w="11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Pièces</w:t>
            </w:r>
          </w:p>
        </w:tc>
        <w:tc>
          <w:tcPr>
            <w:tcW w:type="dxa" w:w="43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Comment l'obtenir</w:t>
            </w:r>
          </w:p>
        </w:tc>
        <w:tc>
          <w:tcPr>
            <w:tcW w:type="dxa" w:w="26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Barème</w:t>
            </w:r>
          </w:p>
        </w:tc>
        <w:tc>
          <w:tcPr>
            <w:tcW w:type="dxa" w:w="38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Attention</w:t>
            </w:r>
          </w:p>
        </w:tc>
      </w:tr>
      <w:tr>
        <w:trPr>
          <w:cantSplit/>
        </w:trPr>
        <w:tc>
          <w:tcPr>
            <w:tcW w:type="dxa" w:w="2600"/>
            <w:tcMar>
              <w:top w:type="dxa" w:w="40"/>
              <w:left w:type="dxa" w:w="80"/>
              <w:bottom w:type="dxa" w:w="40"/>
              <w:right w:type="dxa" w:w="80"/>
            </w:tcMar>
          </w:tcPr>
          <w:p>
            <w:pPr>
              <w:spacing w:after="0" w:line="240"/>
            </w:pPr>
            <w:r>
              <w:rPr>
                <w:rFonts w:ascii="Calibri" w:cs="Calibri" w:eastAsia="Calibri" w:hAnsi="Calibri"/>
                <w:b/>
                <w:bCs/>
                <w:sz w:val="17"/>
                <w:szCs w:val="17"/>
              </w:rPr>
              <w:t xml:space="preserve">Projets similaires livrés (5 ans)</w:t>
            </w:r>
            <w:r>
              <w:rPr>
                <w:rFonts w:ascii="Calibri" w:cs="Calibri" w:eastAsia="Calibri" w:hAnsi="Calibri"/>
                <w:color w:val="595959"/>
                <w:sz w:val="14"/>
                <w:szCs w:val="14"/>
              </w:rPr>
              <w:t xml:space="preserve">  D1C1 · promoter_completed_projects</w:t>
            </w:r>
            <w:r>
              <w:rPr>
                <w:rFonts w:ascii="Calibri" w:cs="Calibri" w:eastAsia="Calibri" w:hAnsi="Calibri"/>
                <w:i/>
                <w:iCs/>
                <w:color w:val="595959"/>
                <w:sz w:val="14"/>
                <w:szCs w:val="14"/>
              </w:rPr>
              <w:br/>
              <w:t xml:space="preserve">  Étape : Promoteur &amp; Gouvernance</w:t>
            </w:r>
          </w:p>
        </w:tc>
        <w:tc>
          <w:tcPr>
            <w:tcW w:type="dxa" w:w="1100"/>
            <w:tcMar>
              <w:top w:type="dxa" w:w="40"/>
              <w:left w:type="dxa" w:w="80"/>
              <w:bottom w:type="dxa" w:w="40"/>
              <w:right w:type="dxa" w:w="80"/>
            </w:tcMar>
          </w:tcPr>
          <w:p>
            <w:pPr>
              <w:spacing w:after="0" w:line="240"/>
              <w:jc w:val="center"/>
            </w:pPr>
            <w:r>
              <w:rPr>
                <w:rFonts w:ascii="Calibri" w:cs="Calibri" w:eastAsia="Calibri" w:hAnsi="Calibri"/>
                <w:sz w:val="17"/>
                <w:szCs w:val="17"/>
              </w:rPr>
              <w:t xml:space="preserve">P05</w:t>
            </w:r>
          </w:p>
        </w:tc>
        <w:tc>
          <w:tcPr>
            <w:tcW w:type="dxa" w:w="4300"/>
            <w:tcMar>
              <w:top w:type="dxa" w:w="40"/>
              <w:left w:type="dxa" w:w="80"/>
              <w:bottom w:type="dxa" w:w="40"/>
              <w:right w:type="dxa" w:w="80"/>
            </w:tcMar>
          </w:tcPr>
          <w:p>
            <w:pPr>
              <w:spacing w:after="0" w:line="240"/>
            </w:pPr>
            <w:r>
              <w:rPr>
                <w:rFonts w:ascii="Calibri" w:cs="Calibri" w:eastAsia="Calibri" w:hAnsi="Calibri"/>
                <w:sz w:val="17"/>
                <w:szCs w:val="17"/>
              </w:rPr>
              <w:t xml:space="preserve">Nombre de programmes comparables (nature, taille, standing) LIVRÉS par le promoteur ou son équipe dirigeante sur 5 ans, justifiés par permis d'habiter, certificat de conformité ou PV de réception.</w:t>
            </w:r>
          </w:p>
        </w:tc>
        <w:tc>
          <w:tcPr>
            <w:tcW w:type="dxa" w:w="2600"/>
            <w:tcMar>
              <w:top w:type="dxa" w:w="40"/>
              <w:left w:type="dxa" w:w="80"/>
              <w:bottom w:type="dxa" w:w="40"/>
              <w:right w:type="dxa" w:w="80"/>
            </w:tcMar>
          </w:tcPr>
          <w:p>
            <w:pPr>
              <w:spacing w:after="0" w:line="240"/>
            </w:pPr>
            <w:r>
              <w:rPr>
                <w:rFonts w:ascii="Calibri" w:cs="Calibri" w:eastAsia="Calibri" w:hAnsi="Calibri"/>
                <w:sz w:val="15"/>
                <w:szCs w:val="15"/>
              </w:rPr>
              <w:t xml:space="preserve">&lt; 1 → 1 · 1 à &lt; 3 → 6 · ≥ 3 → 10</w:t>
            </w:r>
          </w:p>
        </w:tc>
        <w:tc>
          <w:tcPr>
            <w:tcW w:type="dxa" w:w="3800"/>
            <w:tcMar>
              <w:top w:type="dxa" w:w="40"/>
              <w:left w:type="dxa" w:w="80"/>
              <w:bottom w:type="dxa" w:w="40"/>
              <w:right w:type="dxa" w:w="80"/>
            </w:tcMar>
          </w:tcPr>
          <w:p>
            <w:pPr>
              <w:spacing w:after="0" w:line="240"/>
            </w:pPr>
            <w:r>
              <w:rPr>
                <w:rFonts w:ascii="Calibri" w:cs="Calibri" w:eastAsia="Calibri" w:hAnsi="Calibri"/>
                <w:sz w:val="17"/>
                <w:szCs w:val="17"/>
              </w:rPr>
              <w:t xml:space="preserve">Ne pas compter les programmes en cours ni ceux d'un autre métier (négoce, BTP pour tiers).</w:t>
            </w:r>
          </w:p>
        </w:tc>
      </w:tr>
      <w:tr>
        <w:trPr>
          <w:cantSplit/>
        </w:trPr>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Gearing promoteur (%)</w:t>
            </w:r>
            <w:r>
              <w:rPr>
                <w:rFonts w:ascii="Calibri" w:cs="Calibri" w:eastAsia="Calibri" w:hAnsi="Calibri"/>
                <w:color w:val="595959"/>
                <w:sz w:val="14"/>
                <w:szCs w:val="14"/>
              </w:rPr>
              <w:t xml:space="preserve">  D1C2 · promoter_gearing</w:t>
            </w:r>
            <w:r>
              <w:rPr>
                <w:rFonts w:ascii="Calibri" w:cs="Calibri" w:eastAsia="Calibri" w:hAnsi="Calibri"/>
                <w:i/>
                <w:iCs/>
                <w:color w:val="595959"/>
                <w:sz w:val="14"/>
                <w:szCs w:val="14"/>
              </w:rPr>
              <w:br/>
              <w:t xml:space="preserve">  Étape : Promoteur &amp; Gouvernance</w:t>
            </w:r>
          </w:p>
        </w:tc>
        <w:tc>
          <w:tcPr>
            <w:tcW w:type="dxa" w:w="11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P04, P06</w:t>
            </w:r>
          </w:p>
        </w:tc>
        <w:tc>
          <w:tcPr>
            <w:tcW w:type="dxa" w:w="4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(Dettes financières − trésorerie) / fonds propres × 100, sur le dernier bilan certifié, corrigé des engagements connus depuis la clôture.</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sz w:val="15"/>
                <w:szCs w:val="15"/>
              </w:rPr>
              <w:t xml:space="preserve">&lt; 100 → 10 · 100 à &lt; 150 → 6 · ≥ 150 → 1</w:t>
            </w:r>
          </w:p>
        </w:tc>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Inclure les comptes courants d'associés remboursables et les dettes des sociétés sœurs si elles sont garanties.</w:t>
            </w:r>
          </w:p>
        </w:tc>
      </w:tr>
      <w:tr>
        <w:trPr>
          <w:cantSplit/>
        </w:trPr>
        <w:tc>
          <w:tcPr>
            <w:tcW w:type="dxa" w:w="2600"/>
            <w:tcMar>
              <w:top w:type="dxa" w:w="40"/>
              <w:left w:type="dxa" w:w="80"/>
              <w:bottom w:type="dxa" w:w="40"/>
              <w:right w:type="dxa" w:w="80"/>
            </w:tcMar>
          </w:tcPr>
          <w:p>
            <w:pPr>
              <w:spacing w:after="0" w:line="240"/>
            </w:pPr>
            <w:r>
              <w:rPr>
                <w:rFonts w:ascii="Calibri" w:cs="Calibri" w:eastAsia="Calibri" w:hAnsi="Calibri"/>
                <w:b/>
                <w:bCs/>
                <w:sz w:val="17"/>
                <w:szCs w:val="17"/>
              </w:rPr>
              <w:t xml:space="preserve">Gouvernance</w:t>
            </w:r>
            <w:r>
              <w:rPr>
                <w:rFonts w:ascii="Calibri" w:cs="Calibri" w:eastAsia="Calibri" w:hAnsi="Calibri"/>
                <w:color w:val="595959"/>
                <w:sz w:val="14"/>
                <w:szCs w:val="14"/>
              </w:rPr>
              <w:t xml:space="preserve">  D1C3 · governance_quality</w:t>
            </w:r>
            <w:r>
              <w:rPr>
                <w:rFonts w:ascii="Calibri" w:cs="Calibri" w:eastAsia="Calibri" w:hAnsi="Calibri"/>
                <w:i/>
                <w:iCs/>
                <w:color w:val="595959"/>
                <w:sz w:val="14"/>
                <w:szCs w:val="14"/>
              </w:rPr>
              <w:br/>
              <w:t xml:space="preserve">  Étape : Promoteur &amp; Gouvernance</w:t>
            </w:r>
          </w:p>
        </w:tc>
        <w:tc>
          <w:tcPr>
            <w:tcW w:type="dxa" w:w="1100"/>
            <w:tcMar>
              <w:top w:type="dxa" w:w="40"/>
              <w:left w:type="dxa" w:w="80"/>
              <w:bottom w:type="dxa" w:w="40"/>
              <w:right w:type="dxa" w:w="80"/>
            </w:tcMar>
          </w:tcPr>
          <w:p>
            <w:pPr>
              <w:spacing w:after="0" w:line="240"/>
              <w:jc w:val="center"/>
            </w:pPr>
            <w:r>
              <w:rPr>
                <w:rFonts w:ascii="Calibri" w:cs="Calibri" w:eastAsia="Calibri" w:hAnsi="Calibri"/>
                <w:sz w:val="17"/>
                <w:szCs w:val="17"/>
              </w:rPr>
              <w:t xml:space="preserve">P01, P02, P03</w:t>
            </w:r>
          </w:p>
        </w:tc>
        <w:tc>
          <w:tcPr>
            <w:tcW w:type="dxa" w:w="4300"/>
            <w:tcMar>
              <w:top w:type="dxa" w:w="40"/>
              <w:left w:type="dxa" w:w="80"/>
              <w:bottom w:type="dxa" w:w="40"/>
              <w:right w:type="dxa" w:w="80"/>
            </w:tcMar>
          </w:tcPr>
          <w:p>
            <w:pPr>
              <w:spacing w:after="0" w:line="240"/>
            </w:pPr>
            <w:r>
              <w:rPr>
                <w:rFonts w:ascii="Calibri" w:cs="Calibri" w:eastAsia="Calibri" w:hAnsi="Calibri"/>
                <w:sz w:val="17"/>
                <w:szCs w:val="17"/>
              </w:rPr>
              <w:t xml:space="preserve">Claire : organes réguliers, comptes certifiés, séparation patrimoine / société. Partielle : l'un de ces points manque. Opaque : actionnariat ou comptes non documentés.</w:t>
            </w:r>
          </w:p>
        </w:tc>
        <w:tc>
          <w:tcPr>
            <w:tcW w:type="dxa" w:w="2600"/>
            <w:tcMar>
              <w:top w:type="dxa" w:w="40"/>
              <w:left w:type="dxa" w:w="80"/>
              <w:bottom w:type="dxa" w:w="40"/>
              <w:right w:type="dxa" w:w="80"/>
            </w:tcMar>
          </w:tcPr>
          <w:p>
            <w:pPr>
              <w:spacing w:after="0" w:line="240"/>
            </w:pPr>
            <w:r>
              <w:rPr>
                <w:rFonts w:ascii="Calibri" w:cs="Calibri" w:eastAsia="Calibri" w:hAnsi="Calibri"/>
                <w:sz w:val="15"/>
                <w:szCs w:val="15"/>
              </w:rPr>
              <w:t xml:space="preserve">Opaque → 1 · Partielle → 6 · Claire / structurée → 10</w:t>
            </w:r>
          </w:p>
        </w:tc>
        <w:tc>
          <w:tcPr>
            <w:tcW w:type="dxa" w:w="3800"/>
            <w:tcMar>
              <w:top w:type="dxa" w:w="40"/>
              <w:left w:type="dxa" w:w="80"/>
              <w:bottom w:type="dxa" w:w="40"/>
              <w:right w:type="dxa" w:w="80"/>
            </w:tcMar>
          </w:tcPr>
          <w:p>
            <w:pPr>
              <w:spacing w:after="0" w:line="240"/>
            </w:pPr>
            <w:r>
              <w:rPr>
                <w:rFonts w:ascii="Calibri" w:cs="Calibri" w:eastAsia="Calibri" w:hAnsi="Calibri"/>
                <w:sz w:val="17"/>
                <w:szCs w:val="17"/>
              </w:rPr>
              <w:t xml:space="preserve">Une société de programme récente se juge sur son actionnaire de référence.</w:t>
            </w:r>
          </w:p>
        </w:tc>
      </w:tr>
      <w:tr>
        <w:trPr>
          <w:cantSplit/>
        </w:trPr>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Concentration mono-projet (%)</w:t>
            </w:r>
            <w:r>
              <w:rPr>
                <w:rFonts w:ascii="Calibri" w:cs="Calibri" w:eastAsia="Calibri" w:hAnsi="Calibri"/>
                <w:color w:val="595959"/>
                <w:sz w:val="14"/>
                <w:szCs w:val="14"/>
              </w:rPr>
              <w:t xml:space="preserve">  D1C4 · mono_project_concentration</w:t>
            </w:r>
            <w:r>
              <w:rPr>
                <w:rFonts w:ascii="Calibri" w:cs="Calibri" w:eastAsia="Calibri" w:hAnsi="Calibri"/>
                <w:i/>
                <w:iCs/>
                <w:color w:val="595959"/>
                <w:sz w:val="14"/>
                <w:szCs w:val="14"/>
              </w:rPr>
              <w:br/>
              <w:t xml:space="preserve">  Étape : Promoteur &amp; Gouvernance</w:t>
            </w:r>
          </w:p>
        </w:tc>
        <w:tc>
          <w:tcPr>
            <w:tcW w:type="dxa" w:w="11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P08</w:t>
            </w:r>
          </w:p>
        </w:tc>
        <w:tc>
          <w:tcPr>
            <w:tcW w:type="dxa" w:w="4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Chiffre d'affaires du programme / chiffre d'affaires total prévisionnel du promoteur (ou du groupe) × 100.</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sz w:val="15"/>
                <w:szCs w:val="15"/>
              </w:rPr>
              <w:t xml:space="preserve">&lt; 40 → 10 · 40 à &lt; 60 → 6 · ≥ 60 → 1</w:t>
            </w:r>
          </w:p>
        </w:tc>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Une société dédiée au seul programme est à 100 % : c'est l'information attendue, pas une erreur.</w:t>
            </w:r>
          </w:p>
        </w:tc>
      </w:tr>
      <w:tr>
        <w:trPr>
          <w:cantSplit/>
        </w:trPr>
        <w:tc>
          <w:tcPr>
            <w:tcW w:type="dxa" w:w="2600"/>
            <w:tcMar>
              <w:top w:type="dxa" w:w="40"/>
              <w:left w:type="dxa" w:w="80"/>
              <w:bottom w:type="dxa" w:w="40"/>
              <w:right w:type="dxa" w:w="80"/>
            </w:tcMar>
          </w:tcPr>
          <w:p>
            <w:pPr>
              <w:spacing w:after="0" w:line="240"/>
            </w:pPr>
            <w:r>
              <w:rPr>
                <w:rFonts w:ascii="Calibri" w:cs="Calibri" w:eastAsia="Calibri" w:hAnsi="Calibri"/>
                <w:b/>
                <w:bCs/>
                <w:sz w:val="17"/>
                <w:szCs w:val="17"/>
              </w:rPr>
              <w:t xml:space="preserve">Typologie promoteur</w:t>
            </w:r>
            <w:r>
              <w:rPr>
                <w:rFonts w:ascii="Calibri" w:cs="Calibri" w:eastAsia="Calibri" w:hAnsi="Calibri"/>
                <w:color w:val="595959"/>
                <w:sz w:val="14"/>
                <w:szCs w:val="14"/>
              </w:rPr>
              <w:t xml:space="preserve">  D1C5 · promoter_type</w:t>
            </w:r>
            <w:r>
              <w:rPr>
                <w:rFonts w:ascii="Calibri" w:cs="Calibri" w:eastAsia="Calibri" w:hAnsi="Calibri"/>
                <w:i/>
                <w:iCs/>
                <w:color w:val="595959"/>
                <w:sz w:val="14"/>
                <w:szCs w:val="14"/>
              </w:rPr>
              <w:br/>
              <w:t xml:space="preserve">  Étape : Promoteur &amp; Gouvernance</w:t>
            </w:r>
          </w:p>
        </w:tc>
        <w:tc>
          <w:tcPr>
            <w:tcW w:type="dxa" w:w="1100"/>
            <w:tcMar>
              <w:top w:type="dxa" w:w="40"/>
              <w:left w:type="dxa" w:w="80"/>
              <w:bottom w:type="dxa" w:w="40"/>
              <w:right w:type="dxa" w:w="80"/>
            </w:tcMar>
          </w:tcPr>
          <w:p>
            <w:pPr>
              <w:spacing w:after="0" w:line="240"/>
              <w:jc w:val="center"/>
            </w:pPr>
            <w:r>
              <w:rPr>
                <w:rFonts w:ascii="Calibri" w:cs="Calibri" w:eastAsia="Calibri" w:hAnsi="Calibri"/>
                <w:sz w:val="17"/>
                <w:szCs w:val="17"/>
              </w:rPr>
              <w:t xml:space="preserve">P05, P04</w:t>
            </w:r>
          </w:p>
        </w:tc>
        <w:tc>
          <w:tcPr>
            <w:tcW w:type="dxa" w:w="4300"/>
            <w:tcMar>
              <w:top w:type="dxa" w:w="40"/>
              <w:left w:type="dxa" w:w="80"/>
              <w:bottom w:type="dxa" w:w="40"/>
              <w:right w:type="dxa" w:w="80"/>
            </w:tcMar>
          </w:tcPr>
          <w:p>
            <w:pPr>
              <w:spacing w:after="0" w:line="240"/>
            </w:pPr>
            <w:r>
              <w:rPr>
                <w:rFonts w:ascii="Calibri" w:cs="Calibri" w:eastAsia="Calibri" w:hAnsi="Calibri"/>
                <w:sz w:val="17"/>
                <w:szCs w:val="17"/>
              </w:rPr>
              <w:t xml:space="preserve">Structuré : équipe, historique et comptes solides, plusieurs programmes. Régional : actif sur une zone, taille moyenne. Opportuniste : premier programme ou activité ponctuelle.</w:t>
            </w:r>
          </w:p>
        </w:tc>
        <w:tc>
          <w:tcPr>
            <w:tcW w:type="dxa" w:w="2600"/>
            <w:tcMar>
              <w:top w:type="dxa" w:w="40"/>
              <w:left w:type="dxa" w:w="80"/>
              <w:bottom w:type="dxa" w:w="40"/>
              <w:right w:type="dxa" w:w="80"/>
            </w:tcMar>
          </w:tcPr>
          <w:p>
            <w:pPr>
              <w:spacing w:after="0" w:line="240"/>
            </w:pPr>
            <w:r>
              <w:rPr>
                <w:rFonts w:ascii="Calibri" w:cs="Calibri" w:eastAsia="Calibri" w:hAnsi="Calibri"/>
                <w:sz w:val="15"/>
                <w:szCs w:val="15"/>
              </w:rPr>
              <w:t xml:space="preserve">Opportuniste → 2 · Régional → 6 · Structuré → 10</w:t>
            </w:r>
          </w:p>
        </w:tc>
        <w:tc>
          <w:tcPr>
            <w:tcW w:type="dxa" w:w="3800"/>
            <w:tcMar>
              <w:top w:type="dxa" w:w="40"/>
              <w:left w:type="dxa" w:w="80"/>
              <w:bottom w:type="dxa" w:w="40"/>
              <w:right w:type="dxa" w:w="80"/>
            </w:tcMar>
          </w:tcPr>
          <w:p>
            <w:pPr>
              <w:spacing w:after="0" w:line="240"/>
            </w:pPr>
            <w:r>
              <w:rPr>
                <w:rFonts w:ascii="Calibri" w:cs="Calibri" w:eastAsia="Calibri" w:hAnsi="Calibri"/>
                <w:sz w:val="17"/>
                <w:szCs w:val="17"/>
              </w:rPr>
              <w:t xml:space="preserve">Se fonder sur les références justifiées, pas sur la notoriété déclarée.</w:t>
            </w:r>
          </w:p>
        </w:tc>
      </w:tr>
      <w:tr>
        <w:trPr>
          <w:cantSplit/>
        </w:trPr>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b/>
                <w:bCs/>
                <w:color w:val="C00000"/>
                <w:sz w:val="17"/>
                <w:szCs w:val="17"/>
              </w:rPr>
              <w:t xml:space="preserve">★ </w:t>
            </w:r>
            <w:r>
              <w:rPr>
                <w:rFonts w:ascii="Calibri" w:cs="Calibri" w:eastAsia="Calibri" w:hAnsi="Calibri"/>
                <w:b/>
                <w:bCs/>
                <w:color w:val="C00000"/>
                <w:sz w:val="15"/>
                <w:szCs w:val="15"/>
              </w:rPr>
              <w:t xml:space="preserve">⛔ SIGNATURE </w:t>
            </w:r>
            <w:r>
              <w:rPr>
                <w:rFonts w:ascii="Calibri" w:cs="Calibri" w:eastAsia="Calibri" w:hAnsi="Calibri"/>
                <w:b/>
                <w:bCs/>
                <w:sz w:val="17"/>
                <w:szCs w:val="17"/>
              </w:rPr>
              <w:t xml:space="preserve">Apport effectif injecté / prévu (%)</w:t>
            </w:r>
            <w:r>
              <w:rPr>
                <w:rFonts w:ascii="Calibri" w:cs="Calibri" w:eastAsia="Calibri" w:hAnsi="Calibri"/>
                <w:color w:val="595959"/>
                <w:sz w:val="14"/>
                <w:szCs w:val="14"/>
              </w:rPr>
              <w:t xml:space="preserve">  D1C6 · equity_injected_ratio</w:t>
            </w:r>
            <w:r>
              <w:rPr>
                <w:rFonts w:ascii="Calibri" w:cs="Calibri" w:eastAsia="Calibri" w:hAnsi="Calibri"/>
                <w:i/>
                <w:iCs/>
                <w:color w:val="595959"/>
                <w:sz w:val="14"/>
                <w:szCs w:val="14"/>
              </w:rPr>
              <w:br/>
              <w:t xml:space="preserve">  Étape : Promoteur &amp; Gouvernance</w:t>
            </w:r>
          </w:p>
        </w:tc>
        <w:tc>
          <w:tcPr>
            <w:tcW w:type="dxa" w:w="11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P11, P04, P17</w:t>
            </w:r>
          </w:p>
        </w:tc>
        <w:tc>
          <w:tcPr>
            <w:tcW w:type="dxa" w:w="4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Apport effectivement injecté (terrain payé, fonds versés sur le compte du programme) / apport prévu au plan de financement × 100.</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sz w:val="15"/>
                <w:szCs w:val="15"/>
              </w:rPr>
              <w:t xml:space="preserve">&lt; 80 → 1 · 80 à &lt; 100 → 6 · ≥ 100 → 10</w:t>
            </w:r>
          </w:p>
        </w:tc>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color w:val="C00000"/>
                <w:sz w:val="17"/>
                <w:szCs w:val="17"/>
              </w:rPr>
              <w:t xml:space="preserve">DONNÉE DÉCISIONNELLE et critère éliminatoire (jalon SIGNATURE) : un apport promis n'est pas un apport injecté. Exiger les justificatifs de paiement.</w:t>
            </w:r>
          </w:p>
        </w:tc>
      </w:tr>
    </w:tbl>
    <w:p>
      <w:pPr>
        <w:pStyle w:val="Heading2"/>
        <w:keepNext/>
      </w:pPr>
      <w:r>
        <w:t xml:space="preserve">D2 — Qualité intrinsèque du projet (20 %)</w:t>
      </w:r>
    </w:p>
    <w:tbl>
      <w:tblPr>
        <w:tblW w:type="dxa" w:w="14400"/>
        <w:tblBorders>
          <w:top w:val="single" w:color="AEB6C6" w:sz="2"/>
          <w:left w:val="single" w:color="AEB6C6" w:sz="2"/>
          <w:bottom w:val="single" w:color="AEB6C6" w:sz="2"/>
          <w:right w:val="single" w:color="AEB6C6" w:sz="2"/>
          <w:insideH w:val="single" w:color="D0D6E2" w:sz="1"/>
          <w:insideV w:val="single" w:color="D0D6E2" w:sz="1"/>
        </w:tblBorders>
      </w:tblPr>
      <w:tblGrid>
        <w:gridCol w:w="2600"/>
        <w:gridCol w:w="1100"/>
        <w:gridCol w:w="4300"/>
        <w:gridCol w:w="2600"/>
        <w:gridCol w:w="3800"/>
      </w:tblGrid>
      <w:tr>
        <w:trPr>
          <w:cantSplit/>
          <w:tblHeader/>
        </w:trPr>
        <w:tc>
          <w:tcPr>
            <w:tcW w:type="dxa" w:w="26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Donnée (clé technique)</w:t>
            </w:r>
          </w:p>
        </w:tc>
        <w:tc>
          <w:tcPr>
            <w:tcW w:type="dxa" w:w="11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Pièces</w:t>
            </w:r>
          </w:p>
        </w:tc>
        <w:tc>
          <w:tcPr>
            <w:tcW w:type="dxa" w:w="43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Comment l'obtenir</w:t>
            </w:r>
          </w:p>
        </w:tc>
        <w:tc>
          <w:tcPr>
            <w:tcW w:type="dxa" w:w="26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Barème</w:t>
            </w:r>
          </w:p>
        </w:tc>
        <w:tc>
          <w:tcPr>
            <w:tcW w:type="dxa" w:w="38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Attention</w:t>
            </w:r>
          </w:p>
        </w:tc>
      </w:tr>
      <w:tr>
        <w:trPr>
          <w:cantSplit/>
        </w:trPr>
        <w:tc>
          <w:tcPr>
            <w:tcW w:type="dxa" w:w="2600"/>
            <w:tcMar>
              <w:top w:type="dxa" w:w="40"/>
              <w:left w:type="dxa" w:w="80"/>
              <w:bottom w:type="dxa" w:w="40"/>
              <w:right w:type="dxa" w:w="80"/>
            </w:tcMar>
          </w:tcPr>
          <w:p>
            <w:pPr>
              <w:spacing w:after="0" w:line="240"/>
            </w:pPr>
            <w:r>
              <w:rPr>
                <w:rFonts w:ascii="Calibri" w:cs="Calibri" w:eastAsia="Calibri" w:hAnsi="Calibri"/>
                <w:b/>
                <w:bCs/>
                <w:color w:val="C00000"/>
                <w:sz w:val="17"/>
                <w:szCs w:val="17"/>
              </w:rPr>
              <w:t xml:space="preserve">★ </w:t>
            </w:r>
            <w:r>
              <w:rPr>
                <w:rFonts w:ascii="Calibri" w:cs="Calibri" w:eastAsia="Calibri" w:hAnsi="Calibri"/>
                <w:b/>
                <w:bCs/>
                <w:color w:val="C00000"/>
                <w:sz w:val="15"/>
                <w:szCs w:val="15"/>
              </w:rPr>
              <w:t xml:space="preserve">⛔ TIRAGE </w:t>
            </w:r>
            <w:r>
              <w:rPr>
                <w:rFonts w:ascii="Calibri" w:cs="Calibri" w:eastAsia="Calibri" w:hAnsi="Calibri"/>
                <w:b/>
                <w:bCs/>
                <w:sz w:val="17"/>
                <w:szCs w:val="17"/>
              </w:rPr>
              <w:t xml:space="preserve">Foncier &amp; autorisations</w:t>
            </w:r>
            <w:r>
              <w:rPr>
                <w:rFonts w:ascii="Calibri" w:cs="Calibri" w:eastAsia="Calibri" w:hAnsi="Calibri"/>
                <w:color w:val="595959"/>
                <w:sz w:val="14"/>
                <w:szCs w:val="14"/>
              </w:rPr>
              <w:t xml:space="preserve">  D2C1 · land_permits_status</w:t>
            </w:r>
            <w:r>
              <w:rPr>
                <w:rFonts w:ascii="Calibri" w:cs="Calibri" w:eastAsia="Calibri" w:hAnsi="Calibri"/>
                <w:i/>
                <w:iCs/>
                <w:color w:val="595959"/>
                <w:sz w:val="14"/>
                <w:szCs w:val="14"/>
              </w:rPr>
              <w:br/>
              <w:t xml:space="preserve">  Étape : Qualité du projet (Foncier / Autorisations)</w:t>
            </w:r>
          </w:p>
        </w:tc>
        <w:tc>
          <w:tcPr>
            <w:tcW w:type="dxa" w:w="1100"/>
            <w:tcMar>
              <w:top w:type="dxa" w:w="40"/>
              <w:left w:type="dxa" w:w="80"/>
              <w:bottom w:type="dxa" w:w="40"/>
              <w:right w:type="dxa" w:w="80"/>
            </w:tcMar>
          </w:tcPr>
          <w:p>
            <w:pPr>
              <w:spacing w:after="0" w:line="240"/>
              <w:jc w:val="center"/>
            </w:pPr>
            <w:r>
              <w:rPr>
                <w:rFonts w:ascii="Calibri" w:cs="Calibri" w:eastAsia="Calibri" w:hAnsi="Calibri"/>
                <w:sz w:val="17"/>
                <w:szCs w:val="17"/>
              </w:rPr>
              <w:t xml:space="preserve">P10, P13</w:t>
            </w:r>
          </w:p>
        </w:tc>
        <w:tc>
          <w:tcPr>
            <w:tcW w:type="dxa" w:w="4300"/>
            <w:tcMar>
              <w:top w:type="dxa" w:w="40"/>
              <w:left w:type="dxa" w:w="80"/>
              <w:bottom w:type="dxa" w:w="40"/>
              <w:right w:type="dxa" w:w="80"/>
            </w:tcMar>
          </w:tcPr>
          <w:p>
            <w:pPr>
              <w:spacing w:after="0" w:line="240"/>
            </w:pPr>
            <w:r>
              <w:rPr>
                <w:rFonts w:ascii="Calibri" w:cs="Calibri" w:eastAsia="Calibri" w:hAnsi="Calibri"/>
                <w:sz w:val="17"/>
                <w:szCs w:val="17"/>
              </w:rPr>
              <w:t xml:space="preserve">Définitives : titre purgé ET autorisation (lotir / construire) obtenue. Partielles : l'une des deux manque. Absentes : ni titre purgé, ni autorisation.</w:t>
            </w:r>
          </w:p>
        </w:tc>
        <w:tc>
          <w:tcPr>
            <w:tcW w:type="dxa" w:w="2600"/>
            <w:tcMar>
              <w:top w:type="dxa" w:w="40"/>
              <w:left w:type="dxa" w:w="80"/>
              <w:bottom w:type="dxa" w:w="40"/>
              <w:right w:type="dxa" w:w="80"/>
            </w:tcMar>
          </w:tcPr>
          <w:p>
            <w:pPr>
              <w:spacing w:after="0" w:line="240"/>
            </w:pPr>
            <w:r>
              <w:rPr>
                <w:rFonts w:ascii="Calibri" w:cs="Calibri" w:eastAsia="Calibri" w:hAnsi="Calibri"/>
                <w:sz w:val="15"/>
                <w:szCs w:val="15"/>
              </w:rPr>
              <w:t xml:space="preserve">Titre non purgé / autorisations absentes → 1 · Partielles → 6 · Titre purgé + autorisations définitives → 10</w:t>
            </w:r>
          </w:p>
        </w:tc>
        <w:tc>
          <w:tcPr>
            <w:tcW w:type="dxa" w:w="3800"/>
            <w:tcMar>
              <w:top w:type="dxa" w:w="40"/>
              <w:left w:type="dxa" w:w="80"/>
              <w:bottom w:type="dxa" w:w="40"/>
              <w:right w:type="dxa" w:w="80"/>
            </w:tcMar>
          </w:tcPr>
          <w:p>
            <w:pPr>
              <w:spacing w:after="0" w:line="240"/>
            </w:pPr>
            <w:r>
              <w:rPr>
                <w:rFonts w:ascii="Calibri" w:cs="Calibri" w:eastAsia="Calibri" w:hAnsi="Calibri"/>
                <w:color w:val="C00000"/>
                <w:sz w:val="17"/>
                <w:szCs w:val="17"/>
              </w:rPr>
              <w:t xml:space="preserve">DONNÉE DÉCISIONNELLE et critère éliminatoire (jalon TIRAGE) : aucun tirage travaux sans titre purgé et autorisation.</w:t>
            </w:r>
          </w:p>
        </w:tc>
      </w:tr>
      <w:tr>
        <w:trPr>
          <w:cantSplit/>
        </w:trPr>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Marché &amp; positionnement</w:t>
            </w:r>
            <w:r>
              <w:rPr>
                <w:rFonts w:ascii="Calibri" w:cs="Calibri" w:eastAsia="Calibri" w:hAnsi="Calibri"/>
                <w:color w:val="595959"/>
                <w:sz w:val="14"/>
                <w:szCs w:val="14"/>
              </w:rPr>
              <w:t xml:space="preserve">  D2C2 · market_positioning</w:t>
            </w:r>
            <w:r>
              <w:rPr>
                <w:rFonts w:ascii="Calibri" w:cs="Calibri" w:eastAsia="Calibri" w:hAnsi="Calibri"/>
                <w:i/>
                <w:iCs/>
                <w:color w:val="595959"/>
                <w:sz w:val="14"/>
                <w:szCs w:val="14"/>
              </w:rPr>
              <w:br/>
              <w:t xml:space="preserve">  Étape : Qualité du projet (Foncier / Autorisations)</w:t>
            </w:r>
          </w:p>
        </w:tc>
        <w:tc>
          <w:tcPr>
            <w:tcW w:type="dxa" w:w="11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P18, P27</w:t>
            </w:r>
          </w:p>
        </w:tc>
        <w:tc>
          <w:tcPr>
            <w:tcW w:type="dxa" w:w="4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Comparer la grille de prix aux transactions récentes de la zone et au pouvoir d'achat de la clientèle visée.</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sz w:val="15"/>
                <w:szCs w:val="15"/>
              </w:rPr>
              <w:t xml:space="preserve">Sur-positionné / sur-offre → 2 · Correct → 6 · Aligné / forte demande → 10</w:t>
            </w:r>
          </w:p>
        </w:tc>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Un prix au-dessus du marché gonfle la marge et les préventes affichées : le signaler ici.</w:t>
            </w:r>
          </w:p>
        </w:tc>
      </w:tr>
      <w:tr>
        <w:trPr>
          <w:cantSplit/>
        </w:trPr>
        <w:tc>
          <w:tcPr>
            <w:tcW w:type="dxa" w:w="2600"/>
            <w:tcMar>
              <w:top w:type="dxa" w:w="40"/>
              <w:left w:type="dxa" w:w="80"/>
              <w:bottom w:type="dxa" w:w="40"/>
              <w:right w:type="dxa" w:w="80"/>
            </w:tcMar>
          </w:tcPr>
          <w:p>
            <w:pPr>
              <w:spacing w:after="0" w:line="240"/>
            </w:pPr>
            <w:r>
              <w:rPr>
                <w:rFonts w:ascii="Calibri" w:cs="Calibri" w:eastAsia="Calibri" w:hAnsi="Calibri"/>
                <w:b/>
                <w:bCs/>
                <w:sz w:val="17"/>
                <w:szCs w:val="17"/>
              </w:rPr>
              <w:t xml:space="preserve">Complexité technique</w:t>
            </w:r>
            <w:r>
              <w:rPr>
                <w:rFonts w:ascii="Calibri" w:cs="Calibri" w:eastAsia="Calibri" w:hAnsi="Calibri"/>
                <w:color w:val="595959"/>
                <w:sz w:val="14"/>
                <w:szCs w:val="14"/>
              </w:rPr>
              <w:t xml:space="preserve">  D2C3 · technical_complexity</w:t>
            </w:r>
            <w:r>
              <w:rPr>
                <w:rFonts w:ascii="Calibri" w:cs="Calibri" w:eastAsia="Calibri" w:hAnsi="Calibri"/>
                <w:i/>
                <w:iCs/>
                <w:color w:val="595959"/>
                <w:sz w:val="14"/>
                <w:szCs w:val="14"/>
              </w:rPr>
              <w:br/>
              <w:t xml:space="preserve">  Étape : Qualité du projet (Foncier / Autorisations)</w:t>
            </w:r>
          </w:p>
        </w:tc>
        <w:tc>
          <w:tcPr>
            <w:tcW w:type="dxa" w:w="1100"/>
            <w:tcMar>
              <w:top w:type="dxa" w:w="40"/>
              <w:left w:type="dxa" w:w="80"/>
              <w:bottom w:type="dxa" w:w="40"/>
              <w:right w:type="dxa" w:w="80"/>
            </w:tcMar>
          </w:tcPr>
          <w:p>
            <w:pPr>
              <w:spacing w:after="0" w:line="240"/>
              <w:jc w:val="center"/>
            </w:pPr>
            <w:r>
              <w:rPr>
                <w:rFonts w:ascii="Calibri" w:cs="Calibri" w:eastAsia="Calibri" w:hAnsi="Calibri"/>
                <w:sz w:val="17"/>
                <w:szCs w:val="17"/>
              </w:rPr>
              <w:t xml:space="preserve">P19</w:t>
            </w:r>
          </w:p>
        </w:tc>
        <w:tc>
          <w:tcPr>
            <w:tcW w:type="dxa" w:w="4300"/>
            <w:tcMar>
              <w:top w:type="dxa" w:w="40"/>
              <w:left w:type="dxa" w:w="80"/>
              <w:bottom w:type="dxa" w:w="40"/>
              <w:right w:type="dxa" w:w="80"/>
            </w:tcMar>
          </w:tcPr>
          <w:p>
            <w:pPr>
              <w:spacing w:after="0" w:line="240"/>
            </w:pPr>
            <w:r>
              <w:rPr>
                <w:rFonts w:ascii="Calibri" w:cs="Calibri" w:eastAsia="Calibri" w:hAnsi="Calibri"/>
                <w:sz w:val="17"/>
                <w:szCs w:val="17"/>
              </w:rPr>
              <w:t xml:space="preserve">Standard : bâtiment courant. Moyenne : sous-sols profonds, IGH, terrain difficile. Élevée : ouvrage complexe, nombreux corps d'état, contraintes de site.</w:t>
            </w:r>
          </w:p>
        </w:tc>
        <w:tc>
          <w:tcPr>
            <w:tcW w:type="dxa" w:w="2600"/>
            <w:tcMar>
              <w:top w:type="dxa" w:w="40"/>
              <w:left w:type="dxa" w:w="80"/>
              <w:bottom w:type="dxa" w:w="40"/>
              <w:right w:type="dxa" w:w="80"/>
            </w:tcMar>
          </w:tcPr>
          <w:p>
            <w:pPr>
              <w:spacing w:after="0" w:line="240"/>
            </w:pPr>
            <w:r>
              <w:rPr>
                <w:rFonts w:ascii="Calibri" w:cs="Calibri" w:eastAsia="Calibri" w:hAnsi="Calibri"/>
                <w:sz w:val="15"/>
                <w:szCs w:val="15"/>
              </w:rPr>
              <w:t xml:space="preserve">Élevée → 2 · Moyenne → 6 · Standard → 10</w:t>
            </w:r>
          </w:p>
        </w:tc>
        <w:tc>
          <w:tcPr>
            <w:tcW w:type="dxa" w:w="3800"/>
            <w:tcMar>
              <w:top w:type="dxa" w:w="40"/>
              <w:left w:type="dxa" w:w="80"/>
              <w:bottom w:type="dxa" w:w="40"/>
              <w:right w:type="dxa" w:w="80"/>
            </w:tcMar>
          </w:tcPr>
          <w:p>
            <w:pPr>
              <w:spacing w:after="0" w:line="240"/>
            </w:pPr>
            <w:r>
              <w:rPr>
                <w:rFonts w:ascii="Calibri" w:cs="Calibri" w:eastAsia="Calibri" w:hAnsi="Calibri"/>
                <w:sz w:val="17"/>
                <w:szCs w:val="17"/>
              </w:rPr>
              <w:t xml:space="preserve">S'appuyer sur la note du BET, pas sur le seul descriptif commercial.</w:t>
            </w:r>
          </w:p>
        </w:tc>
      </w:tr>
      <w:tr>
        <w:trPr>
          <w:cantSplit/>
        </w:trPr>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Avancement vs planning (%)</w:t>
            </w:r>
            <w:r>
              <w:rPr>
                <w:rFonts w:ascii="Calibri" w:cs="Calibri" w:eastAsia="Calibri" w:hAnsi="Calibri"/>
                <w:color w:val="595959"/>
                <w:sz w:val="14"/>
                <w:szCs w:val="14"/>
              </w:rPr>
              <w:t xml:space="preserve">  D2C4 · progress_vs_plan</w:t>
            </w:r>
            <w:r>
              <w:rPr>
                <w:rFonts w:ascii="Calibri" w:cs="Calibri" w:eastAsia="Calibri" w:hAnsi="Calibri"/>
                <w:i/>
                <w:iCs/>
                <w:color w:val="595959"/>
                <w:sz w:val="14"/>
                <w:szCs w:val="14"/>
              </w:rPr>
              <w:br/>
              <w:t xml:space="preserve">  Étape : Qualité du projet (Foncier / Autorisations)</w:t>
            </w:r>
          </w:p>
        </w:tc>
        <w:tc>
          <w:tcPr>
            <w:tcW w:type="dxa" w:w="11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P21, P20</w:t>
            </w:r>
          </w:p>
        </w:tc>
        <w:tc>
          <w:tcPr>
            <w:tcW w:type="dxa" w:w="4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Avancement constaté (dernière situation visée ou visite) / avancement prévu au planning à la même date × 100. Calculé automatiquement par « Synchroniser vers le scoring » si des rapports de visite existent.</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sz w:val="15"/>
                <w:szCs w:val="15"/>
              </w:rPr>
              <w:t xml:space="preserve">&lt; 80 → 1 · 80 à &lt; 100 → 6 · ≥ 100 → 10</w:t>
            </w:r>
          </w:p>
        </w:tc>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Utiliser l'avancement physique visé, pas le pourcentage de budget consommé.</w:t>
            </w:r>
          </w:p>
        </w:tc>
      </w:tr>
      <w:tr>
        <w:trPr>
          <w:cantSplit/>
        </w:trPr>
        <w:tc>
          <w:tcPr>
            <w:tcW w:type="dxa" w:w="2600"/>
            <w:tcMar>
              <w:top w:type="dxa" w:w="40"/>
              <w:left w:type="dxa" w:w="80"/>
              <w:bottom w:type="dxa" w:w="40"/>
              <w:right w:type="dxa" w:w="80"/>
            </w:tcMar>
          </w:tcPr>
          <w:p>
            <w:pPr>
              <w:spacing w:after="0" w:line="240"/>
            </w:pPr>
            <w:r>
              <w:rPr>
                <w:rFonts w:ascii="Calibri" w:cs="Calibri" w:eastAsia="Calibri" w:hAnsi="Calibri"/>
                <w:b/>
                <w:bCs/>
                <w:sz w:val="17"/>
                <w:szCs w:val="17"/>
              </w:rPr>
              <w:t xml:space="preserve">Litiges clients / SAV</w:t>
            </w:r>
            <w:r>
              <w:rPr>
                <w:rFonts w:ascii="Calibri" w:cs="Calibri" w:eastAsia="Calibri" w:hAnsi="Calibri"/>
                <w:color w:val="595959"/>
                <w:sz w:val="14"/>
                <w:szCs w:val="14"/>
              </w:rPr>
              <w:t xml:space="preserve">  D2C5 · sav_litigation</w:t>
            </w:r>
            <w:r>
              <w:rPr>
                <w:rFonts w:ascii="Calibri" w:cs="Calibri" w:eastAsia="Calibri" w:hAnsi="Calibri"/>
                <w:i/>
                <w:iCs/>
                <w:color w:val="595959"/>
                <w:sz w:val="14"/>
                <w:szCs w:val="14"/>
              </w:rPr>
              <w:br/>
              <w:t xml:space="preserve">  Étape : Qualité du projet (Foncier / Autorisations)</w:t>
            </w:r>
          </w:p>
        </w:tc>
        <w:tc>
          <w:tcPr>
            <w:tcW w:type="dxa" w:w="1100"/>
            <w:tcMar>
              <w:top w:type="dxa" w:w="40"/>
              <w:left w:type="dxa" w:w="80"/>
              <w:bottom w:type="dxa" w:w="40"/>
              <w:right w:type="dxa" w:w="80"/>
            </w:tcMar>
          </w:tcPr>
          <w:p>
            <w:pPr>
              <w:spacing w:after="0" w:line="240"/>
              <w:jc w:val="center"/>
            </w:pPr>
            <w:r>
              <w:rPr>
                <w:rFonts w:ascii="Calibri" w:cs="Calibri" w:eastAsia="Calibri" w:hAnsi="Calibri"/>
                <w:sz w:val="17"/>
                <w:szCs w:val="17"/>
              </w:rPr>
              <w:t xml:space="preserve">P25, P05</w:t>
            </w:r>
          </w:p>
        </w:tc>
        <w:tc>
          <w:tcPr>
            <w:tcW w:type="dxa" w:w="4300"/>
            <w:tcMar>
              <w:top w:type="dxa" w:w="40"/>
              <w:left w:type="dxa" w:w="80"/>
              <w:bottom w:type="dxa" w:w="40"/>
              <w:right w:type="dxa" w:w="80"/>
            </w:tcMar>
          </w:tcPr>
          <w:p>
            <w:pPr>
              <w:spacing w:after="0" w:line="240"/>
            </w:pPr>
            <w:r>
              <w:rPr>
                <w:rFonts w:ascii="Calibri" w:cs="Calibri" w:eastAsia="Calibri" w:hAnsi="Calibri"/>
                <w:sz w:val="17"/>
                <w:szCs w:val="17"/>
              </w:rPr>
              <w:t xml:space="preserve">Faible : réclamations isolées et traitées. Moyen : réclamations récurrentes. Élevé : litiges en cours ou réputation dégradée.</w:t>
            </w:r>
          </w:p>
        </w:tc>
        <w:tc>
          <w:tcPr>
            <w:tcW w:type="dxa" w:w="2600"/>
            <w:tcMar>
              <w:top w:type="dxa" w:w="40"/>
              <w:left w:type="dxa" w:w="80"/>
              <w:bottom w:type="dxa" w:w="40"/>
              <w:right w:type="dxa" w:w="80"/>
            </w:tcMar>
          </w:tcPr>
          <w:p>
            <w:pPr>
              <w:spacing w:after="0" w:line="240"/>
            </w:pPr>
            <w:r>
              <w:rPr>
                <w:rFonts w:ascii="Calibri" w:cs="Calibri" w:eastAsia="Calibri" w:hAnsi="Calibri"/>
                <w:sz w:val="15"/>
                <w:szCs w:val="15"/>
              </w:rPr>
              <w:t xml:space="preserve">Élevé → 2 · Moyen → 6 · Faible → 10</w:t>
            </w:r>
          </w:p>
        </w:tc>
        <w:tc>
          <w:tcPr>
            <w:tcW w:type="dxa" w:w="3800"/>
            <w:tcMar>
              <w:top w:type="dxa" w:w="40"/>
              <w:left w:type="dxa" w:w="80"/>
              <w:bottom w:type="dxa" w:w="40"/>
              <w:right w:type="dxa" w:w="80"/>
            </w:tcMar>
          </w:tcPr>
          <w:p>
            <w:pPr>
              <w:spacing w:after="0" w:line="240"/>
            </w:pPr>
            <w:r>
              <w:rPr>
                <w:rFonts w:ascii="Calibri" w:cs="Calibri" w:eastAsia="Calibri" w:hAnsi="Calibri"/>
                <w:sz w:val="17"/>
                <w:szCs w:val="17"/>
              </w:rPr>
              <w:t xml:space="preserve">Interroger aussi les programmes livrés précédents.</w:t>
            </w:r>
          </w:p>
        </w:tc>
      </w:tr>
      <w:tr>
        <w:trPr>
          <w:cantSplit/>
        </w:trPr>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Sensibilité macro / subvention</w:t>
            </w:r>
            <w:r>
              <w:rPr>
                <w:rFonts w:ascii="Calibri" w:cs="Calibri" w:eastAsia="Calibri" w:hAnsi="Calibri"/>
                <w:color w:val="595959"/>
                <w:sz w:val="14"/>
                <w:szCs w:val="14"/>
              </w:rPr>
              <w:t xml:space="preserve">  D2C6 · macro_sensitivity</w:t>
            </w:r>
            <w:r>
              <w:rPr>
                <w:rFonts w:ascii="Calibri" w:cs="Calibri" w:eastAsia="Calibri" w:hAnsi="Calibri"/>
                <w:i/>
                <w:iCs/>
                <w:color w:val="595959"/>
                <w:sz w:val="14"/>
                <w:szCs w:val="14"/>
              </w:rPr>
              <w:br/>
              <w:t xml:space="preserve">  Étape : Qualité du projet (Foncier / Autorisations)</w:t>
            </w:r>
          </w:p>
        </w:tc>
        <w:tc>
          <w:tcPr>
            <w:tcW w:type="dxa" w:w="11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P18</w:t>
            </w:r>
          </w:p>
        </w:tc>
        <w:tc>
          <w:tcPr>
            <w:tcW w:type="dxa" w:w="4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Élevée : programme dépendant d'une aide publique ou d'une clientèle très exposée au crédit. Moyenne : dépendance partielle. Faible : clientèle diversifiée et solvable.</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sz w:val="15"/>
                <w:szCs w:val="15"/>
              </w:rPr>
              <w:t xml:space="preserve">Élevée → 2 · Moyenne → 6 · Faible → 10</w:t>
            </w:r>
          </w:p>
        </w:tc>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Le logement social et intermédiaire dépend des dispositifs d'aide : vérifier leur durée.</w:t>
            </w:r>
          </w:p>
        </w:tc>
      </w:tr>
      <w:tr>
        <w:trPr>
          <w:cantSplit/>
        </w:trPr>
        <w:tc>
          <w:tcPr>
            <w:tcW w:type="dxa" w:w="2600"/>
            <w:tcMar>
              <w:top w:type="dxa" w:w="40"/>
              <w:left w:type="dxa" w:w="80"/>
              <w:bottom w:type="dxa" w:w="40"/>
              <w:right w:type="dxa" w:w="80"/>
            </w:tcMar>
          </w:tcPr>
          <w:p>
            <w:pPr>
              <w:spacing w:after="0" w:line="240"/>
            </w:pPr>
            <w:r>
              <w:rPr>
                <w:rFonts w:ascii="Calibri" w:cs="Calibri" w:eastAsia="Calibri" w:hAnsi="Calibri"/>
                <w:b/>
                <w:bCs/>
                <w:sz w:val="17"/>
                <w:szCs w:val="17"/>
              </w:rPr>
              <w:t xml:space="preserve">Coût foncier / CA (%)</w:t>
            </w:r>
            <w:r>
              <w:rPr>
                <w:rFonts w:ascii="Calibri" w:cs="Calibri" w:eastAsia="Calibri" w:hAnsi="Calibri"/>
                <w:color w:val="595959"/>
                <w:sz w:val="14"/>
                <w:szCs w:val="14"/>
              </w:rPr>
              <w:t xml:space="preserve">  D2C7 · land_cost_ratio</w:t>
            </w:r>
            <w:r>
              <w:rPr>
                <w:rFonts w:ascii="Calibri" w:cs="Calibri" w:eastAsia="Calibri" w:hAnsi="Calibri"/>
                <w:i/>
                <w:iCs/>
                <w:color w:val="595959"/>
                <w:sz w:val="14"/>
                <w:szCs w:val="14"/>
              </w:rPr>
              <w:br/>
              <w:t xml:space="preserve">  Étape : Qualité du projet (Foncier / Autorisations)</w:t>
            </w:r>
          </w:p>
        </w:tc>
        <w:tc>
          <w:tcPr>
            <w:tcW w:type="dxa" w:w="1100"/>
            <w:tcMar>
              <w:top w:type="dxa" w:w="40"/>
              <w:left w:type="dxa" w:w="80"/>
              <w:bottom w:type="dxa" w:w="40"/>
              <w:right w:type="dxa" w:w="80"/>
            </w:tcMar>
          </w:tcPr>
          <w:p>
            <w:pPr>
              <w:spacing w:after="0" w:line="240"/>
              <w:jc w:val="center"/>
            </w:pPr>
            <w:r>
              <w:rPr>
                <w:rFonts w:ascii="Calibri" w:cs="Calibri" w:eastAsia="Calibri" w:hAnsi="Calibri"/>
                <w:sz w:val="17"/>
                <w:szCs w:val="17"/>
              </w:rPr>
              <w:t xml:space="preserve">P11, P16</w:t>
            </w:r>
          </w:p>
        </w:tc>
        <w:tc>
          <w:tcPr>
            <w:tcW w:type="dxa" w:w="4300"/>
            <w:tcMar>
              <w:top w:type="dxa" w:w="40"/>
              <w:left w:type="dxa" w:w="80"/>
              <w:bottom w:type="dxa" w:w="40"/>
              <w:right w:type="dxa" w:w="80"/>
            </w:tcMar>
          </w:tcPr>
          <w:p>
            <w:pPr>
              <w:spacing w:after="0" w:line="240"/>
            </w:pPr>
            <w:r>
              <w:rPr>
                <w:rFonts w:ascii="Calibri" w:cs="Calibri" w:eastAsia="Calibri" w:hAnsi="Calibri"/>
                <w:sz w:val="17"/>
                <w:szCs w:val="17"/>
              </w:rPr>
              <w:t xml:space="preserve">Coût d'acquisition du terrain (frais inclus) / chiffre d'affaires total prévu × 100.</w:t>
            </w:r>
          </w:p>
        </w:tc>
        <w:tc>
          <w:tcPr>
            <w:tcW w:type="dxa" w:w="2600"/>
            <w:tcMar>
              <w:top w:type="dxa" w:w="40"/>
              <w:left w:type="dxa" w:w="80"/>
              <w:bottom w:type="dxa" w:w="40"/>
              <w:right w:type="dxa" w:w="80"/>
            </w:tcMar>
          </w:tcPr>
          <w:p>
            <w:pPr>
              <w:spacing w:after="0" w:line="240"/>
            </w:pPr>
            <w:r>
              <w:rPr>
                <w:rFonts w:ascii="Calibri" w:cs="Calibri" w:eastAsia="Calibri" w:hAnsi="Calibri"/>
                <w:sz w:val="15"/>
                <w:szCs w:val="15"/>
              </w:rPr>
              <w:t xml:space="preserve">&lt; 25 → 10 · 25 à &lt; 35 → 6 · ≥ 35 → 1</w:t>
            </w:r>
          </w:p>
        </w:tc>
        <w:tc>
          <w:tcPr>
            <w:tcW w:type="dxa" w:w="3800"/>
            <w:tcMar>
              <w:top w:type="dxa" w:w="40"/>
              <w:left w:type="dxa" w:w="80"/>
              <w:bottom w:type="dxa" w:w="40"/>
              <w:right w:type="dxa" w:w="80"/>
            </w:tcMar>
          </w:tcPr>
          <w:p>
            <w:pPr>
              <w:spacing w:after="0" w:line="240"/>
            </w:pPr>
            <w:r>
              <w:rPr>
                <w:rFonts w:ascii="Calibri" w:cs="Calibri" w:eastAsia="Calibri" w:hAnsi="Calibri"/>
                <w:sz w:val="17"/>
                <w:szCs w:val="17"/>
              </w:rPr>
              <w:t xml:space="preserve">Retenir le coût réel d'acquisition, pas la valeur d'apport réévaluée.</w:t>
            </w:r>
          </w:p>
        </w:tc>
      </w:tr>
      <w:tr>
        <w:trPr>
          <w:cantSplit/>
        </w:trPr>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Chaîne d'autorisations — complétude (%)</w:t>
            </w:r>
            <w:r>
              <w:rPr>
                <w:rFonts w:ascii="Calibri" w:cs="Calibri" w:eastAsia="Calibri" w:hAnsi="Calibri"/>
                <w:color w:val="595959"/>
                <w:sz w:val="14"/>
                <w:szCs w:val="14"/>
              </w:rPr>
              <w:t xml:space="preserve">  D2C8 · authorization_completeness_pct</w:t>
            </w:r>
            <w:r>
              <w:rPr>
                <w:rFonts w:ascii="Calibri" w:cs="Calibri" w:eastAsia="Calibri" w:hAnsi="Calibri"/>
                <w:i/>
                <w:iCs/>
                <w:color w:val="595959"/>
                <w:sz w:val="14"/>
                <w:szCs w:val="14"/>
              </w:rPr>
              <w:br/>
              <w:t xml:space="preserve">  Étape : Pratique marocaine (modèle v4)</w:t>
            </w:r>
          </w:p>
        </w:tc>
        <w:tc>
          <w:tcPr>
            <w:tcW w:type="dxa" w:w="11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P10, P12, P13, P14, P15</w:t>
            </w:r>
          </w:p>
        </w:tc>
        <w:tc>
          <w:tcPr>
            <w:tcW w:type="dxa" w:w="4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Pièces obtenues / pièces exigibles selon la nature du programme × 100. Cocher chaque pièce dans « Foncier, autorisations &amp; désengagement » : le pourcentage est calculé par « Synchroniser vers le scoring ».</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sz w:val="15"/>
                <w:szCs w:val="15"/>
              </w:rPr>
              <w:t xml:space="preserve">&lt; 50 % → 1 · 50 à &lt; 100 % → 6 · ≥ 100 % → 10</w:t>
            </w:r>
          </w:p>
        </w:tc>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Ne saisir le pourcentage à la main que si l'écran n'est pas utilisable. La nature (lotissement, construction, mixte) change la liste exigible.</w:t>
            </w:r>
          </w:p>
        </w:tc>
      </w:tr>
    </w:tbl>
    <w:p>
      <w:pPr>
        <w:pStyle w:val="Heading2"/>
        <w:keepNext/>
      </w:pPr>
      <w:r>
        <w:t xml:space="preserve">D3 — Commercial &amp; Cash-flow (31 %)</w:t>
      </w:r>
    </w:p>
    <w:tbl>
      <w:tblPr>
        <w:tblW w:type="dxa" w:w="14400"/>
        <w:tblBorders>
          <w:top w:val="single" w:color="AEB6C6" w:sz="2"/>
          <w:left w:val="single" w:color="AEB6C6" w:sz="2"/>
          <w:bottom w:val="single" w:color="AEB6C6" w:sz="2"/>
          <w:right w:val="single" w:color="AEB6C6" w:sz="2"/>
          <w:insideH w:val="single" w:color="D0D6E2" w:sz="1"/>
          <w:insideV w:val="single" w:color="D0D6E2" w:sz="1"/>
        </w:tblBorders>
      </w:tblPr>
      <w:tblGrid>
        <w:gridCol w:w="2600"/>
        <w:gridCol w:w="1100"/>
        <w:gridCol w:w="4300"/>
        <w:gridCol w:w="2600"/>
        <w:gridCol w:w="3800"/>
      </w:tblGrid>
      <w:tr>
        <w:trPr>
          <w:cantSplit/>
          <w:tblHeader/>
        </w:trPr>
        <w:tc>
          <w:tcPr>
            <w:tcW w:type="dxa" w:w="26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Donnée (clé technique)</w:t>
            </w:r>
          </w:p>
        </w:tc>
        <w:tc>
          <w:tcPr>
            <w:tcW w:type="dxa" w:w="11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Pièces</w:t>
            </w:r>
          </w:p>
        </w:tc>
        <w:tc>
          <w:tcPr>
            <w:tcW w:type="dxa" w:w="43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Comment l'obtenir</w:t>
            </w:r>
          </w:p>
        </w:tc>
        <w:tc>
          <w:tcPr>
            <w:tcW w:type="dxa" w:w="26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Barème</w:t>
            </w:r>
          </w:p>
        </w:tc>
        <w:tc>
          <w:tcPr>
            <w:tcW w:type="dxa" w:w="38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Attention</w:t>
            </w:r>
          </w:p>
        </w:tc>
      </w:tr>
      <w:tr>
        <w:trPr>
          <w:cantSplit/>
        </w:trPr>
        <w:tc>
          <w:tcPr>
            <w:tcW w:type="dxa" w:w="2600"/>
            <w:tcMar>
              <w:top w:type="dxa" w:w="40"/>
              <w:left w:type="dxa" w:w="80"/>
              <w:bottom w:type="dxa" w:w="40"/>
              <w:right w:type="dxa" w:w="80"/>
            </w:tcMar>
          </w:tcPr>
          <w:p>
            <w:pPr>
              <w:spacing w:after="0" w:line="240"/>
            </w:pPr>
            <w:r>
              <w:rPr>
                <w:rFonts w:ascii="Calibri" w:cs="Calibri" w:eastAsia="Calibri" w:hAnsi="Calibri"/>
                <w:b/>
                <w:bCs/>
                <w:color w:val="C00000"/>
                <w:sz w:val="17"/>
                <w:szCs w:val="17"/>
              </w:rPr>
              <w:t xml:space="preserve">★ </w:t>
            </w:r>
            <w:r>
              <w:rPr>
                <w:rFonts w:ascii="Calibri" w:cs="Calibri" w:eastAsia="Calibri" w:hAnsi="Calibri"/>
                <w:b/>
                <w:bCs/>
                <w:sz w:val="17"/>
                <w:szCs w:val="17"/>
              </w:rPr>
              <w:t xml:space="preserve">Préventes sécurisées (%)</w:t>
            </w:r>
            <w:r>
              <w:rPr>
                <w:rFonts w:ascii="Calibri" w:cs="Calibri" w:eastAsia="Calibri" w:hAnsi="Calibri"/>
                <w:color w:val="595959"/>
                <w:sz w:val="14"/>
                <w:szCs w:val="14"/>
              </w:rPr>
              <w:t xml:space="preserve">  D3C1 · pre_sale_rate</w:t>
            </w:r>
            <w:r>
              <w:rPr>
                <w:rFonts w:ascii="Calibri" w:cs="Calibri" w:eastAsia="Calibri" w:hAnsi="Calibri"/>
                <w:i/>
                <w:iCs/>
                <w:color w:val="595959"/>
                <w:sz w:val="14"/>
                <w:szCs w:val="14"/>
              </w:rPr>
              <w:br/>
              <w:t xml:space="preserve">  Étape : Commercialisation &amp; Cash-flow</w:t>
            </w:r>
          </w:p>
        </w:tc>
        <w:tc>
          <w:tcPr>
            <w:tcW w:type="dxa" w:w="1100"/>
            <w:tcMar>
              <w:top w:type="dxa" w:w="40"/>
              <w:left w:type="dxa" w:w="80"/>
              <w:bottom w:type="dxa" w:w="40"/>
              <w:right w:type="dxa" w:w="80"/>
            </w:tcMar>
          </w:tcPr>
          <w:p>
            <w:pPr>
              <w:spacing w:after="0" w:line="240"/>
              <w:jc w:val="center"/>
            </w:pPr>
            <w:r>
              <w:rPr>
                <w:rFonts w:ascii="Calibri" w:cs="Calibri" w:eastAsia="Calibri" w:hAnsi="Calibri"/>
                <w:sz w:val="17"/>
                <w:szCs w:val="17"/>
              </w:rPr>
              <w:t xml:space="preserve">P22, P23</w:t>
            </w:r>
          </w:p>
        </w:tc>
        <w:tc>
          <w:tcPr>
            <w:tcW w:type="dxa" w:w="4300"/>
            <w:tcMar>
              <w:top w:type="dxa" w:w="40"/>
              <w:left w:type="dxa" w:w="80"/>
              <w:bottom w:type="dxa" w:w="40"/>
              <w:right w:type="dxa" w:w="80"/>
            </w:tcMar>
          </w:tcPr>
          <w:p>
            <w:pPr>
              <w:spacing w:after="0" w:line="240"/>
            </w:pPr>
            <w:r>
              <w:rPr>
                <w:rFonts w:ascii="Calibri" w:cs="Calibri" w:eastAsia="Calibri" w:hAnsi="Calibri"/>
                <w:sz w:val="17"/>
                <w:szCs w:val="17"/>
              </w:rPr>
              <w:t xml:space="preserve">Prix des lots juridiquement engagés (réservés, compromis, vendus), nets des désistements / chiffre d'affaires total × 100. Calculé par la synchronisation depuis les lots.</w:t>
            </w:r>
          </w:p>
        </w:tc>
        <w:tc>
          <w:tcPr>
            <w:tcW w:type="dxa" w:w="2600"/>
            <w:tcMar>
              <w:top w:type="dxa" w:w="40"/>
              <w:left w:type="dxa" w:w="80"/>
              <w:bottom w:type="dxa" w:w="40"/>
              <w:right w:type="dxa" w:w="80"/>
            </w:tcMar>
          </w:tcPr>
          <w:p>
            <w:pPr>
              <w:spacing w:after="0" w:line="240"/>
            </w:pPr>
            <w:r>
              <w:rPr>
                <w:rFonts w:ascii="Calibri" w:cs="Calibri" w:eastAsia="Calibri" w:hAnsi="Calibri"/>
                <w:sz w:val="15"/>
                <w:szCs w:val="15"/>
              </w:rPr>
              <w:t xml:space="preserve">&lt; 25 → 1 · 25 à &lt; 40 → 6 · ≥ 40 → 10</w:t>
            </w:r>
          </w:p>
        </w:tc>
        <w:tc>
          <w:tcPr>
            <w:tcW w:type="dxa" w:w="3800"/>
            <w:tcMar>
              <w:top w:type="dxa" w:w="40"/>
              <w:left w:type="dxa" w:w="80"/>
              <w:bottom w:type="dxa" w:w="40"/>
              <w:right w:type="dxa" w:w="80"/>
            </w:tcMar>
          </w:tcPr>
          <w:p>
            <w:pPr>
              <w:spacing w:after="0" w:line="240"/>
            </w:pPr>
            <w:r>
              <w:rPr>
                <w:rFonts w:ascii="Calibri" w:cs="Calibri" w:eastAsia="Calibri" w:hAnsi="Calibri"/>
                <w:color w:val="C00000"/>
                <w:sz w:val="17"/>
                <w:szCs w:val="17"/>
              </w:rPr>
              <w:t xml:space="preserve">DONNÉE DÉCISIONNELLE : si elle manque, le dossier est incomplet. Une réservation sans contrat ne compte pas.</w:t>
            </w:r>
          </w:p>
        </w:tc>
      </w:tr>
      <w:tr>
        <w:trPr>
          <w:cantSplit/>
        </w:trPr>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Ventes vs planning (%)</w:t>
            </w:r>
            <w:r>
              <w:rPr>
                <w:rFonts w:ascii="Calibri" w:cs="Calibri" w:eastAsia="Calibri" w:hAnsi="Calibri"/>
                <w:color w:val="595959"/>
                <w:sz w:val="14"/>
                <w:szCs w:val="14"/>
              </w:rPr>
              <w:t xml:space="preserve">  D3C2 · sales_vs_plan</w:t>
            </w:r>
            <w:r>
              <w:rPr>
                <w:rFonts w:ascii="Calibri" w:cs="Calibri" w:eastAsia="Calibri" w:hAnsi="Calibri"/>
                <w:i/>
                <w:iCs/>
                <w:color w:val="595959"/>
                <w:sz w:val="14"/>
                <w:szCs w:val="14"/>
              </w:rPr>
              <w:br/>
              <w:t xml:space="preserve">  Étape : Commercialisation &amp; Cash-flow</w:t>
            </w:r>
          </w:p>
        </w:tc>
        <w:tc>
          <w:tcPr>
            <w:tcW w:type="dxa" w:w="11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P22, P16</w:t>
            </w:r>
          </w:p>
        </w:tc>
        <w:tc>
          <w:tcPr>
            <w:tcW w:type="dxa" w:w="4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Ventes fermes à date / ventes prévues à la même date par le business plan × 100.</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sz w:val="15"/>
                <w:szCs w:val="15"/>
              </w:rPr>
              <w:t xml:space="preserve">&lt; 80 → 1 · 80 à &lt; 100 → 6 · ≥ 100 → 10</w:t>
            </w:r>
          </w:p>
        </w:tc>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Comparer au planning commercial d'origine, pas à un planning révisé sans validation.</w:t>
            </w:r>
          </w:p>
        </w:tc>
      </w:tr>
      <w:tr>
        <w:trPr>
          <w:cantSplit/>
        </w:trPr>
        <w:tc>
          <w:tcPr>
            <w:tcW w:type="dxa" w:w="2600"/>
            <w:tcMar>
              <w:top w:type="dxa" w:w="40"/>
              <w:left w:type="dxa" w:w="80"/>
              <w:bottom w:type="dxa" w:w="40"/>
              <w:right w:type="dxa" w:w="80"/>
            </w:tcMar>
          </w:tcPr>
          <w:p>
            <w:pPr>
              <w:spacing w:after="0" w:line="240"/>
            </w:pPr>
            <w:r>
              <w:rPr>
                <w:rFonts w:ascii="Calibri" w:cs="Calibri" w:eastAsia="Calibri" w:hAnsi="Calibri"/>
                <w:b/>
                <w:bCs/>
                <w:sz w:val="17"/>
                <w:szCs w:val="17"/>
              </w:rPr>
              <w:t xml:space="preserve">DSO (jours)</w:t>
            </w:r>
            <w:r>
              <w:rPr>
                <w:rFonts w:ascii="Calibri" w:cs="Calibri" w:eastAsia="Calibri" w:hAnsi="Calibri"/>
                <w:color w:val="595959"/>
                <w:sz w:val="14"/>
                <w:szCs w:val="14"/>
              </w:rPr>
              <w:t xml:space="preserve">  D3C3 · dso_days</w:t>
            </w:r>
            <w:r>
              <w:rPr>
                <w:rFonts w:ascii="Calibri" w:cs="Calibri" w:eastAsia="Calibri" w:hAnsi="Calibri"/>
                <w:i/>
                <w:iCs/>
                <w:color w:val="595959"/>
                <w:sz w:val="14"/>
                <w:szCs w:val="14"/>
              </w:rPr>
              <w:br/>
              <w:t xml:space="preserve">  Étape : Commercialisation &amp; Cash-flow</w:t>
            </w:r>
          </w:p>
        </w:tc>
        <w:tc>
          <w:tcPr>
            <w:tcW w:type="dxa" w:w="1100"/>
            <w:tcMar>
              <w:top w:type="dxa" w:w="40"/>
              <w:left w:type="dxa" w:w="80"/>
              <w:bottom w:type="dxa" w:w="40"/>
              <w:right w:type="dxa" w:w="80"/>
            </w:tcMar>
          </w:tcPr>
          <w:p>
            <w:pPr>
              <w:spacing w:after="0" w:line="240"/>
              <w:jc w:val="center"/>
            </w:pPr>
            <w:r>
              <w:rPr>
                <w:rFonts w:ascii="Calibri" w:cs="Calibri" w:eastAsia="Calibri" w:hAnsi="Calibri"/>
                <w:sz w:val="17"/>
                <w:szCs w:val="17"/>
              </w:rPr>
              <w:t xml:space="preserve">P22</w:t>
            </w:r>
          </w:p>
        </w:tc>
        <w:tc>
          <w:tcPr>
            <w:tcW w:type="dxa" w:w="4300"/>
            <w:tcMar>
              <w:top w:type="dxa" w:w="40"/>
              <w:left w:type="dxa" w:w="80"/>
              <w:bottom w:type="dxa" w:w="40"/>
              <w:right w:type="dxa" w:w="80"/>
            </w:tcMar>
          </w:tcPr>
          <w:p>
            <w:pPr>
              <w:spacing w:after="0" w:line="240"/>
            </w:pPr>
            <w:r>
              <w:rPr>
                <w:rFonts w:ascii="Calibri" w:cs="Calibri" w:eastAsia="Calibri" w:hAnsi="Calibri"/>
                <w:sz w:val="17"/>
                <w:szCs w:val="17"/>
              </w:rPr>
              <w:t xml:space="preserve">Délai moyen d'encaissement des sommes dues par les acquéreurs, en jours.</w:t>
            </w:r>
          </w:p>
        </w:tc>
        <w:tc>
          <w:tcPr>
            <w:tcW w:type="dxa" w:w="2600"/>
            <w:tcMar>
              <w:top w:type="dxa" w:w="40"/>
              <w:left w:type="dxa" w:w="80"/>
              <w:bottom w:type="dxa" w:w="40"/>
              <w:right w:type="dxa" w:w="80"/>
            </w:tcMar>
          </w:tcPr>
          <w:p>
            <w:pPr>
              <w:spacing w:after="0" w:line="240"/>
            </w:pPr>
            <w:r>
              <w:rPr>
                <w:rFonts w:ascii="Calibri" w:cs="Calibri" w:eastAsia="Calibri" w:hAnsi="Calibri"/>
                <w:sz w:val="15"/>
                <w:szCs w:val="15"/>
              </w:rPr>
              <w:t xml:space="preserve">&lt; 120 → 10 · 120 à &lt; 240 → 6 · ≥ 240 → 1</w:t>
            </w:r>
          </w:p>
        </w:tc>
        <w:tc>
          <w:tcPr>
            <w:tcW w:type="dxa" w:w="3800"/>
            <w:tcMar>
              <w:top w:type="dxa" w:w="40"/>
              <w:left w:type="dxa" w:w="80"/>
              <w:bottom w:type="dxa" w:w="40"/>
              <w:right w:type="dxa" w:w="80"/>
            </w:tcMar>
          </w:tcPr>
          <w:p>
            <w:pPr>
              <w:spacing w:after="0" w:line="240"/>
            </w:pPr>
            <w:r>
              <w:rPr>
                <w:rFonts w:ascii="Calibri" w:cs="Calibri" w:eastAsia="Calibri" w:hAnsi="Calibri"/>
                <w:sz w:val="17"/>
                <w:szCs w:val="17"/>
              </w:rPr>
              <w:t xml:space="preserve">Les acomptes non appelés ne sont pas des créances.</w:t>
            </w:r>
          </w:p>
        </w:tc>
      </w:tr>
      <w:tr>
        <w:trPr>
          <w:cantSplit/>
        </w:trPr>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b/>
                <w:bCs/>
                <w:color w:val="C00000"/>
                <w:sz w:val="17"/>
                <w:szCs w:val="17"/>
              </w:rPr>
              <w:t xml:space="preserve">★ </w:t>
            </w:r>
            <w:r>
              <w:rPr>
                <w:rFonts w:ascii="Calibri" w:cs="Calibri" w:eastAsia="Calibri" w:hAnsi="Calibri"/>
                <w:b/>
                <w:bCs/>
                <w:sz w:val="17"/>
                <w:szCs w:val="17"/>
              </w:rPr>
              <w:t xml:space="preserve">Cash coverage (x)</w:t>
            </w:r>
            <w:r>
              <w:rPr>
                <w:rFonts w:ascii="Calibri" w:cs="Calibri" w:eastAsia="Calibri" w:hAnsi="Calibri"/>
                <w:color w:val="595959"/>
                <w:sz w:val="14"/>
                <w:szCs w:val="14"/>
              </w:rPr>
              <w:t xml:space="preserve">  D3C4 · cash_coverage</w:t>
            </w:r>
            <w:r>
              <w:rPr>
                <w:rFonts w:ascii="Calibri" w:cs="Calibri" w:eastAsia="Calibri" w:hAnsi="Calibri"/>
                <w:i/>
                <w:iCs/>
                <w:color w:val="595959"/>
                <w:sz w:val="14"/>
                <w:szCs w:val="14"/>
              </w:rPr>
              <w:br/>
              <w:t xml:space="preserve">  Étape : Commercialisation &amp; Cash-flow</w:t>
            </w:r>
          </w:p>
        </w:tc>
        <w:tc>
          <w:tcPr>
            <w:tcW w:type="dxa" w:w="11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P17</w:t>
            </w:r>
          </w:p>
        </w:tc>
        <w:tc>
          <w:tcPr>
            <w:tcW w:type="dxa" w:w="4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Ressources certaines de la période (trésorerie, tirages autorisés, encaissements sécurisés) / sorties de la période. L'écran « Trésorerie mensuelle &amp; impasse » de la fiche le reconstitue.</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sz w:val="15"/>
                <w:szCs w:val="15"/>
              </w:rPr>
              <w:t xml:space="preserve">&lt; 1 → 1 · 1 à &lt; 1,2 → 6 · ≥ 1,2 → 10</w:t>
            </w:r>
          </w:p>
        </w:tc>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color w:val="C00000"/>
                <w:sz w:val="17"/>
                <w:szCs w:val="17"/>
              </w:rPr>
              <w:t xml:space="preserve">DONNÉE DÉCISIONNELLE et clé d'alerte (&lt; 1,0 : malus 25). Sans plan de trésorerie mensuel, ne pas estimer au jugé.</w:t>
            </w:r>
          </w:p>
        </w:tc>
      </w:tr>
      <w:tr>
        <w:trPr>
          <w:cantSplit/>
        </w:trPr>
        <w:tc>
          <w:tcPr>
            <w:tcW w:type="dxa" w:w="2600"/>
            <w:tcMar>
              <w:top w:type="dxa" w:w="40"/>
              <w:left w:type="dxa" w:w="80"/>
              <w:bottom w:type="dxa" w:w="40"/>
              <w:right w:type="dxa" w:w="80"/>
            </w:tcMar>
          </w:tcPr>
          <w:p>
            <w:pPr>
              <w:spacing w:after="0" w:line="240"/>
            </w:pPr>
            <w:r>
              <w:rPr>
                <w:rFonts w:ascii="Calibri" w:cs="Calibri" w:eastAsia="Calibri" w:hAnsi="Calibri"/>
                <w:b/>
                <w:bCs/>
                <w:color w:val="C00000"/>
                <w:sz w:val="17"/>
                <w:szCs w:val="17"/>
              </w:rPr>
              <w:t xml:space="preserve">★ </w:t>
            </w:r>
            <w:r>
              <w:rPr>
                <w:rFonts w:ascii="Calibri" w:cs="Calibri" w:eastAsia="Calibri" w:hAnsi="Calibri"/>
                <w:b/>
                <w:bCs/>
                <w:sz w:val="17"/>
                <w:szCs w:val="17"/>
              </w:rPr>
              <w:t xml:space="preserve">Impasse brute (%)</w:t>
            </w:r>
            <w:r>
              <w:rPr>
                <w:rFonts w:ascii="Calibri" w:cs="Calibri" w:eastAsia="Calibri" w:hAnsi="Calibri"/>
                <w:color w:val="595959"/>
                <w:sz w:val="14"/>
                <w:szCs w:val="14"/>
              </w:rPr>
              <w:t xml:space="preserve">  D3C5 · funding_gap_pct</w:t>
            </w:r>
            <w:r>
              <w:rPr>
                <w:rFonts w:ascii="Calibri" w:cs="Calibri" w:eastAsia="Calibri" w:hAnsi="Calibri"/>
                <w:i/>
                <w:iCs/>
                <w:color w:val="595959"/>
                <w:sz w:val="14"/>
                <w:szCs w:val="14"/>
              </w:rPr>
              <w:br/>
              <w:t xml:space="preserve">  Étape : Commercialisation &amp; Cash-flow</w:t>
            </w:r>
          </w:p>
        </w:tc>
        <w:tc>
          <w:tcPr>
            <w:tcW w:type="dxa" w:w="1100"/>
            <w:tcMar>
              <w:top w:type="dxa" w:w="40"/>
              <w:left w:type="dxa" w:w="80"/>
              <w:bottom w:type="dxa" w:w="40"/>
              <w:right w:type="dxa" w:w="80"/>
            </w:tcMar>
          </w:tcPr>
          <w:p>
            <w:pPr>
              <w:spacing w:after="0" w:line="240"/>
              <w:jc w:val="center"/>
            </w:pPr>
            <w:r>
              <w:rPr>
                <w:rFonts w:ascii="Calibri" w:cs="Calibri" w:eastAsia="Calibri" w:hAnsi="Calibri"/>
                <w:sz w:val="17"/>
                <w:szCs w:val="17"/>
              </w:rPr>
              <w:t xml:space="preserve">P17</w:t>
            </w:r>
          </w:p>
        </w:tc>
        <w:tc>
          <w:tcPr>
            <w:tcW w:type="dxa" w:w="4300"/>
            <w:tcMar>
              <w:top w:type="dxa" w:w="40"/>
              <w:left w:type="dxa" w:w="80"/>
              <w:bottom w:type="dxa" w:w="40"/>
              <w:right w:type="dxa" w:w="80"/>
            </w:tcMar>
          </w:tcPr>
          <w:p>
            <w:pPr>
              <w:spacing w:after="0" w:line="240"/>
            </w:pPr>
            <w:r>
              <w:rPr>
                <w:rFonts w:ascii="Calibri" w:cs="Calibri" w:eastAsia="Calibri" w:hAnsi="Calibri"/>
                <w:sz w:val="17"/>
                <w:szCs w:val="17"/>
              </w:rPr>
              <w:t xml:space="preserve">Besoin additionnel maximal non financé / coût restant à financer × 100 (0 si aucune impasse).</w:t>
            </w:r>
          </w:p>
        </w:tc>
        <w:tc>
          <w:tcPr>
            <w:tcW w:type="dxa" w:w="2600"/>
            <w:tcMar>
              <w:top w:type="dxa" w:w="40"/>
              <w:left w:type="dxa" w:w="80"/>
              <w:bottom w:type="dxa" w:w="40"/>
              <w:right w:type="dxa" w:w="80"/>
            </w:tcMar>
          </w:tcPr>
          <w:p>
            <w:pPr>
              <w:spacing w:after="0" w:line="240"/>
            </w:pPr>
            <w:r>
              <w:rPr>
                <w:rFonts w:ascii="Calibri" w:cs="Calibri" w:eastAsia="Calibri" w:hAnsi="Calibri"/>
                <w:sz w:val="15"/>
                <w:szCs w:val="15"/>
              </w:rPr>
              <w:t xml:space="preserve">≤ 0 — aucune impasse → 10 · &gt; 0 à &lt; 10 → 6 · ≥ 10 → 1</w:t>
            </w:r>
          </w:p>
        </w:tc>
        <w:tc>
          <w:tcPr>
            <w:tcW w:type="dxa" w:w="3800"/>
            <w:tcMar>
              <w:top w:type="dxa" w:w="40"/>
              <w:left w:type="dxa" w:w="80"/>
              <w:bottom w:type="dxa" w:w="40"/>
              <w:right w:type="dxa" w:w="80"/>
            </w:tcMar>
          </w:tcPr>
          <w:p>
            <w:pPr>
              <w:spacing w:after="0" w:line="240"/>
            </w:pPr>
            <w:r>
              <w:rPr>
                <w:rFonts w:ascii="Calibri" w:cs="Calibri" w:eastAsia="Calibri" w:hAnsi="Calibri"/>
                <w:color w:val="C00000"/>
                <w:sz w:val="17"/>
                <w:szCs w:val="17"/>
              </w:rPr>
              <w:t xml:space="preserve">DONNÉE DÉCISIONNELLE. Laisser vide si inconnue : un 0 saisi par défaut donnerait la meilleure note.</w:t>
            </w:r>
          </w:p>
        </w:tc>
      </w:tr>
      <w:tr>
        <w:trPr>
          <w:cantSplit/>
        </w:trPr>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Rotation stock (mois)</w:t>
            </w:r>
            <w:r>
              <w:rPr>
                <w:rFonts w:ascii="Calibri" w:cs="Calibri" w:eastAsia="Calibri" w:hAnsi="Calibri"/>
                <w:color w:val="595959"/>
                <w:sz w:val="14"/>
                <w:szCs w:val="14"/>
              </w:rPr>
              <w:t xml:space="preserve">  D3C6 · stock_rotation_months</w:t>
            </w:r>
            <w:r>
              <w:rPr>
                <w:rFonts w:ascii="Calibri" w:cs="Calibri" w:eastAsia="Calibri" w:hAnsi="Calibri"/>
                <w:i/>
                <w:iCs/>
                <w:color w:val="595959"/>
                <w:sz w:val="14"/>
                <w:szCs w:val="14"/>
              </w:rPr>
              <w:br/>
              <w:t xml:space="preserve">  Étape : Commercialisation &amp; Cash-flow</w:t>
            </w:r>
          </w:p>
        </w:tc>
        <w:tc>
          <w:tcPr>
            <w:tcW w:type="dxa" w:w="11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P22</w:t>
            </w:r>
          </w:p>
        </w:tc>
        <w:tc>
          <w:tcPr>
            <w:tcW w:type="dxa" w:w="4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Lots invendus / rythme mensuel de ventes nettes observé (en mois).</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sz w:val="15"/>
                <w:szCs w:val="15"/>
              </w:rPr>
              <w:t xml:space="preserve">&lt; 18 → 10 · 18 à &lt; 30 → 6 · ≥ 30 → 1</w:t>
            </w:r>
          </w:p>
        </w:tc>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Utiliser le rythme net des désistements sur les 6 à 12 derniers mois.</w:t>
            </w:r>
          </w:p>
        </w:tc>
      </w:tr>
      <w:tr>
        <w:trPr>
          <w:cantSplit/>
        </w:trPr>
        <w:tc>
          <w:tcPr>
            <w:tcW w:type="dxa" w:w="2600"/>
            <w:tcMar>
              <w:top w:type="dxa" w:w="40"/>
              <w:left w:type="dxa" w:w="80"/>
              <w:bottom w:type="dxa" w:w="40"/>
              <w:right w:type="dxa" w:w="80"/>
            </w:tcMar>
          </w:tcPr>
          <w:p>
            <w:pPr>
              <w:spacing w:after="0" w:line="240"/>
            </w:pPr>
            <w:r>
              <w:rPr>
                <w:rFonts w:ascii="Calibri" w:cs="Calibri" w:eastAsia="Calibri" w:hAnsi="Calibri"/>
                <w:b/>
                <w:bCs/>
                <w:sz w:val="17"/>
                <w:szCs w:val="17"/>
              </w:rPr>
              <w:t xml:space="preserve">Marge stressée -10% (%)</w:t>
            </w:r>
            <w:r>
              <w:rPr>
                <w:rFonts w:ascii="Calibri" w:cs="Calibri" w:eastAsia="Calibri" w:hAnsi="Calibri"/>
                <w:color w:val="595959"/>
                <w:sz w:val="14"/>
                <w:szCs w:val="14"/>
              </w:rPr>
              <w:t xml:space="preserve">  D3C7 · stressed_margin_pct</w:t>
            </w:r>
            <w:r>
              <w:rPr>
                <w:rFonts w:ascii="Calibri" w:cs="Calibri" w:eastAsia="Calibri" w:hAnsi="Calibri"/>
                <w:i/>
                <w:iCs/>
                <w:color w:val="595959"/>
                <w:sz w:val="14"/>
                <w:szCs w:val="14"/>
              </w:rPr>
              <w:br/>
              <w:t xml:space="preserve">  Étape : Commercialisation &amp; Cash-flow</w:t>
            </w:r>
          </w:p>
        </w:tc>
        <w:tc>
          <w:tcPr>
            <w:tcW w:type="dxa" w:w="1100"/>
            <w:tcMar>
              <w:top w:type="dxa" w:w="40"/>
              <w:left w:type="dxa" w:w="80"/>
              <w:bottom w:type="dxa" w:w="40"/>
              <w:right w:type="dxa" w:w="80"/>
            </w:tcMar>
          </w:tcPr>
          <w:p>
            <w:pPr>
              <w:spacing w:after="0" w:line="240"/>
              <w:jc w:val="center"/>
            </w:pPr>
            <w:r>
              <w:rPr>
                <w:rFonts w:ascii="Calibri" w:cs="Calibri" w:eastAsia="Calibri" w:hAnsi="Calibri"/>
                <w:sz w:val="17"/>
                <w:szCs w:val="17"/>
              </w:rPr>
              <w:t xml:space="preserve">P16</w:t>
            </w:r>
          </w:p>
        </w:tc>
        <w:tc>
          <w:tcPr>
            <w:tcW w:type="dxa" w:w="4300"/>
            <w:tcMar>
              <w:top w:type="dxa" w:w="40"/>
              <w:left w:type="dxa" w:w="80"/>
              <w:bottom w:type="dxa" w:w="40"/>
              <w:right w:type="dxa" w:w="80"/>
            </w:tcMar>
          </w:tcPr>
          <w:p>
            <w:pPr>
              <w:spacing w:after="0" w:line="240"/>
            </w:pPr>
            <w:r>
              <w:rPr>
                <w:rFonts w:ascii="Calibri" w:cs="Calibri" w:eastAsia="Calibri" w:hAnsi="Calibri"/>
                <w:sz w:val="17"/>
                <w:szCs w:val="17"/>
              </w:rPr>
              <w:t xml:space="preserve">Marge brute recalculée avec des prix de vente baissés de 10 % (coûts inchangés).</w:t>
            </w:r>
          </w:p>
        </w:tc>
        <w:tc>
          <w:tcPr>
            <w:tcW w:type="dxa" w:w="2600"/>
            <w:tcMar>
              <w:top w:type="dxa" w:w="40"/>
              <w:left w:type="dxa" w:w="80"/>
              <w:bottom w:type="dxa" w:w="40"/>
              <w:right w:type="dxa" w:w="80"/>
            </w:tcMar>
          </w:tcPr>
          <w:p>
            <w:pPr>
              <w:spacing w:after="0" w:line="240"/>
            </w:pPr>
            <w:r>
              <w:rPr>
                <w:rFonts w:ascii="Calibri" w:cs="Calibri" w:eastAsia="Calibri" w:hAnsi="Calibri"/>
                <w:sz w:val="15"/>
                <w:szCs w:val="15"/>
              </w:rPr>
              <w:t xml:space="preserve">&lt; 10 → 1 · 10 à &lt; 15 → 6 · ≥ 15 → 10</w:t>
            </w:r>
          </w:p>
        </w:tc>
        <w:tc>
          <w:tcPr>
            <w:tcW w:type="dxa" w:w="3800"/>
            <w:tcMar>
              <w:top w:type="dxa" w:w="40"/>
              <w:left w:type="dxa" w:w="80"/>
              <w:bottom w:type="dxa" w:w="40"/>
              <w:right w:type="dxa" w:w="80"/>
            </w:tcMar>
          </w:tcPr>
          <w:p>
            <w:pPr>
              <w:spacing w:after="0" w:line="240"/>
            </w:pPr>
            <w:r>
              <w:rPr>
                <w:rFonts w:ascii="Calibri" w:cs="Calibri" w:eastAsia="Calibri" w:hAnsi="Calibri"/>
                <w:sz w:val="17"/>
                <w:szCs w:val="17"/>
              </w:rPr>
              <w:t xml:space="preserve">Recalculer, ne pas soustraire 10 points à la marge.</w:t>
            </w:r>
          </w:p>
        </w:tc>
      </w:tr>
      <w:tr>
        <w:trPr>
          <w:cantSplit/>
        </w:trPr>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Ventes sécurisées par le financement acquéreur (%)</w:t>
            </w:r>
            <w:r>
              <w:rPr>
                <w:rFonts w:ascii="Calibri" w:cs="Calibri" w:eastAsia="Calibri" w:hAnsi="Calibri"/>
                <w:color w:val="595959"/>
                <w:sz w:val="14"/>
                <w:szCs w:val="14"/>
              </w:rPr>
              <w:t xml:space="preserve">  D3C8 · secured_sales_rate</w:t>
            </w:r>
            <w:r>
              <w:rPr>
                <w:rFonts w:ascii="Calibri" w:cs="Calibri" w:eastAsia="Calibri" w:hAnsi="Calibri"/>
                <w:i/>
                <w:iCs/>
                <w:color w:val="595959"/>
                <w:sz w:val="14"/>
                <w:szCs w:val="14"/>
              </w:rPr>
              <w:br/>
              <w:t xml:space="preserve">  Étape : Pratique marocaine (modèle v4)</w:t>
            </w:r>
          </w:p>
        </w:tc>
        <w:tc>
          <w:tcPr>
            <w:tcW w:type="dxa" w:w="11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P24, P22</w:t>
            </w:r>
          </w:p>
        </w:tc>
        <w:tc>
          <w:tcPr>
            <w:tcW w:type="dxa" w:w="4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Σ (prix du lot × facteur de sécurisation du financement de l'acquéreur) / valeur commercialisable totale × 100. Renseigner le statut de financement de chaque lot dans le suivi : calcul automatique à la synchronisation.</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sz w:val="15"/>
                <w:szCs w:val="15"/>
              </w:rPr>
              <w:t xml:space="preserve">&lt; 25 % → 1 · 25 à &lt; 40 % → 6 · ≥ 40 % → 10</w:t>
            </w:r>
          </w:p>
        </w:tc>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Une réservation dont le crédit n'est pas instruit ne vaut que 20 % ; un crédit refusé vaut 0.</w:t>
            </w:r>
          </w:p>
        </w:tc>
      </w:tr>
    </w:tbl>
    <w:p>
      <w:pPr>
        <w:pStyle w:val="Heading2"/>
        <w:keepNext/>
      </w:pPr>
      <w:r>
        <w:t xml:space="preserve">D4 — Structuration financière &amp; LGD (24 %)</w:t>
      </w:r>
    </w:p>
    <w:tbl>
      <w:tblPr>
        <w:tblW w:type="dxa" w:w="14400"/>
        <w:tblBorders>
          <w:top w:val="single" w:color="AEB6C6" w:sz="2"/>
          <w:left w:val="single" w:color="AEB6C6" w:sz="2"/>
          <w:bottom w:val="single" w:color="AEB6C6" w:sz="2"/>
          <w:right w:val="single" w:color="AEB6C6" w:sz="2"/>
          <w:insideH w:val="single" w:color="D0D6E2" w:sz="1"/>
          <w:insideV w:val="single" w:color="D0D6E2" w:sz="1"/>
        </w:tblBorders>
      </w:tblPr>
      <w:tblGrid>
        <w:gridCol w:w="2600"/>
        <w:gridCol w:w="1100"/>
        <w:gridCol w:w="4300"/>
        <w:gridCol w:w="2600"/>
        <w:gridCol w:w="3800"/>
      </w:tblGrid>
      <w:tr>
        <w:trPr>
          <w:cantSplit/>
          <w:tblHeader/>
        </w:trPr>
        <w:tc>
          <w:tcPr>
            <w:tcW w:type="dxa" w:w="26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Donnée (clé technique)</w:t>
            </w:r>
          </w:p>
        </w:tc>
        <w:tc>
          <w:tcPr>
            <w:tcW w:type="dxa" w:w="11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Pièces</w:t>
            </w:r>
          </w:p>
        </w:tc>
        <w:tc>
          <w:tcPr>
            <w:tcW w:type="dxa" w:w="43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Comment l'obtenir</w:t>
            </w:r>
          </w:p>
        </w:tc>
        <w:tc>
          <w:tcPr>
            <w:tcW w:type="dxa" w:w="26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Barème</w:t>
            </w:r>
          </w:p>
        </w:tc>
        <w:tc>
          <w:tcPr>
            <w:tcW w:type="dxa" w:w="38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Attention</w:t>
            </w:r>
          </w:p>
        </w:tc>
      </w:tr>
      <w:tr>
        <w:trPr>
          <w:cantSplit/>
        </w:trPr>
        <w:tc>
          <w:tcPr>
            <w:tcW w:type="dxa" w:w="2600"/>
            <w:tcMar>
              <w:top w:type="dxa" w:w="40"/>
              <w:left w:type="dxa" w:w="80"/>
              <w:bottom w:type="dxa" w:w="40"/>
              <w:right w:type="dxa" w:w="80"/>
            </w:tcMar>
          </w:tcPr>
          <w:p>
            <w:pPr>
              <w:spacing w:after="0" w:line="240"/>
            </w:pPr>
            <w:r>
              <w:rPr>
                <w:rFonts w:ascii="Calibri" w:cs="Calibri" w:eastAsia="Calibri" w:hAnsi="Calibri"/>
                <w:b/>
                <w:bCs/>
                <w:color w:val="C00000"/>
                <w:sz w:val="17"/>
                <w:szCs w:val="17"/>
              </w:rPr>
              <w:t xml:space="preserve">★ </w:t>
            </w:r>
            <w:r>
              <w:rPr>
                <w:rFonts w:ascii="Calibri" w:cs="Calibri" w:eastAsia="Calibri" w:hAnsi="Calibri"/>
                <w:b/>
                <w:bCs/>
                <w:sz w:val="17"/>
                <w:szCs w:val="17"/>
              </w:rPr>
              <w:t xml:space="preserve">Marge brute (%)</w:t>
            </w:r>
            <w:r>
              <w:rPr>
                <w:rFonts w:ascii="Calibri" w:cs="Calibri" w:eastAsia="Calibri" w:hAnsi="Calibri"/>
                <w:color w:val="595959"/>
                <w:sz w:val="14"/>
                <w:szCs w:val="14"/>
              </w:rPr>
              <w:t xml:space="preserve">  D4C1 · gross_margin_pct</w:t>
            </w:r>
            <w:r>
              <w:rPr>
                <w:rFonts w:ascii="Calibri" w:cs="Calibri" w:eastAsia="Calibri" w:hAnsi="Calibri"/>
                <w:i/>
                <w:iCs/>
                <w:color w:val="595959"/>
                <w:sz w:val="14"/>
                <w:szCs w:val="14"/>
              </w:rPr>
              <w:br/>
              <w:t xml:space="preserve">  Étape : Structuration financière &amp; LGD</w:t>
            </w:r>
          </w:p>
        </w:tc>
        <w:tc>
          <w:tcPr>
            <w:tcW w:type="dxa" w:w="1100"/>
            <w:tcMar>
              <w:top w:type="dxa" w:w="40"/>
              <w:left w:type="dxa" w:w="80"/>
              <w:bottom w:type="dxa" w:w="40"/>
              <w:right w:type="dxa" w:w="80"/>
            </w:tcMar>
          </w:tcPr>
          <w:p>
            <w:pPr>
              <w:spacing w:after="0" w:line="240"/>
              <w:jc w:val="center"/>
            </w:pPr>
            <w:r>
              <w:rPr>
                <w:rFonts w:ascii="Calibri" w:cs="Calibri" w:eastAsia="Calibri" w:hAnsi="Calibri"/>
                <w:sz w:val="17"/>
                <w:szCs w:val="17"/>
              </w:rPr>
              <w:t xml:space="preserve">P16</w:t>
            </w:r>
          </w:p>
        </w:tc>
        <w:tc>
          <w:tcPr>
            <w:tcW w:type="dxa" w:w="4300"/>
            <w:tcMar>
              <w:top w:type="dxa" w:w="40"/>
              <w:left w:type="dxa" w:w="80"/>
              <w:bottom w:type="dxa" w:w="40"/>
              <w:right w:type="dxa" w:w="80"/>
            </w:tcMar>
          </w:tcPr>
          <w:p>
            <w:pPr>
              <w:spacing w:after="0" w:line="240"/>
            </w:pPr>
            <w:r>
              <w:rPr>
                <w:rFonts w:ascii="Calibri" w:cs="Calibri" w:eastAsia="Calibri" w:hAnsi="Calibri"/>
                <w:sz w:val="17"/>
                <w:szCs w:val="17"/>
              </w:rPr>
              <w:t xml:space="preserve">(Recettes nettes − coût complet) / recettes nettes × 100, coût complet = foncier + travaux + honoraires + frais financiers + commercialisation.</w:t>
            </w:r>
          </w:p>
        </w:tc>
        <w:tc>
          <w:tcPr>
            <w:tcW w:type="dxa" w:w="2600"/>
            <w:tcMar>
              <w:top w:type="dxa" w:w="40"/>
              <w:left w:type="dxa" w:w="80"/>
              <w:bottom w:type="dxa" w:w="40"/>
              <w:right w:type="dxa" w:w="80"/>
            </w:tcMar>
          </w:tcPr>
          <w:p>
            <w:pPr>
              <w:spacing w:after="0" w:line="240"/>
            </w:pPr>
            <w:r>
              <w:rPr>
                <w:rFonts w:ascii="Calibri" w:cs="Calibri" w:eastAsia="Calibri" w:hAnsi="Calibri"/>
                <w:sz w:val="15"/>
                <w:szCs w:val="15"/>
              </w:rPr>
              <w:t xml:space="preserve">&lt; 15 → 1 · 15 à &lt; 25 → 6 · ≥ 25 → 10</w:t>
            </w:r>
          </w:p>
        </w:tc>
        <w:tc>
          <w:tcPr>
            <w:tcW w:type="dxa" w:w="3800"/>
            <w:tcMar>
              <w:top w:type="dxa" w:w="40"/>
              <w:left w:type="dxa" w:w="80"/>
              <w:bottom w:type="dxa" w:w="40"/>
              <w:right w:type="dxa" w:w="80"/>
            </w:tcMar>
          </w:tcPr>
          <w:p>
            <w:pPr>
              <w:spacing w:after="0" w:line="240"/>
            </w:pPr>
            <w:r>
              <w:rPr>
                <w:rFonts w:ascii="Calibri" w:cs="Calibri" w:eastAsia="Calibri" w:hAnsi="Calibri"/>
                <w:color w:val="C00000"/>
                <w:sz w:val="17"/>
                <w:szCs w:val="17"/>
              </w:rPr>
              <w:t xml:space="preserve">DONNÉE DÉCISIONNELLE. Exclure les produits non liés au programme.</w:t>
            </w:r>
          </w:p>
        </w:tc>
      </w:tr>
      <w:tr>
        <w:trPr>
          <w:cantSplit/>
        </w:trPr>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LTC (%)</w:t>
            </w:r>
            <w:r>
              <w:rPr>
                <w:rFonts w:ascii="Calibri" w:cs="Calibri" w:eastAsia="Calibri" w:hAnsi="Calibri"/>
                <w:color w:val="595959"/>
                <w:sz w:val="14"/>
                <w:szCs w:val="14"/>
              </w:rPr>
              <w:t xml:space="preserve">  D4C2 · ltc</w:t>
            </w:r>
            <w:r>
              <w:rPr>
                <w:rFonts w:ascii="Calibri" w:cs="Calibri" w:eastAsia="Calibri" w:hAnsi="Calibri"/>
                <w:i/>
                <w:iCs/>
                <w:color w:val="595959"/>
                <w:sz w:val="14"/>
                <w:szCs w:val="14"/>
              </w:rPr>
              <w:br/>
              <w:t xml:space="preserve">  Étape : Structuration financière &amp; LGD</w:t>
            </w:r>
          </w:p>
        </w:tc>
        <w:tc>
          <w:tcPr>
            <w:tcW w:type="dxa" w:w="11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P26, P16</w:t>
            </w:r>
          </w:p>
        </w:tc>
        <w:tc>
          <w:tcPr>
            <w:tcW w:type="dxa" w:w="4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Crédit total (tous concours du programme) / coût total du programme × 100.</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sz w:val="15"/>
                <w:szCs w:val="15"/>
              </w:rPr>
              <w:t xml:space="preserve">&lt; 60 → 10 · 60 à &lt; 80 → 6 · ≥ 80 → 1</w:t>
            </w:r>
          </w:p>
        </w:tc>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Inclure les concours par signature qui financent le programme.</w:t>
            </w:r>
          </w:p>
        </w:tc>
      </w:tr>
      <w:tr>
        <w:trPr>
          <w:cantSplit/>
        </w:trPr>
        <w:tc>
          <w:tcPr>
            <w:tcW w:type="dxa" w:w="2600"/>
            <w:tcMar>
              <w:top w:type="dxa" w:w="40"/>
              <w:left w:type="dxa" w:w="80"/>
              <w:bottom w:type="dxa" w:w="40"/>
              <w:right w:type="dxa" w:w="80"/>
            </w:tcMar>
          </w:tcPr>
          <w:p>
            <w:pPr>
              <w:spacing w:after="0" w:line="240"/>
            </w:pPr>
            <w:r>
              <w:rPr>
                <w:rFonts w:ascii="Calibri" w:cs="Calibri" w:eastAsia="Calibri" w:hAnsi="Calibri"/>
                <w:b/>
                <w:bCs/>
                <w:color w:val="2E5496"/>
                <w:sz w:val="17"/>
                <w:szCs w:val="17"/>
              </w:rPr>
              <w:t xml:space="preserve">S </w:t>
            </w:r>
            <w:r>
              <w:rPr>
                <w:rFonts w:ascii="Calibri" w:cs="Calibri" w:eastAsia="Calibri" w:hAnsi="Calibri"/>
                <w:b/>
                <w:bCs/>
                <w:sz w:val="17"/>
                <w:szCs w:val="17"/>
              </w:rPr>
              <w:t xml:space="preserve">LTV stressée (%)</w:t>
            </w:r>
            <w:r>
              <w:rPr>
                <w:rFonts w:ascii="Calibri" w:cs="Calibri" w:eastAsia="Calibri" w:hAnsi="Calibri"/>
                <w:color w:val="595959"/>
                <w:sz w:val="14"/>
                <w:szCs w:val="14"/>
              </w:rPr>
              <w:t xml:space="preserve">  D4C3 · ltv_stressed</w:t>
            </w:r>
            <w:r>
              <w:rPr>
                <w:rFonts w:ascii="Calibri" w:cs="Calibri" w:eastAsia="Calibri" w:hAnsi="Calibri"/>
                <w:i/>
                <w:iCs/>
                <w:color w:val="595959"/>
                <w:sz w:val="14"/>
                <w:szCs w:val="14"/>
              </w:rPr>
              <w:br/>
              <w:t xml:space="preserve">  Étape : Structuration financière &amp; LGD</w:t>
            </w:r>
          </w:p>
        </w:tc>
        <w:tc>
          <w:tcPr>
            <w:tcW w:type="dxa" w:w="1100"/>
            <w:tcMar>
              <w:top w:type="dxa" w:w="40"/>
              <w:left w:type="dxa" w:w="80"/>
              <w:bottom w:type="dxa" w:w="40"/>
              <w:right w:type="dxa" w:w="80"/>
            </w:tcMar>
          </w:tcPr>
          <w:p>
            <w:pPr>
              <w:spacing w:after="0" w:line="240"/>
              <w:jc w:val="center"/>
            </w:pPr>
            <w:r>
              <w:rPr>
                <w:rFonts w:ascii="Calibri" w:cs="Calibri" w:eastAsia="Calibri" w:hAnsi="Calibri"/>
                <w:sz w:val="17"/>
                <w:szCs w:val="17"/>
              </w:rPr>
              <w:t xml:space="preserve">P27, P26</w:t>
            </w:r>
          </w:p>
        </w:tc>
        <w:tc>
          <w:tcPr>
            <w:tcW w:type="dxa" w:w="4300"/>
            <w:tcMar>
              <w:top w:type="dxa" w:w="40"/>
              <w:left w:type="dxa" w:w="80"/>
              <w:bottom w:type="dxa" w:w="40"/>
              <w:right w:type="dxa" w:w="80"/>
            </w:tcMar>
          </w:tcPr>
          <w:p>
            <w:pPr>
              <w:spacing w:after="0" w:line="240"/>
            </w:pPr>
            <w:r>
              <w:rPr>
                <w:rFonts w:ascii="Calibri" w:cs="Calibri" w:eastAsia="Calibri" w:hAnsi="Calibri"/>
                <w:sz w:val="17"/>
                <w:szCs w:val="17"/>
              </w:rPr>
              <w:t xml:space="preserve">Crédit / (valeur d'expertise × 0,90) × 100.</w:t>
            </w:r>
          </w:p>
        </w:tc>
        <w:tc>
          <w:tcPr>
            <w:tcW w:type="dxa" w:w="2600"/>
            <w:tcMar>
              <w:top w:type="dxa" w:w="40"/>
              <w:left w:type="dxa" w:w="80"/>
              <w:bottom w:type="dxa" w:w="40"/>
              <w:right w:type="dxa" w:w="80"/>
            </w:tcMar>
          </w:tcPr>
          <w:p>
            <w:pPr>
              <w:spacing w:after="0" w:line="240"/>
            </w:pPr>
            <w:r>
              <w:rPr>
                <w:rFonts w:ascii="Calibri" w:cs="Calibri" w:eastAsia="Calibri" w:hAnsi="Calibri"/>
                <w:sz w:val="15"/>
                <w:szCs w:val="15"/>
              </w:rPr>
              <w:t xml:space="preserve">&lt; 70 → 10 · 70 à &lt; 85 → 6 · ≥ 85 → 1</w:t>
            </w:r>
          </w:p>
        </w:tc>
        <w:tc>
          <w:tcPr>
            <w:tcW w:type="dxa" w:w="3800"/>
            <w:tcMar>
              <w:top w:type="dxa" w:w="40"/>
              <w:left w:type="dxa" w:w="80"/>
              <w:bottom w:type="dxa" w:w="40"/>
              <w:right w:type="dxa" w:w="80"/>
            </w:tcMar>
          </w:tcPr>
          <w:p>
            <w:pPr>
              <w:spacing w:after="0" w:line="240"/>
            </w:pPr>
            <w:r>
              <w:rPr>
                <w:rFonts w:ascii="Calibri" w:cs="Calibri" w:eastAsia="Calibri" w:hAnsi="Calibri"/>
                <w:sz w:val="17"/>
                <w:szCs w:val="17"/>
              </w:rPr>
              <w:t xml:space="preserve">Utiliser la valeur d'expertise indépendante, pas la valeur commerciale du promoteur.</w:t>
            </w:r>
          </w:p>
        </w:tc>
      </w:tr>
      <w:tr>
        <w:trPr>
          <w:cantSplit/>
        </w:trPr>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b/>
                <w:bCs/>
                <w:color w:val="2E5496"/>
                <w:sz w:val="17"/>
                <w:szCs w:val="17"/>
              </w:rPr>
              <w:t xml:space="preserve">S </w:t>
            </w:r>
            <w:r>
              <w:rPr>
                <w:rFonts w:ascii="Calibri" w:cs="Calibri" w:eastAsia="Calibri" w:hAnsi="Calibri"/>
                <w:b/>
                <w:bCs/>
                <w:sz w:val="17"/>
                <w:szCs w:val="17"/>
              </w:rPr>
              <w:t xml:space="preserve">Couverture garanties (%)</w:t>
            </w:r>
            <w:r>
              <w:rPr>
                <w:rFonts w:ascii="Calibri" w:cs="Calibri" w:eastAsia="Calibri" w:hAnsi="Calibri"/>
                <w:color w:val="595959"/>
                <w:sz w:val="14"/>
                <w:szCs w:val="14"/>
              </w:rPr>
              <w:t xml:space="preserve">  D4C4 · guarantee_coverage</w:t>
            </w:r>
            <w:r>
              <w:rPr>
                <w:rFonts w:ascii="Calibri" w:cs="Calibri" w:eastAsia="Calibri" w:hAnsi="Calibri"/>
                <w:i/>
                <w:iCs/>
                <w:color w:val="595959"/>
                <w:sz w:val="14"/>
                <w:szCs w:val="14"/>
              </w:rPr>
              <w:br/>
              <w:t xml:space="preserve">  Étape : Structuration financière &amp; LGD</w:t>
            </w:r>
          </w:p>
        </w:tc>
        <w:tc>
          <w:tcPr>
            <w:tcW w:type="dxa" w:w="11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P27, P28</w:t>
            </w:r>
          </w:p>
        </w:tc>
        <w:tc>
          <w:tcPr>
            <w:tcW w:type="dxa" w:w="4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Valeur réalisable des garanties retenues / engagement × 100.</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sz w:val="15"/>
                <w:szCs w:val="15"/>
              </w:rPr>
              <w:t xml:space="preserve">&lt; 90 → 1 · 90 à &lt; 120 → 6 · ≥ 120 → 10</w:t>
            </w:r>
          </w:p>
        </w:tc>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Une caution personnelle sans patrimoine vérifié ne se compte pas en valeur réalisable.</w:t>
            </w:r>
          </w:p>
        </w:tc>
      </w:tr>
      <w:tr>
        <w:trPr>
          <w:cantSplit/>
        </w:trPr>
        <w:tc>
          <w:tcPr>
            <w:tcW w:type="dxa" w:w="2600"/>
            <w:tcMar>
              <w:top w:type="dxa" w:w="40"/>
              <w:left w:type="dxa" w:w="80"/>
              <w:bottom w:type="dxa" w:w="40"/>
              <w:right w:type="dxa" w:w="80"/>
            </w:tcMar>
          </w:tcPr>
          <w:p>
            <w:pPr>
              <w:spacing w:after="0" w:line="240"/>
            </w:pPr>
            <w:r>
              <w:rPr>
                <w:rFonts w:ascii="Calibri" w:cs="Calibri" w:eastAsia="Calibri" w:hAnsi="Calibri"/>
                <w:b/>
                <w:bCs/>
                <w:color w:val="2E5496"/>
                <w:sz w:val="17"/>
                <w:szCs w:val="17"/>
              </w:rPr>
              <w:t xml:space="preserve">S </w:t>
            </w:r>
            <w:r>
              <w:rPr>
                <w:rFonts w:ascii="Calibri" w:cs="Calibri" w:eastAsia="Calibri" w:hAnsi="Calibri"/>
                <w:b/>
                <w:bCs/>
                <w:sz w:val="17"/>
                <w:szCs w:val="17"/>
              </w:rPr>
              <w:t xml:space="preserve">Rang bancaire 1er rang</w:t>
            </w:r>
            <w:r>
              <w:rPr>
                <w:rFonts w:ascii="Calibri" w:cs="Calibri" w:eastAsia="Calibri" w:hAnsi="Calibri"/>
                <w:color w:val="595959"/>
                <w:sz w:val="14"/>
                <w:szCs w:val="14"/>
              </w:rPr>
              <w:t xml:space="preserve">  D4C5 · first_rank</w:t>
            </w:r>
            <w:r>
              <w:rPr>
                <w:rFonts w:ascii="Calibri" w:cs="Calibri" w:eastAsia="Calibri" w:hAnsi="Calibri"/>
                <w:i/>
                <w:iCs/>
                <w:color w:val="595959"/>
                <w:sz w:val="14"/>
                <w:szCs w:val="14"/>
              </w:rPr>
              <w:br/>
              <w:t xml:space="preserve">  Étape : Structuration financière &amp; LGD</w:t>
            </w:r>
          </w:p>
        </w:tc>
        <w:tc>
          <w:tcPr>
            <w:tcW w:type="dxa" w:w="1100"/>
            <w:tcMar>
              <w:top w:type="dxa" w:w="40"/>
              <w:left w:type="dxa" w:w="80"/>
              <w:bottom w:type="dxa" w:w="40"/>
              <w:right w:type="dxa" w:w="80"/>
            </w:tcMar>
          </w:tcPr>
          <w:p>
            <w:pPr>
              <w:spacing w:after="0" w:line="240"/>
              <w:jc w:val="center"/>
            </w:pPr>
            <w:r>
              <w:rPr>
                <w:rFonts w:ascii="Calibri" w:cs="Calibri" w:eastAsia="Calibri" w:hAnsi="Calibri"/>
                <w:sz w:val="17"/>
                <w:szCs w:val="17"/>
              </w:rPr>
              <w:t xml:space="preserve">P10, P28</w:t>
            </w:r>
          </w:p>
        </w:tc>
        <w:tc>
          <w:tcPr>
            <w:tcW w:type="dxa" w:w="4300"/>
            <w:tcMar>
              <w:top w:type="dxa" w:w="40"/>
              <w:left w:type="dxa" w:w="80"/>
              <w:bottom w:type="dxa" w:w="40"/>
              <w:right w:type="dxa" w:w="80"/>
            </w:tcMar>
          </w:tcPr>
          <w:p>
            <w:pPr>
              <w:spacing w:after="0" w:line="240"/>
            </w:pPr>
            <w:r>
              <w:rPr>
                <w:rFonts w:ascii="Calibri" w:cs="Calibri" w:eastAsia="Calibri" w:hAnsi="Calibri"/>
                <w:sz w:val="17"/>
                <w:szCs w:val="17"/>
              </w:rPr>
              <w:t xml:space="preserve">Oui si l'hypothèque de la banque est (ou sera, par acte) en premier rang sur le titre.</w:t>
            </w:r>
          </w:p>
        </w:tc>
        <w:tc>
          <w:tcPr>
            <w:tcW w:type="dxa" w:w="2600"/>
            <w:tcMar>
              <w:top w:type="dxa" w:w="40"/>
              <w:left w:type="dxa" w:w="80"/>
              <w:bottom w:type="dxa" w:w="40"/>
              <w:right w:type="dxa" w:w="80"/>
            </w:tcMar>
          </w:tcPr>
          <w:p>
            <w:pPr>
              <w:spacing w:after="0" w:line="240"/>
            </w:pPr>
            <w:r>
              <w:rPr>
                <w:rFonts w:ascii="Calibri" w:cs="Calibri" w:eastAsia="Calibri" w:hAnsi="Calibri"/>
                <w:sz w:val="15"/>
                <w:szCs w:val="15"/>
              </w:rPr>
              <w:t xml:space="preserve">Non 1er rang → 1 · 1er rang → 10</w:t>
            </w:r>
          </w:p>
        </w:tc>
        <w:tc>
          <w:tcPr>
            <w:tcW w:type="dxa" w:w="3800"/>
            <w:tcMar>
              <w:top w:type="dxa" w:w="40"/>
              <w:left w:type="dxa" w:w="80"/>
              <w:bottom w:type="dxa" w:w="40"/>
              <w:right w:type="dxa" w:w="80"/>
            </w:tcMar>
          </w:tcPr>
          <w:p>
            <w:pPr>
              <w:spacing w:after="0" w:line="240"/>
            </w:pPr>
            <w:r>
              <w:rPr>
                <w:rFonts w:ascii="Calibri" w:cs="Calibri" w:eastAsia="Calibri" w:hAnsi="Calibri"/>
                <w:sz w:val="17"/>
                <w:szCs w:val="17"/>
              </w:rPr>
              <w:t xml:space="preserve">Clé d'alerte : « Non » déclenche un malus de 25 points.</w:t>
            </w:r>
          </w:p>
        </w:tc>
      </w:tr>
      <w:tr>
        <w:trPr>
          <w:cantSplit/>
        </w:trPr>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Interest coverage (x)</w:t>
            </w:r>
            <w:r>
              <w:rPr>
                <w:rFonts w:ascii="Calibri" w:cs="Calibri" w:eastAsia="Calibri" w:hAnsi="Calibri"/>
                <w:color w:val="595959"/>
                <w:sz w:val="14"/>
                <w:szCs w:val="14"/>
              </w:rPr>
              <w:t xml:space="preserve">  D4C6 · interest_coverage</w:t>
            </w:r>
            <w:r>
              <w:rPr>
                <w:rFonts w:ascii="Calibri" w:cs="Calibri" w:eastAsia="Calibri" w:hAnsi="Calibri"/>
                <w:i/>
                <w:iCs/>
                <w:color w:val="595959"/>
                <w:sz w:val="14"/>
                <w:szCs w:val="14"/>
              </w:rPr>
              <w:br/>
              <w:t xml:space="preserve">  Étape : Structuration financière &amp; LGD</w:t>
            </w:r>
          </w:p>
        </w:tc>
        <w:tc>
          <w:tcPr>
            <w:tcW w:type="dxa" w:w="11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P04, P16</w:t>
            </w:r>
          </w:p>
        </w:tc>
        <w:tc>
          <w:tcPr>
            <w:tcW w:type="dxa" w:w="4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Résultat d'exploitation avant amortissements / charges financières.</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sz w:val="15"/>
                <w:szCs w:val="15"/>
              </w:rPr>
              <w:t xml:space="preserve">&lt; 1,5 → 1 · 1,5 à &lt; 3 → 6 · ≥ 3 → 10</w:t>
            </w:r>
          </w:p>
        </w:tc>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Utiliser le périmètre du promoteur qui supporte la dette.</w:t>
            </w:r>
          </w:p>
        </w:tc>
      </w:tr>
      <w:tr>
        <w:trPr>
          <w:cantSplit/>
        </w:trPr>
        <w:tc>
          <w:tcPr>
            <w:tcW w:type="dxa" w:w="2600"/>
            <w:tcMar>
              <w:top w:type="dxa" w:w="40"/>
              <w:left w:type="dxa" w:w="80"/>
              <w:bottom w:type="dxa" w:w="40"/>
              <w:right w:type="dxa" w:w="80"/>
            </w:tcMar>
          </w:tcPr>
          <w:p>
            <w:pPr>
              <w:spacing w:after="0" w:line="240"/>
            </w:pPr>
            <w:r>
              <w:rPr>
                <w:rFonts w:ascii="Calibri" w:cs="Calibri" w:eastAsia="Calibri" w:hAnsi="Calibri"/>
                <w:b/>
                <w:bCs/>
                <w:color w:val="2E5496"/>
                <w:sz w:val="17"/>
                <w:szCs w:val="17"/>
              </w:rPr>
              <w:t xml:space="preserve">S </w:t>
            </w:r>
            <w:r>
              <w:rPr>
                <w:rFonts w:ascii="Calibri" w:cs="Calibri" w:eastAsia="Calibri" w:hAnsi="Calibri"/>
                <w:b/>
                <w:bCs/>
                <w:sz w:val="17"/>
                <w:szCs w:val="17"/>
              </w:rPr>
              <w:t xml:space="preserve">Quotité de désengagement − équilibre (pts)</w:t>
            </w:r>
            <w:r>
              <w:rPr>
                <w:rFonts w:ascii="Calibri" w:cs="Calibri" w:eastAsia="Calibri" w:hAnsi="Calibri"/>
                <w:color w:val="595959"/>
                <w:sz w:val="14"/>
                <w:szCs w:val="14"/>
              </w:rPr>
              <w:t xml:space="preserve">  D4C7 · release_quotity_gap_pts</w:t>
            </w:r>
            <w:r>
              <w:rPr>
                <w:rFonts w:ascii="Calibri" w:cs="Calibri" w:eastAsia="Calibri" w:hAnsi="Calibri"/>
                <w:i/>
                <w:iCs/>
                <w:color w:val="595959"/>
                <w:sz w:val="14"/>
                <w:szCs w:val="14"/>
              </w:rPr>
              <w:br/>
              <w:t xml:space="preserve">  Étape : Pratique marocaine (modèle v4)</w:t>
            </w:r>
          </w:p>
        </w:tc>
        <w:tc>
          <w:tcPr>
            <w:tcW w:type="dxa" w:w="1100"/>
            <w:tcMar>
              <w:top w:type="dxa" w:w="40"/>
              <w:left w:type="dxa" w:w="80"/>
              <w:bottom w:type="dxa" w:w="40"/>
              <w:right w:type="dxa" w:w="80"/>
            </w:tcMar>
          </w:tcPr>
          <w:p>
            <w:pPr>
              <w:spacing w:after="0" w:line="240"/>
              <w:jc w:val="center"/>
            </w:pPr>
            <w:r>
              <w:rPr>
                <w:rFonts w:ascii="Calibri" w:cs="Calibri" w:eastAsia="Calibri" w:hAnsi="Calibri"/>
                <w:sz w:val="17"/>
                <w:szCs w:val="17"/>
              </w:rPr>
              <w:t xml:space="preserve">P29, P22, P31</w:t>
            </w:r>
          </w:p>
        </w:tc>
        <w:tc>
          <w:tcPr>
            <w:tcW w:type="dxa" w:w="4300"/>
            <w:tcMar>
              <w:top w:type="dxa" w:w="40"/>
              <w:left w:type="dxa" w:w="80"/>
              <w:bottom w:type="dxa" w:w="40"/>
              <w:right w:type="dxa" w:w="80"/>
            </w:tcMar>
          </w:tcPr>
          <w:p>
            <w:pPr>
              <w:spacing w:after="0" w:line="240"/>
            </w:pPr>
            <w:r>
              <w:rPr>
                <w:rFonts w:ascii="Calibri" w:cs="Calibri" w:eastAsia="Calibri" w:hAnsi="Calibri"/>
                <w:sz w:val="17"/>
                <w:szCs w:val="17"/>
              </w:rPr>
              <w:t xml:space="preserve">Quotité de désengagement convenue − (encours / valeur commercialisable totale), en points. Saisir la quotité sur la fiche projet : calcul automatique à la synchronisation.</w:t>
            </w:r>
          </w:p>
        </w:tc>
        <w:tc>
          <w:tcPr>
            <w:tcW w:type="dxa" w:w="2600"/>
            <w:tcMar>
              <w:top w:type="dxa" w:w="40"/>
              <w:left w:type="dxa" w:w="80"/>
              <w:bottom w:type="dxa" w:w="40"/>
              <w:right w:type="dxa" w:w="80"/>
            </w:tcMar>
          </w:tcPr>
          <w:p>
            <w:pPr>
              <w:spacing w:after="0" w:line="240"/>
            </w:pPr>
            <w:r>
              <w:rPr>
                <w:rFonts w:ascii="Calibri" w:cs="Calibri" w:eastAsia="Calibri" w:hAnsi="Calibri"/>
                <w:sz w:val="15"/>
                <w:szCs w:val="15"/>
              </w:rPr>
              <w:t xml:space="preserve">&lt; −10 pts → 1 · −10 à &lt; 0 pt → 6 · ≥ 0 pt → 10</w:t>
            </w:r>
          </w:p>
        </w:tc>
        <w:tc>
          <w:tcPr>
            <w:tcW w:type="dxa" w:w="3800"/>
            <w:tcMar>
              <w:top w:type="dxa" w:w="40"/>
              <w:left w:type="dxa" w:w="80"/>
              <w:bottom w:type="dxa" w:w="40"/>
              <w:right w:type="dxa" w:w="80"/>
            </w:tcMar>
          </w:tcPr>
          <w:p>
            <w:pPr>
              <w:spacing w:after="0" w:line="240"/>
            </w:pPr>
            <w:r>
              <w:rPr>
                <w:rFonts w:ascii="Calibri" w:cs="Calibri" w:eastAsia="Calibri" w:hAnsi="Calibri"/>
                <w:sz w:val="17"/>
                <w:szCs w:val="17"/>
              </w:rPr>
              <w:t xml:space="preserve">Négatif = chaque mainlevée rembourse moins que la part de dette du lot : la dette résiduelle se concentre sur les derniers lots.</w:t>
            </w:r>
          </w:p>
        </w:tc>
      </w:tr>
    </w:tbl>
    <w:p>
      <w:pPr>
        <w:pStyle w:val="Heading2"/>
        <w:keepNext/>
      </w:pPr>
      <w:r>
        <w:t xml:space="preserve">Données d'alerte (couche D5)</w:t>
      </w:r>
    </w:p>
    <w:tbl>
      <w:tblPr>
        <w:tblW w:type="dxa" w:w="14400"/>
        <w:tblBorders>
          <w:top w:val="single" w:color="AEB6C6" w:sz="2"/>
          <w:left w:val="single" w:color="AEB6C6" w:sz="2"/>
          <w:bottom w:val="single" w:color="AEB6C6" w:sz="2"/>
          <w:right w:val="single" w:color="AEB6C6" w:sz="2"/>
          <w:insideH w:val="single" w:color="D0D6E2" w:sz="1"/>
          <w:insideV w:val="single" w:color="D0D6E2" w:sz="1"/>
        </w:tblBorders>
      </w:tblPr>
      <w:tblGrid>
        <w:gridCol w:w="2600"/>
        <w:gridCol w:w="1100"/>
        <w:gridCol w:w="4300"/>
        <w:gridCol w:w="2600"/>
        <w:gridCol w:w="3800"/>
      </w:tblGrid>
      <w:tr>
        <w:trPr>
          <w:cantSplit/>
          <w:tblHeader/>
        </w:trPr>
        <w:tc>
          <w:tcPr>
            <w:tcW w:type="dxa" w:w="26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Donnée (clé technique)</w:t>
            </w:r>
          </w:p>
        </w:tc>
        <w:tc>
          <w:tcPr>
            <w:tcW w:type="dxa" w:w="11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Pièces</w:t>
            </w:r>
          </w:p>
        </w:tc>
        <w:tc>
          <w:tcPr>
            <w:tcW w:type="dxa" w:w="43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Comment l'obtenir</w:t>
            </w:r>
          </w:p>
        </w:tc>
        <w:tc>
          <w:tcPr>
            <w:tcW w:type="dxa" w:w="26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Barème</w:t>
            </w:r>
          </w:p>
        </w:tc>
        <w:tc>
          <w:tcPr>
            <w:tcW w:type="dxa" w:w="38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Attention</w:t>
            </w:r>
          </w:p>
        </w:tc>
      </w:tr>
      <w:tr>
        <w:trPr>
          <w:cantSplit/>
        </w:trPr>
        <w:tc>
          <w:tcPr>
            <w:tcW w:type="dxa" w:w="2600"/>
            <w:tcMar>
              <w:top w:type="dxa" w:w="40"/>
              <w:left w:type="dxa" w:w="80"/>
              <w:bottom w:type="dxa" w:w="40"/>
              <w:right w:type="dxa" w:w="80"/>
            </w:tcMar>
          </w:tcPr>
          <w:p>
            <w:pPr>
              <w:spacing w:after="0" w:line="240"/>
            </w:pPr>
            <w:r>
              <w:rPr>
                <w:rFonts w:ascii="Calibri" w:cs="Calibri" w:eastAsia="Calibri" w:hAnsi="Calibri"/>
                <w:b/>
                <w:bCs/>
                <w:sz w:val="17"/>
                <w:szCs w:val="17"/>
              </w:rPr>
              <w:t xml:space="preserve">Financement acquéreur majoritairement non sécurisé</w:t>
            </w:r>
            <w:r>
              <w:rPr>
                <w:rFonts w:ascii="Calibri" w:cs="Calibri" w:eastAsia="Calibri" w:hAnsi="Calibri"/>
                <w:color w:val="595959"/>
                <w:sz w:val="14"/>
                <w:szCs w:val="14"/>
              </w:rPr>
              <w:t xml:space="preserve">  buyers_financing_at_risk</w:t>
            </w:r>
            <w:r>
              <w:rPr>
                <w:rFonts w:ascii="Calibri" w:cs="Calibri" w:eastAsia="Calibri" w:hAnsi="Calibri"/>
                <w:i/>
                <w:iCs/>
                <w:color w:val="595959"/>
                <w:sz w:val="14"/>
                <w:szCs w:val="14"/>
              </w:rPr>
              <w:br/>
              <w:t xml:space="preserve">  Étape : Pratique marocaine (modèle v4)</w:t>
            </w:r>
          </w:p>
        </w:tc>
        <w:tc>
          <w:tcPr>
            <w:tcW w:type="dxa" w:w="1100"/>
            <w:tcMar>
              <w:top w:type="dxa" w:w="40"/>
              <w:left w:type="dxa" w:w="80"/>
              <w:bottom w:type="dxa" w:w="40"/>
              <w:right w:type="dxa" w:w="80"/>
            </w:tcMar>
          </w:tcPr>
          <w:p>
            <w:pPr>
              <w:spacing w:after="0" w:line="240"/>
              <w:jc w:val="center"/>
            </w:pPr>
            <w:r>
              <w:rPr>
                <w:rFonts w:ascii="Calibri" w:cs="Calibri" w:eastAsia="Calibri" w:hAnsi="Calibri"/>
                <w:sz w:val="17"/>
                <w:szCs w:val="17"/>
              </w:rPr>
              <w:t xml:space="preserve">P24</w:t>
            </w:r>
          </w:p>
        </w:tc>
        <w:tc>
          <w:tcPr>
            <w:tcW w:type="dxa" w:w="4300"/>
            <w:tcMar>
              <w:top w:type="dxa" w:w="40"/>
              <w:left w:type="dxa" w:w="80"/>
              <w:bottom w:type="dxa" w:w="40"/>
              <w:right w:type="dxa" w:w="80"/>
            </w:tcMar>
          </w:tcPr>
          <w:p>
            <w:pPr>
              <w:spacing w:after="0" w:line="240"/>
            </w:pPr>
            <w:r>
              <w:rPr>
                <w:rFonts w:ascii="Calibri" w:cs="Calibri" w:eastAsia="Calibri" w:hAnsi="Calibri"/>
                <w:sz w:val="17"/>
                <w:szCs w:val="17"/>
              </w:rPr>
              <w:t xml:space="preserve">Calculé par la synchronisation : au moins 40 % des lots renseignés reposent sur un financement non instruit, en cours ou refusé.</w:t>
            </w:r>
          </w:p>
        </w:tc>
        <w:tc>
          <w:tcPr>
            <w:tcW w:type="dxa" w:w="2600"/>
            <w:tcMar>
              <w:top w:type="dxa" w:w="40"/>
              <w:left w:type="dxa" w:w="80"/>
              <w:bottom w:type="dxa" w:w="40"/>
              <w:right w:type="dxa" w:w="80"/>
            </w:tcMar>
          </w:tcPr>
          <w:p>
            <w:pPr>
              <w:spacing w:after="0" w:line="240"/>
            </w:pPr>
            <w:r>
              <w:rPr>
                <w:rFonts w:ascii="Calibri" w:cs="Calibri" w:eastAsia="Calibri" w:hAnsi="Calibri"/>
                <w:sz w:val="15"/>
                <w:szCs w:val="15"/>
              </w:rPr>
              <w:t xml:space="preserve">Financement acquéreur majoritairement non sécurisé — malus 10</w:t>
            </w:r>
          </w:p>
        </w:tc>
        <w:tc>
          <w:tcPr>
            <w:tcW w:type="dxa" w:w="3800"/>
            <w:tcMar>
              <w:top w:type="dxa" w:w="40"/>
              <w:left w:type="dxa" w:w="80"/>
              <w:bottom w:type="dxa" w:w="40"/>
              <w:right w:type="dxa" w:w="80"/>
            </w:tcMar>
          </w:tcPr>
          <w:p>
            <w:pPr>
              <w:spacing w:after="0" w:line="240"/>
            </w:pPr>
            <w:r>
              <w:rPr>
                <w:rFonts w:ascii="Calibri" w:cs="Calibri" w:eastAsia="Calibri" w:hAnsi="Calibri"/>
                <w:sz w:val="17"/>
                <w:szCs w:val="17"/>
              </w:rPr>
              <w:t xml:space="preserve">Relancer l'instruction des crédits acquéreurs avant d'autoriser de nouveaux tirages.</w:t>
            </w:r>
          </w:p>
        </w:tc>
      </w:tr>
      <w:tr>
        <w:trPr>
          <w:cantSplit/>
        </w:trPr>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Autorisation indispensable aux travaux non levée</w:t>
            </w:r>
            <w:r>
              <w:rPr>
                <w:rFonts w:ascii="Calibri" w:cs="Calibri" w:eastAsia="Calibri" w:hAnsi="Calibri"/>
                <w:color w:val="595959"/>
                <w:sz w:val="14"/>
                <w:szCs w:val="14"/>
              </w:rPr>
              <w:t xml:space="preserve">  works_authorization_blocked</w:t>
            </w:r>
            <w:r>
              <w:rPr>
                <w:rFonts w:ascii="Calibri" w:cs="Calibri" w:eastAsia="Calibri" w:hAnsi="Calibri"/>
                <w:i/>
                <w:iCs/>
                <w:color w:val="595959"/>
                <w:sz w:val="14"/>
                <w:szCs w:val="14"/>
              </w:rPr>
              <w:br/>
              <w:t xml:space="preserve">  Étape : Pratique marocaine (modèle v4)</w:t>
            </w:r>
          </w:p>
        </w:tc>
        <w:tc>
          <w:tcPr>
            <w:tcW w:type="dxa" w:w="11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P10, P13</w:t>
            </w:r>
          </w:p>
        </w:tc>
        <w:tc>
          <w:tcPr>
            <w:tcW w:type="dxa" w:w="4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Calculé par la synchronisation : une pièce indispensable aux travaux financés manque dans la chaîne d'autorisations.</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sz w:val="15"/>
                <w:szCs w:val="15"/>
              </w:rPr>
              <w:t xml:space="preserve">Autorisation indispensable aux travaux non levée — malus 15</w:t>
            </w:r>
          </w:p>
        </w:tc>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Verrou de tirage : aucun déblocage travaux tant que la pièce n'est pas levée.</w:t>
            </w:r>
          </w:p>
        </w:tc>
      </w:tr>
      <w:tr>
        <w:trPr>
          <w:cantSplit/>
        </w:trPr>
        <w:tc>
          <w:tcPr>
            <w:tcW w:type="dxa" w:w="2600"/>
            <w:tcMar>
              <w:top w:type="dxa" w:w="40"/>
              <w:left w:type="dxa" w:w="80"/>
              <w:bottom w:type="dxa" w:w="40"/>
              <w:right w:type="dxa" w:w="80"/>
            </w:tcMar>
          </w:tcPr>
          <w:p>
            <w:pPr>
              <w:spacing w:after="0" w:line="240"/>
            </w:pPr>
            <w:r>
              <w:rPr>
                <w:rFonts w:ascii="Calibri" w:cs="Calibri" w:eastAsia="Calibri" w:hAnsi="Calibri"/>
                <w:b/>
                <w:bCs/>
                <w:sz w:val="17"/>
                <w:szCs w:val="17"/>
              </w:rPr>
              <w:t xml:space="preserve">Limite de division des risques dépassée</w:t>
            </w:r>
            <w:r>
              <w:rPr>
                <w:rFonts w:ascii="Calibri" w:cs="Calibri" w:eastAsia="Calibri" w:hAnsi="Calibri"/>
                <w:color w:val="595959"/>
                <w:sz w:val="14"/>
                <w:szCs w:val="14"/>
              </w:rPr>
              <w:t xml:space="preserve">  division_limit_breach</w:t>
            </w:r>
            <w:r>
              <w:rPr>
                <w:rFonts w:ascii="Calibri" w:cs="Calibri" w:eastAsia="Calibri" w:hAnsi="Calibri"/>
                <w:i/>
                <w:iCs/>
                <w:color w:val="595959"/>
                <w:sz w:val="14"/>
                <w:szCs w:val="14"/>
              </w:rPr>
              <w:br/>
              <w:t xml:space="preserve">  Étape : Pratique marocaine (modèle v4)</w:t>
            </w:r>
          </w:p>
        </w:tc>
        <w:tc>
          <w:tcPr>
            <w:tcW w:type="dxa" w:w="1100"/>
            <w:tcMar>
              <w:top w:type="dxa" w:w="40"/>
              <w:left w:type="dxa" w:w="80"/>
              <w:bottom w:type="dxa" w:w="40"/>
              <w:right w:type="dxa" w:w="80"/>
            </w:tcMar>
          </w:tcPr>
          <w:p>
            <w:pPr>
              <w:spacing w:after="0" w:line="240"/>
              <w:jc w:val="center"/>
            </w:pPr>
            <w:r>
              <w:rPr>
                <w:rFonts w:ascii="Calibri" w:cs="Calibri" w:eastAsia="Calibri" w:hAnsi="Calibri"/>
                <w:sz w:val="17"/>
                <w:szCs w:val="17"/>
              </w:rPr>
              <w:t xml:space="preserve">P03, P06</w:t>
            </w:r>
          </w:p>
        </w:tc>
        <w:tc>
          <w:tcPr>
            <w:tcW w:type="dxa" w:w="4300"/>
            <w:tcMar>
              <w:top w:type="dxa" w:w="40"/>
              <w:left w:type="dxa" w:w="80"/>
              <w:bottom w:type="dxa" w:w="40"/>
              <w:right w:type="dxa" w:w="80"/>
            </w:tcMar>
          </w:tcPr>
          <w:p>
            <w:pPr>
              <w:spacing w:after="0" w:line="240"/>
            </w:pPr>
            <w:r>
              <w:rPr>
                <w:rFonts w:ascii="Calibri" w:cs="Calibri" w:eastAsia="Calibri" w:hAnsi="Calibri"/>
                <w:sz w:val="17"/>
                <w:szCs w:val="17"/>
              </w:rPr>
              <w:t xml:space="preserve">Calculé par la synchronisation sur l'exposition du groupe d'intérêt, rapportée aux fonds propres paramétrés par la Direction des risques.</w:t>
            </w:r>
          </w:p>
        </w:tc>
        <w:tc>
          <w:tcPr>
            <w:tcW w:type="dxa" w:w="2600"/>
            <w:tcMar>
              <w:top w:type="dxa" w:w="40"/>
              <w:left w:type="dxa" w:w="80"/>
              <w:bottom w:type="dxa" w:w="40"/>
              <w:right w:type="dxa" w:w="80"/>
            </w:tcMar>
          </w:tcPr>
          <w:p>
            <w:pPr>
              <w:spacing w:after="0" w:line="240"/>
            </w:pPr>
            <w:r>
              <w:rPr>
                <w:rFonts w:ascii="Calibri" w:cs="Calibri" w:eastAsia="Calibri" w:hAnsi="Calibri"/>
                <w:sz w:val="15"/>
                <w:szCs w:val="15"/>
              </w:rPr>
              <w:t xml:space="preserve">Limite de division des risques dépassée — malus 0 · retour en comité</w:t>
            </w:r>
          </w:p>
        </w:tc>
        <w:tc>
          <w:tcPr>
            <w:tcW w:type="dxa" w:w="3800"/>
            <w:tcMar>
              <w:top w:type="dxa" w:w="40"/>
              <w:left w:type="dxa" w:w="80"/>
              <w:bottom w:type="dxa" w:w="40"/>
              <w:right w:type="dxa" w:w="80"/>
            </w:tcMar>
          </w:tcPr>
          <w:p>
            <w:pPr>
              <w:spacing w:after="0" w:line="240"/>
            </w:pPr>
            <w:r>
              <w:rPr>
                <w:rFonts w:ascii="Calibri" w:cs="Calibri" w:eastAsia="Calibri" w:hAnsi="Calibri"/>
                <w:sz w:val="17"/>
                <w:szCs w:val="17"/>
              </w:rPr>
              <w:t xml:space="preserve">Aucun malus : dépassement = décision au niveau de délégation requis (retour en comité). Déclarer tous les liens du groupe.</w:t>
            </w:r>
          </w:p>
        </w:tc>
      </w:tr>
      <w:tr>
        <w:trPr>
          <w:cantSplit/>
        </w:trPr>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Fonds propres négatifs</w:t>
            </w:r>
            <w:r>
              <w:rPr>
                <w:rFonts w:ascii="Calibri" w:cs="Calibri" w:eastAsia="Calibri" w:hAnsi="Calibri"/>
                <w:color w:val="595959"/>
                <w:sz w:val="14"/>
                <w:szCs w:val="14"/>
              </w:rPr>
              <w:t xml:space="preserve">  equity_negative</w:t>
            </w:r>
            <w:r>
              <w:rPr>
                <w:rFonts w:ascii="Calibri" w:cs="Calibri" w:eastAsia="Calibri" w:hAnsi="Calibri"/>
                <w:i/>
                <w:iCs/>
                <w:color w:val="595959"/>
                <w:sz w:val="14"/>
                <w:szCs w:val="14"/>
              </w:rPr>
              <w:br/>
              <w:t xml:space="preserve">  Étape : Structuration financière &amp; LGD</w:t>
            </w:r>
          </w:p>
        </w:tc>
        <w:tc>
          <w:tcPr>
            <w:tcW w:type="dxa" w:w="11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P04</w:t>
            </w:r>
          </w:p>
        </w:tc>
        <w:tc>
          <w:tcPr>
            <w:tcW w:type="dxa" w:w="4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Oui si les capitaux propres du dernier bilan sont négatifs.</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sz w:val="15"/>
                <w:szCs w:val="15"/>
              </w:rPr>
              <w:t xml:space="preserve">Fonds propres négatifs — malus 25</w:t>
            </w:r>
          </w:p>
        </w:tc>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Malus de 25 points ; vérifier les capitaux propres consolidés si le groupe soutient la société.</w:t>
            </w:r>
          </w:p>
        </w:tc>
      </w:tr>
      <w:tr>
        <w:trPr>
          <w:cantSplit/>
        </w:trPr>
        <w:tc>
          <w:tcPr>
            <w:tcW w:type="dxa" w:w="2600"/>
            <w:tcMar>
              <w:top w:type="dxa" w:w="40"/>
              <w:left w:type="dxa" w:w="80"/>
              <w:bottom w:type="dxa" w:w="40"/>
              <w:right w:type="dxa" w:w="80"/>
            </w:tcMar>
          </w:tcPr>
          <w:p>
            <w:pPr>
              <w:spacing w:after="0" w:line="240"/>
            </w:pPr>
            <w:r>
              <w:rPr>
                <w:rFonts w:ascii="Calibri" w:cs="Calibri" w:eastAsia="Calibri" w:hAnsi="Calibri"/>
                <w:b/>
                <w:bCs/>
                <w:sz w:val="17"/>
                <w:szCs w:val="17"/>
              </w:rPr>
              <w:t xml:space="preserve">Impasse persistante</w:t>
            </w:r>
            <w:r>
              <w:rPr>
                <w:rFonts w:ascii="Calibri" w:cs="Calibri" w:eastAsia="Calibri" w:hAnsi="Calibri"/>
                <w:color w:val="595959"/>
                <w:sz w:val="14"/>
                <w:szCs w:val="14"/>
              </w:rPr>
              <w:t xml:space="preserve">  funding_gap_persistent</w:t>
            </w:r>
            <w:r>
              <w:rPr>
                <w:rFonts w:ascii="Calibri" w:cs="Calibri" w:eastAsia="Calibri" w:hAnsi="Calibri"/>
                <w:i/>
                <w:iCs/>
                <w:color w:val="595959"/>
                <w:sz w:val="14"/>
                <w:szCs w:val="14"/>
              </w:rPr>
              <w:br/>
              <w:t xml:space="preserve">  Étape : Commercialisation &amp; Cash-flow</w:t>
            </w:r>
          </w:p>
        </w:tc>
        <w:tc>
          <w:tcPr>
            <w:tcW w:type="dxa" w:w="1100"/>
            <w:tcMar>
              <w:top w:type="dxa" w:w="40"/>
              <w:left w:type="dxa" w:w="80"/>
              <w:bottom w:type="dxa" w:w="40"/>
              <w:right w:type="dxa" w:w="80"/>
            </w:tcMar>
          </w:tcPr>
          <w:p>
            <w:pPr>
              <w:spacing w:after="0" w:line="240"/>
              <w:jc w:val="center"/>
            </w:pPr>
            <w:r>
              <w:rPr>
                <w:rFonts w:ascii="Calibri" w:cs="Calibri" w:eastAsia="Calibri" w:hAnsi="Calibri"/>
                <w:sz w:val="17"/>
                <w:szCs w:val="17"/>
              </w:rPr>
              <w:t xml:space="preserve">P17</w:t>
            </w:r>
          </w:p>
        </w:tc>
        <w:tc>
          <w:tcPr>
            <w:tcW w:type="dxa" w:w="4300"/>
            <w:tcMar>
              <w:top w:type="dxa" w:w="40"/>
              <w:left w:type="dxa" w:w="80"/>
              <w:bottom w:type="dxa" w:w="40"/>
              <w:right w:type="dxa" w:w="80"/>
            </w:tcMar>
          </w:tcPr>
          <w:p>
            <w:pPr>
              <w:spacing w:after="0" w:line="240"/>
            </w:pPr>
            <w:r>
              <w:rPr>
                <w:rFonts w:ascii="Calibri" w:cs="Calibri" w:eastAsia="Calibri" w:hAnsi="Calibri"/>
                <w:sz w:val="17"/>
                <w:szCs w:val="17"/>
              </w:rPr>
              <w:t xml:space="preserve">Oui si le plan de trésorerie montre une rupture sur au moins deux mois consécutifs.</w:t>
            </w:r>
          </w:p>
        </w:tc>
        <w:tc>
          <w:tcPr>
            <w:tcW w:type="dxa" w:w="2600"/>
            <w:tcMar>
              <w:top w:type="dxa" w:w="40"/>
              <w:left w:type="dxa" w:w="80"/>
              <w:bottom w:type="dxa" w:w="40"/>
              <w:right w:type="dxa" w:w="80"/>
            </w:tcMar>
          </w:tcPr>
          <w:p>
            <w:pPr>
              <w:spacing w:after="0" w:line="240"/>
            </w:pPr>
            <w:r>
              <w:rPr>
                <w:rFonts w:ascii="Calibri" w:cs="Calibri" w:eastAsia="Calibri" w:hAnsi="Calibri"/>
                <w:sz w:val="15"/>
                <w:szCs w:val="15"/>
              </w:rPr>
              <w:t xml:space="preserve">Impasse de trésorerie persistante — malus 20</w:t>
            </w:r>
          </w:p>
        </w:tc>
        <w:tc>
          <w:tcPr>
            <w:tcW w:type="dxa" w:w="3800"/>
            <w:tcMar>
              <w:top w:type="dxa" w:w="40"/>
              <w:left w:type="dxa" w:w="80"/>
              <w:bottom w:type="dxa" w:w="40"/>
              <w:right w:type="dxa" w:w="80"/>
            </w:tcMar>
          </w:tcPr>
          <w:p>
            <w:pPr>
              <w:spacing w:after="0" w:line="240"/>
            </w:pPr>
            <w:r>
              <w:rPr>
                <w:rFonts w:ascii="Calibri" w:cs="Calibri" w:eastAsia="Calibri" w:hAnsi="Calibri"/>
                <w:sz w:val="17"/>
                <w:szCs w:val="17"/>
              </w:rPr>
              <w:t xml:space="preserve">Malus de 20 points.</w:t>
            </w:r>
          </w:p>
        </w:tc>
      </w:tr>
      <w:tr>
        <w:trPr>
          <w:cantSplit/>
        </w:trPr>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b/>
                <w:bCs/>
                <w:color w:val="C00000"/>
                <w:sz w:val="17"/>
                <w:szCs w:val="17"/>
              </w:rPr>
              <w:t xml:space="preserve">★ </w:t>
            </w:r>
            <w:r>
              <w:rPr>
                <w:rFonts w:ascii="Calibri" w:cs="Calibri" w:eastAsia="Calibri" w:hAnsi="Calibri"/>
                <w:b/>
                <w:bCs/>
                <w:sz w:val="17"/>
                <w:szCs w:val="17"/>
              </w:rPr>
              <w:t xml:space="preserve">Retard de paiement (jours)</w:t>
            </w:r>
            <w:r>
              <w:rPr>
                <w:rFonts w:ascii="Calibri" w:cs="Calibri" w:eastAsia="Calibri" w:hAnsi="Calibri"/>
                <w:color w:val="595959"/>
                <w:sz w:val="14"/>
                <w:szCs w:val="14"/>
              </w:rPr>
              <w:t xml:space="preserve">  dpd_days</w:t>
            </w:r>
            <w:r>
              <w:rPr>
                <w:rFonts w:ascii="Calibri" w:cs="Calibri" w:eastAsia="Calibri" w:hAnsi="Calibri"/>
                <w:i/>
                <w:iCs/>
                <w:color w:val="595959"/>
                <w:sz w:val="14"/>
                <w:szCs w:val="14"/>
              </w:rPr>
              <w:br/>
              <w:t xml:space="preserve">  Étape : Vulnérabilité réglementaire BAM</w:t>
            </w:r>
          </w:p>
        </w:tc>
        <w:tc>
          <w:tcPr>
            <w:tcW w:type="dxa" w:w="11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P31</w:t>
            </w:r>
          </w:p>
        </w:tc>
        <w:tc>
          <w:tcPr>
            <w:tcW w:type="dxa" w:w="4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Jours de retard de la plus ancienne échéance impayée. Dérivé de l'échéancier des facilités par la synchronisation.</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sz w:val="15"/>
                <w:szCs w:val="15"/>
              </w:rPr>
              <w:t xml:space="preserve">Impayé ≥ 90 jours (souffrance automatique) — bloquante (souffrance)</w:t>
            </w:r>
          </w:p>
        </w:tc>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color w:val="C00000"/>
                <w:sz w:val="17"/>
                <w:szCs w:val="17"/>
              </w:rPr>
              <w:t xml:space="preserve">DONNÉE DÉCISIONNELLE : saisir 0 s'il n'y a aucun impayé (et non laisser vide). ≥ 90 jours : souffrance automatique.</w:t>
            </w:r>
          </w:p>
        </w:tc>
      </w:tr>
      <w:tr>
        <w:trPr>
          <w:cantSplit/>
        </w:trPr>
        <w:tc>
          <w:tcPr>
            <w:tcW w:type="dxa" w:w="2600"/>
            <w:tcMar>
              <w:top w:type="dxa" w:w="40"/>
              <w:left w:type="dxa" w:w="80"/>
              <w:bottom w:type="dxa" w:w="40"/>
              <w:right w:type="dxa" w:w="80"/>
            </w:tcMar>
          </w:tcPr>
          <w:p>
            <w:pPr>
              <w:spacing w:after="0" w:line="240"/>
            </w:pPr>
            <w:r>
              <w:rPr>
                <w:rFonts w:ascii="Calibri" w:cs="Calibri" w:eastAsia="Calibri" w:hAnsi="Calibri"/>
                <w:b/>
                <w:bCs/>
                <w:sz w:val="17"/>
                <w:szCs w:val="17"/>
              </w:rPr>
              <w:t xml:space="preserve">Exposition contentieuse</w:t>
            </w:r>
            <w:r>
              <w:rPr>
                <w:rFonts w:ascii="Calibri" w:cs="Calibri" w:eastAsia="Calibri" w:hAnsi="Calibri"/>
                <w:color w:val="595959"/>
                <w:sz w:val="14"/>
                <w:szCs w:val="14"/>
              </w:rPr>
              <w:t xml:space="preserve">  legal_exposure</w:t>
            </w:r>
            <w:r>
              <w:rPr>
                <w:rFonts w:ascii="Calibri" w:cs="Calibri" w:eastAsia="Calibri" w:hAnsi="Calibri"/>
                <w:i/>
                <w:iCs/>
                <w:color w:val="595959"/>
                <w:sz w:val="14"/>
                <w:szCs w:val="14"/>
              </w:rPr>
              <w:br/>
              <w:t xml:space="preserve">  Étape : Vulnérabilité réglementaire BAM</w:t>
            </w:r>
          </w:p>
        </w:tc>
        <w:tc>
          <w:tcPr>
            <w:tcW w:type="dxa" w:w="1100"/>
            <w:tcMar>
              <w:top w:type="dxa" w:w="40"/>
              <w:left w:type="dxa" w:w="80"/>
              <w:bottom w:type="dxa" w:w="40"/>
              <w:right w:type="dxa" w:w="80"/>
            </w:tcMar>
          </w:tcPr>
          <w:p>
            <w:pPr>
              <w:spacing w:after="0" w:line="240"/>
              <w:jc w:val="center"/>
            </w:pPr>
            <w:r>
              <w:rPr>
                <w:rFonts w:ascii="Calibri" w:cs="Calibri" w:eastAsia="Calibri" w:hAnsi="Calibri"/>
                <w:sz w:val="17"/>
                <w:szCs w:val="17"/>
              </w:rPr>
              <w:t xml:space="preserve">P33, P25</w:t>
            </w:r>
          </w:p>
        </w:tc>
        <w:tc>
          <w:tcPr>
            <w:tcW w:type="dxa" w:w="4300"/>
            <w:tcMar>
              <w:top w:type="dxa" w:w="40"/>
              <w:left w:type="dxa" w:w="80"/>
              <w:bottom w:type="dxa" w:w="40"/>
              <w:right w:type="dxa" w:w="80"/>
            </w:tcMar>
          </w:tcPr>
          <w:p>
            <w:pPr>
              <w:spacing w:after="0" w:line="240"/>
            </w:pPr>
            <w:r>
              <w:rPr>
                <w:rFonts w:ascii="Calibri" w:cs="Calibri" w:eastAsia="Calibri" w:hAnsi="Calibri"/>
                <w:sz w:val="17"/>
                <w:szCs w:val="17"/>
              </w:rPr>
              <w:t xml:space="preserve">Contentieux : action en justice engagée. Surveillance : menace ou mise en demeure. Sain : aucune.</w:t>
            </w:r>
          </w:p>
        </w:tc>
        <w:tc>
          <w:tcPr>
            <w:tcW w:type="dxa" w:w="2600"/>
            <w:tcMar>
              <w:top w:type="dxa" w:w="40"/>
              <w:left w:type="dxa" w:w="80"/>
              <w:bottom w:type="dxa" w:w="40"/>
              <w:right w:type="dxa" w:w="80"/>
            </w:tcMar>
          </w:tcPr>
          <w:p>
            <w:pPr>
              <w:spacing w:after="0" w:line="240"/>
            </w:pPr>
            <w:r>
              <w:rPr>
                <w:rFonts w:ascii="Calibri" w:cs="Calibri" w:eastAsia="Calibri" w:hAnsi="Calibri"/>
                <w:sz w:val="15"/>
                <w:szCs w:val="15"/>
              </w:rPr>
              <w:t xml:space="preserve">Action en justice / contentieux (CTX) — bloquante (souffrance)</w:t>
            </w:r>
          </w:p>
        </w:tc>
        <w:tc>
          <w:tcPr>
            <w:tcW w:type="dxa" w:w="3800"/>
            <w:tcMar>
              <w:top w:type="dxa" w:w="40"/>
              <w:left w:type="dxa" w:w="80"/>
              <w:bottom w:type="dxa" w:w="40"/>
              <w:right w:type="dxa" w:w="80"/>
            </w:tcMar>
          </w:tcPr>
          <w:p>
            <w:pPr>
              <w:spacing w:after="0" w:line="240"/>
            </w:pPr>
            <w:r>
              <w:rPr>
                <w:rFonts w:ascii="Calibri" w:cs="Calibri" w:eastAsia="Calibri" w:hAnsi="Calibri"/>
                <w:sz w:val="17"/>
                <w:szCs w:val="17"/>
              </w:rPr>
              <w:t xml:space="preserve">Contentieux = alerte bloquante.</w:t>
            </w:r>
          </w:p>
        </w:tc>
      </w:tr>
      <w:tr>
        <w:trPr>
          <w:cantSplit/>
        </w:trPr>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Prix de mainlevée sous-tarifé</w:t>
            </w:r>
            <w:r>
              <w:rPr>
                <w:rFonts w:ascii="Calibri" w:cs="Calibri" w:eastAsia="Calibri" w:hAnsi="Calibri"/>
                <w:color w:val="595959"/>
                <w:sz w:val="14"/>
                <w:szCs w:val="14"/>
              </w:rPr>
              <w:t xml:space="preserve">  release_underpriced</w:t>
            </w:r>
            <w:r>
              <w:rPr>
                <w:rFonts w:ascii="Calibri" w:cs="Calibri" w:eastAsia="Calibri" w:hAnsi="Calibri"/>
                <w:i/>
                <w:iCs/>
                <w:color w:val="595959"/>
                <w:sz w:val="14"/>
                <w:szCs w:val="14"/>
              </w:rPr>
              <w:br/>
              <w:t xml:space="preserve">  Étape : Pratique marocaine (modèle v4)</w:t>
            </w:r>
          </w:p>
        </w:tc>
        <w:tc>
          <w:tcPr>
            <w:tcW w:type="dxa" w:w="11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P29</w:t>
            </w:r>
          </w:p>
        </w:tc>
        <w:tc>
          <w:tcPr>
            <w:tcW w:type="dxa" w:w="4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Calculé par la synchronisation : quotité convenue inférieure à la quotité d'équilibre.</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sz w:val="15"/>
                <w:szCs w:val="15"/>
              </w:rPr>
              <w:t xml:space="preserve">Prix de mainlevée sous-tarifé — malus 15 · retour en comité</w:t>
            </w:r>
          </w:p>
        </w:tc>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Retour en comité : proposer le relèvement de la quotité.</w:t>
            </w:r>
          </w:p>
        </w:tc>
      </w:tr>
      <w:tr>
        <w:trPr>
          <w:cantSplit/>
        </w:trPr>
        <w:tc>
          <w:tcPr>
            <w:tcW w:type="dxa" w:w="2600"/>
            <w:tcMar>
              <w:top w:type="dxa" w:w="40"/>
              <w:left w:type="dxa" w:w="80"/>
              <w:bottom w:type="dxa" w:w="40"/>
              <w:right w:type="dxa" w:w="80"/>
            </w:tcMar>
          </w:tcPr>
          <w:p>
            <w:pPr>
              <w:spacing w:after="0" w:line="240"/>
            </w:pPr>
            <w:r>
              <w:rPr>
                <w:rFonts w:ascii="Calibri" w:cs="Calibri" w:eastAsia="Calibri" w:hAnsi="Calibri"/>
                <w:b/>
                <w:bCs/>
                <w:color w:val="C00000"/>
                <w:sz w:val="17"/>
                <w:szCs w:val="17"/>
              </w:rPr>
              <w:t xml:space="preserve">★ </w:t>
            </w:r>
            <w:r>
              <w:rPr>
                <w:rFonts w:ascii="Calibri" w:cs="Calibri" w:eastAsia="Calibri" w:hAnsi="Calibri"/>
                <w:b/>
                <w:bCs/>
                <w:sz w:val="17"/>
                <w:szCs w:val="17"/>
              </w:rPr>
              <w:t xml:space="preserve">Arrêt du projet (mois)</w:t>
            </w:r>
            <w:r>
              <w:rPr>
                <w:rFonts w:ascii="Calibri" w:cs="Calibri" w:eastAsia="Calibri" w:hAnsi="Calibri"/>
                <w:color w:val="595959"/>
                <w:sz w:val="14"/>
                <w:szCs w:val="14"/>
              </w:rPr>
              <w:t xml:space="preserve">  project_stopped_months</w:t>
            </w:r>
            <w:r>
              <w:rPr>
                <w:rFonts w:ascii="Calibri" w:cs="Calibri" w:eastAsia="Calibri" w:hAnsi="Calibri"/>
                <w:i/>
                <w:iCs/>
                <w:color w:val="595959"/>
                <w:sz w:val="14"/>
                <w:szCs w:val="14"/>
              </w:rPr>
              <w:br/>
              <w:t xml:space="preserve">  Étape : Vulnérabilité réglementaire BAM</w:t>
            </w:r>
          </w:p>
        </w:tc>
        <w:tc>
          <w:tcPr>
            <w:tcW w:type="dxa" w:w="1100"/>
            <w:tcMar>
              <w:top w:type="dxa" w:w="40"/>
              <w:left w:type="dxa" w:w="80"/>
              <w:bottom w:type="dxa" w:w="40"/>
              <w:right w:type="dxa" w:w="80"/>
            </w:tcMar>
          </w:tcPr>
          <w:p>
            <w:pPr>
              <w:spacing w:after="0" w:line="240"/>
              <w:jc w:val="center"/>
            </w:pPr>
            <w:r>
              <w:rPr>
                <w:rFonts w:ascii="Calibri" w:cs="Calibri" w:eastAsia="Calibri" w:hAnsi="Calibri"/>
                <w:sz w:val="17"/>
                <w:szCs w:val="17"/>
              </w:rPr>
              <w:t xml:space="preserve">P21</w:t>
            </w:r>
          </w:p>
        </w:tc>
        <w:tc>
          <w:tcPr>
            <w:tcW w:type="dxa" w:w="4300"/>
            <w:tcMar>
              <w:top w:type="dxa" w:w="40"/>
              <w:left w:type="dxa" w:w="80"/>
              <w:bottom w:type="dxa" w:w="40"/>
              <w:right w:type="dxa" w:w="80"/>
            </w:tcMar>
          </w:tcPr>
          <w:p>
            <w:pPr>
              <w:spacing w:after="0" w:line="240"/>
            </w:pPr>
            <w:r>
              <w:rPr>
                <w:rFonts w:ascii="Calibri" w:cs="Calibri" w:eastAsia="Calibri" w:hAnsi="Calibri"/>
                <w:sz w:val="17"/>
                <w:szCs w:val="17"/>
              </w:rPr>
              <w:t xml:space="preserve">Durée de l'arrêt de chantier en cours, en mois. Dérivée du journal (événement « Arrêt de chantier » ouvert) par la synchronisation.</w:t>
            </w:r>
          </w:p>
        </w:tc>
        <w:tc>
          <w:tcPr>
            <w:tcW w:type="dxa" w:w="2600"/>
            <w:tcMar>
              <w:top w:type="dxa" w:w="40"/>
              <w:left w:type="dxa" w:w="80"/>
              <w:bottom w:type="dxa" w:w="40"/>
              <w:right w:type="dxa" w:w="80"/>
            </w:tcMar>
          </w:tcPr>
          <w:p>
            <w:pPr>
              <w:spacing w:after="0" w:line="240"/>
            </w:pPr>
            <w:r>
              <w:rPr>
                <w:rFonts w:ascii="Calibri" w:cs="Calibri" w:eastAsia="Calibri" w:hAnsi="Calibri"/>
                <w:sz w:val="15"/>
                <w:szCs w:val="15"/>
              </w:rPr>
              <w:t xml:space="preserve">Projet à l'arrêt ≥ 12 mois (souffrance automatique) — bloquante (souffrance)</w:t>
            </w:r>
          </w:p>
        </w:tc>
        <w:tc>
          <w:tcPr>
            <w:tcW w:type="dxa" w:w="3800"/>
            <w:tcMar>
              <w:top w:type="dxa" w:w="40"/>
              <w:left w:type="dxa" w:w="80"/>
              <w:bottom w:type="dxa" w:w="40"/>
              <w:right w:type="dxa" w:w="80"/>
            </w:tcMar>
          </w:tcPr>
          <w:p>
            <w:pPr>
              <w:spacing w:after="0" w:line="240"/>
            </w:pPr>
            <w:r>
              <w:rPr>
                <w:rFonts w:ascii="Calibri" w:cs="Calibri" w:eastAsia="Calibri" w:hAnsi="Calibri"/>
                <w:color w:val="C00000"/>
                <w:sz w:val="17"/>
                <w:szCs w:val="17"/>
              </w:rPr>
              <w:t xml:space="preserve">DONNÉE DÉCISIONNELLE et alerte bloquante (≥ 12 mois : souffrance automatique). Saisir 0 si le chantier n'est pas arrêté — vide rend le dossier incomplet.</w:t>
            </w:r>
          </w:p>
        </w:tc>
      </w:tr>
      <w:tr>
        <w:trPr>
          <w:cantSplit/>
        </w:trPr>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Restructuré</w:t>
            </w:r>
            <w:r>
              <w:rPr>
                <w:rFonts w:ascii="Calibri" w:cs="Calibri" w:eastAsia="Calibri" w:hAnsi="Calibri"/>
                <w:color w:val="595959"/>
                <w:sz w:val="14"/>
                <w:szCs w:val="14"/>
              </w:rPr>
              <w:t xml:space="preserve">  restructured</w:t>
            </w:r>
            <w:r>
              <w:rPr>
                <w:rFonts w:ascii="Calibri" w:cs="Calibri" w:eastAsia="Calibri" w:hAnsi="Calibri"/>
                <w:i/>
                <w:iCs/>
                <w:color w:val="595959"/>
                <w:sz w:val="14"/>
                <w:szCs w:val="14"/>
              </w:rPr>
              <w:br/>
              <w:t xml:space="preserve">  Étape : Vulnérabilité réglementaire BAM</w:t>
            </w:r>
          </w:p>
        </w:tc>
        <w:tc>
          <w:tcPr>
            <w:tcW w:type="dxa" w:w="11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P32</w:t>
            </w:r>
          </w:p>
        </w:tc>
        <w:tc>
          <w:tcPr>
            <w:tcW w:type="dxa" w:w="4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Oui si la créance a fait l'objet d'une restructuration (avenant modifiant échéances ou conditions en raison de difficultés).</w:t>
            </w:r>
          </w:p>
        </w:tc>
        <w:tc>
          <w:tcPr>
            <w:tcW w:type="dxa" w:w="2600"/>
            <w:shd w:fill="F2F5FB" w:color="auto" w:val="clear"/>
            <w:tcMar>
              <w:top w:type="dxa" w:w="40"/>
              <w:left w:type="dxa" w:w="80"/>
              <w:bottom w:type="dxa" w:w="40"/>
              <w:right w:type="dxa" w:w="80"/>
            </w:tcMar>
          </w:tcPr>
          <w:p>
            <w:pPr>
              <w:spacing w:after="0" w:line="240"/>
            </w:pPr>
            <w:r>
              <w:rPr>
                <w:rFonts w:ascii="Calibri" w:cs="Calibri" w:eastAsia="Calibri" w:hAnsi="Calibri"/>
                <w:sz w:val="15"/>
                <w:szCs w:val="15"/>
              </w:rPr>
              <w:t xml:space="preserve">Première restructuration — malus 25 · retour en comité</w:t>
            </w:r>
          </w:p>
        </w:tc>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Toute restructuration impose un retour en comité ; enregistrer aussi l'événement au journal.</w:t>
            </w:r>
          </w:p>
        </w:tc>
      </w:tr>
      <w:tr>
        <w:trPr>
          <w:cantSplit/>
        </w:trPr>
        <w:tc>
          <w:tcPr>
            <w:tcW w:type="dxa" w:w="2600"/>
            <w:tcMar>
              <w:top w:type="dxa" w:w="40"/>
              <w:left w:type="dxa" w:w="80"/>
              <w:bottom w:type="dxa" w:w="40"/>
              <w:right w:type="dxa" w:w="80"/>
            </w:tcMar>
          </w:tcPr>
          <w:p>
            <w:pPr>
              <w:spacing w:after="0" w:line="240"/>
            </w:pPr>
            <w:r>
              <w:rPr>
                <w:rFonts w:ascii="Calibri" w:cs="Calibri" w:eastAsia="Calibri" w:hAnsi="Calibri"/>
                <w:b/>
                <w:bCs/>
                <w:color w:val="C00000"/>
                <w:sz w:val="17"/>
                <w:szCs w:val="17"/>
              </w:rPr>
              <w:t xml:space="preserve">★ </w:t>
            </w:r>
            <w:r>
              <w:rPr>
                <w:rFonts w:ascii="Calibri" w:cs="Calibri" w:eastAsia="Calibri" w:hAnsi="Calibri"/>
                <w:b/>
                <w:bCs/>
                <w:sz w:val="17"/>
                <w:szCs w:val="17"/>
              </w:rPr>
              <w:t xml:space="preserve">Retard chantier (mois)</w:t>
            </w:r>
            <w:r>
              <w:rPr>
                <w:rFonts w:ascii="Calibri" w:cs="Calibri" w:eastAsia="Calibri" w:hAnsi="Calibri"/>
                <w:color w:val="595959"/>
                <w:sz w:val="14"/>
                <w:szCs w:val="14"/>
              </w:rPr>
              <w:t xml:space="preserve">  construction_delay_months</w:t>
            </w:r>
            <w:r>
              <w:rPr>
                <w:rFonts w:ascii="Calibri" w:cs="Calibri" w:eastAsia="Calibri" w:hAnsi="Calibri"/>
                <w:i/>
                <w:iCs/>
                <w:color w:val="595959"/>
                <w:sz w:val="14"/>
                <w:szCs w:val="14"/>
              </w:rPr>
              <w:br/>
              <w:t xml:space="preserve">  Étape : Vulnérabilité réglementaire BAM</w:t>
            </w:r>
          </w:p>
        </w:tc>
        <w:tc>
          <w:tcPr>
            <w:tcW w:type="dxa" w:w="1100"/>
            <w:tcMar>
              <w:top w:type="dxa" w:w="40"/>
              <w:left w:type="dxa" w:w="80"/>
              <w:bottom w:type="dxa" w:w="40"/>
              <w:right w:type="dxa" w:w="80"/>
            </w:tcMar>
          </w:tcPr>
          <w:p>
            <w:pPr>
              <w:spacing w:after="0" w:line="240"/>
              <w:jc w:val="center"/>
            </w:pPr>
            <w:r>
              <w:rPr>
                <w:rFonts w:ascii="Calibri" w:cs="Calibri" w:eastAsia="Calibri" w:hAnsi="Calibri"/>
                <w:sz w:val="17"/>
                <w:szCs w:val="17"/>
              </w:rPr>
              <w:t xml:space="preserve">P20, P21</w:t>
            </w:r>
          </w:p>
        </w:tc>
        <w:tc>
          <w:tcPr>
            <w:tcW w:type="dxa" w:w="4300"/>
            <w:tcMar>
              <w:top w:type="dxa" w:w="40"/>
              <w:left w:type="dxa" w:w="80"/>
              <w:bottom w:type="dxa" w:w="40"/>
              <w:right w:type="dxa" w:w="80"/>
            </w:tcMar>
          </w:tcPr>
          <w:p>
            <w:pPr>
              <w:spacing w:after="0" w:line="240"/>
            </w:pPr>
            <w:r>
              <w:rPr>
                <w:rFonts w:ascii="Calibri" w:cs="Calibri" w:eastAsia="Calibri" w:hAnsi="Calibri"/>
                <w:sz w:val="17"/>
                <w:szCs w:val="17"/>
              </w:rPr>
              <w:t xml:space="preserve">Retard de la date d'achèvement prévue par rapport au planning contractuel, en mois.</w:t>
            </w:r>
          </w:p>
        </w:tc>
        <w:tc>
          <w:tcPr>
            <w:tcW w:type="dxa" w:w="2600"/>
            <w:tcMar>
              <w:top w:type="dxa" w:w="40"/>
              <w:left w:type="dxa" w:w="80"/>
              <w:bottom w:type="dxa" w:w="40"/>
              <w:right w:type="dxa" w:w="80"/>
            </w:tcMar>
          </w:tcPr>
          <w:p>
            <w:pPr>
              <w:spacing w:after="0" w:line="240"/>
            </w:pPr>
            <w:r>
              <w:rPr>
                <w:rFonts w:ascii="Calibri" w:cs="Calibri" w:eastAsia="Calibri" w:hAnsi="Calibri"/>
                <w:sz w:val="15"/>
                <w:szCs w:val="15"/>
              </w:rPr>
              <w:t xml:space="preserve">Retard chantier ≥ 6 mois — malus 15 · retour en comité</w:t>
            </w:r>
          </w:p>
        </w:tc>
        <w:tc>
          <w:tcPr>
            <w:tcW w:type="dxa" w:w="3800"/>
            <w:tcMar>
              <w:top w:type="dxa" w:w="40"/>
              <w:left w:type="dxa" w:w="80"/>
              <w:bottom w:type="dxa" w:w="40"/>
              <w:right w:type="dxa" w:w="80"/>
            </w:tcMar>
          </w:tcPr>
          <w:p>
            <w:pPr>
              <w:spacing w:after="0" w:line="240"/>
            </w:pPr>
            <w:r>
              <w:rPr>
                <w:rFonts w:ascii="Calibri" w:cs="Calibri" w:eastAsia="Calibri" w:hAnsi="Calibri"/>
                <w:color w:val="C00000"/>
                <w:sz w:val="17"/>
                <w:szCs w:val="17"/>
              </w:rPr>
              <w:t xml:space="preserve">DONNÉE DÉCISIONNELLE et clé d'alerte (≥ 6 mois : malus 15 et retour en comité). Saisir 0 si aucun retard — vide rend le dossier incomplet.</w:t>
            </w:r>
          </w:p>
        </w:tc>
      </w:tr>
    </w:tbl>
    <w:p>
      <w:pPr>
        <w:pStyle w:val="Heading2"/>
        <w:keepNext/>
      </w:pPr>
      <w:r>
        <w:t xml:space="preserve">Données de classification BAM (circulaire 1/W)</w:t>
      </w:r>
    </w:p>
    <w:p>
      <w:pPr>
        <w:spacing w:after="120" w:before="0" w:line="276"/>
      </w:pPr>
      <w:r>
        <w:rPr>
          <w:rFonts w:ascii="Calibri" w:cs="Calibri" w:eastAsia="Calibri" w:hAnsi="Calibri"/>
          <w:sz w:val="21"/>
          <w:szCs w:val="21"/>
        </w:rPr>
        <w:t xml:space="preserve">Ces données ne sont pas notées dans le score mais déterminent la classe réglementaire (saine, sensible, pré-douteuse, douteuse, compromise, contentieux), qui module le score final. Elles se saisissent dans les étapes « Crédit &amp; dépassements » et « Vulnérabilité réglementaire BAM » du wizard ; plusieurs sont alimentées par le journal d'événements.</w:t>
      </w:r>
    </w:p>
    <w:tbl>
      <w:tblPr>
        <w:tblW w:type="dxa" w:w="14300"/>
        <w:tblBorders>
          <w:top w:val="single" w:color="AEB6C6" w:sz="2"/>
          <w:left w:val="single" w:color="AEB6C6" w:sz="2"/>
          <w:bottom w:val="single" w:color="AEB6C6" w:sz="2"/>
          <w:right w:val="single" w:color="AEB6C6" w:sz="2"/>
          <w:insideH w:val="single" w:color="D0D6E2" w:sz="1"/>
          <w:insideV w:val="single" w:color="D0D6E2" w:sz="1"/>
        </w:tblBorders>
      </w:tblPr>
      <w:tblGrid>
        <w:gridCol w:w="8000"/>
        <w:gridCol w:w="1800"/>
        <w:gridCol w:w="4500"/>
      </w:tblGrid>
      <w:tr>
        <w:trPr>
          <w:cantSplit/>
          <w:tblHeader/>
        </w:trPr>
        <w:tc>
          <w:tcPr>
            <w:tcW w:type="dxa" w:w="80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Donnée</w:t>
            </w:r>
          </w:p>
        </w:tc>
        <w:tc>
          <w:tcPr>
            <w:tcW w:type="dxa" w:w="18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Pièces</w:t>
            </w:r>
          </w:p>
        </w:tc>
        <w:tc>
          <w:tcPr>
            <w:tcW w:type="dxa" w:w="45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Source</w:t>
            </w:r>
          </w:p>
        </w:tc>
      </w:tr>
      <w:tr>
        <w:trPr>
          <w:cantSplit/>
        </w:trPr>
        <w:tc>
          <w:tcPr>
            <w:tcW w:type="dxa" w:w="8000"/>
            <w:tcMar>
              <w:top w:type="dxa" w:w="40"/>
              <w:left w:type="dxa" w:w="80"/>
              <w:bottom w:type="dxa" w:w="40"/>
              <w:right w:type="dxa" w:w="80"/>
            </w:tcMar>
          </w:tcPr>
          <w:p>
            <w:pPr>
              <w:spacing w:after="0" w:line="240"/>
            </w:pPr>
            <w:r>
              <w:rPr>
                <w:rFonts w:ascii="Calibri" w:cs="Calibri" w:eastAsia="Calibri" w:hAnsi="Calibri"/>
                <w:b/>
                <w:bCs/>
                <w:sz w:val="17"/>
                <w:szCs w:val="17"/>
              </w:rPr>
              <w:t xml:space="preserve">Saisie-arrêt / ATD</w:t>
            </w:r>
          </w:p>
        </w:tc>
        <w:tc>
          <w:tcPr>
            <w:tcW w:type="dxa" w:w="1800"/>
            <w:tcMar>
              <w:top w:type="dxa" w:w="40"/>
              <w:left w:type="dxa" w:w="80"/>
              <w:bottom w:type="dxa" w:w="40"/>
              <w:right w:type="dxa" w:w="80"/>
            </w:tcMar>
          </w:tcPr>
          <w:p>
            <w:pPr>
              <w:spacing w:after="0" w:line="240"/>
              <w:jc w:val="center"/>
            </w:pPr>
            <w:r>
              <w:rPr>
                <w:rFonts w:ascii="Calibri" w:cs="Calibri" w:eastAsia="Calibri" w:hAnsi="Calibri"/>
                <w:sz w:val="17"/>
                <w:szCs w:val="17"/>
              </w:rPr>
              <w:t xml:space="preserve">P33</w:t>
            </w:r>
          </w:p>
        </w:tc>
        <w:tc>
          <w:tcPr>
            <w:tcW w:type="dxa" w:w="4500"/>
            <w:tcMar>
              <w:top w:type="dxa" w:w="40"/>
              <w:left w:type="dxa" w:w="80"/>
              <w:bottom w:type="dxa" w:w="40"/>
              <w:right w:type="dxa" w:w="80"/>
            </w:tcMar>
          </w:tcPr>
          <w:p>
            <w:pPr>
              <w:spacing w:after="0" w:line="240"/>
            </w:pPr>
            <w:r>
              <w:rPr>
                <w:rFonts w:ascii="Calibri" w:cs="Calibri" w:eastAsia="Calibri" w:hAnsi="Calibri"/>
                <w:sz w:val="17"/>
                <w:szCs w:val="17"/>
              </w:rPr>
              <w:t xml:space="preserve">Notification reçue</w:t>
            </w:r>
          </w:p>
        </w:tc>
      </w:tr>
      <w:tr>
        <w:trPr>
          <w:cantSplit/>
        </w:trPr>
        <w:tc>
          <w:tcPr>
            <w:tcW w:type="dxa" w:w="80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États comptables non reçus (7 mois)</w:t>
            </w:r>
          </w:p>
        </w:tc>
        <w:tc>
          <w:tcPr>
            <w:tcW w:type="dxa" w:w="18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P04</w:t>
            </w:r>
          </w:p>
        </w:tc>
        <w:tc>
          <w:tcPr>
            <w:tcW w:type="dxa" w:w="4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Date de réception des états de synthèse</w:t>
            </w:r>
          </w:p>
        </w:tc>
      </w:tr>
      <w:tr>
        <w:trPr>
          <w:cantSplit/>
        </w:trPr>
        <w:tc>
          <w:tcPr>
            <w:tcW w:type="dxa" w:w="8000"/>
            <w:tcMar>
              <w:top w:type="dxa" w:w="40"/>
              <w:left w:type="dxa" w:w="80"/>
              <w:bottom w:type="dxa" w:w="40"/>
              <w:right w:type="dxa" w:w="80"/>
            </w:tcMar>
          </w:tcPr>
          <w:p>
            <w:pPr>
              <w:spacing w:after="0" w:line="240"/>
            </w:pPr>
            <w:r>
              <w:rPr>
                <w:rFonts w:ascii="Calibri" w:cs="Calibri" w:eastAsia="Calibri" w:hAnsi="Calibri"/>
                <w:b/>
                <w:bCs/>
                <w:sz w:val="17"/>
                <w:szCs w:val="17"/>
              </w:rPr>
              <w:t xml:space="preserve">Situation financière non évaluable</w:t>
            </w:r>
          </w:p>
        </w:tc>
        <w:tc>
          <w:tcPr>
            <w:tcW w:type="dxa" w:w="1800"/>
            <w:tcMar>
              <w:top w:type="dxa" w:w="40"/>
              <w:left w:type="dxa" w:w="80"/>
              <w:bottom w:type="dxa" w:w="40"/>
              <w:right w:type="dxa" w:w="80"/>
            </w:tcMar>
          </w:tcPr>
          <w:p>
            <w:pPr>
              <w:spacing w:after="0" w:line="240"/>
              <w:jc w:val="center"/>
            </w:pPr>
            <w:r>
              <w:rPr>
                <w:rFonts w:ascii="Calibri" w:cs="Calibri" w:eastAsia="Calibri" w:hAnsi="Calibri"/>
                <w:sz w:val="17"/>
                <w:szCs w:val="17"/>
              </w:rPr>
              <w:t xml:space="preserve">P04</w:t>
            </w:r>
          </w:p>
        </w:tc>
        <w:tc>
          <w:tcPr>
            <w:tcW w:type="dxa" w:w="4500"/>
            <w:tcMar>
              <w:top w:type="dxa" w:w="40"/>
              <w:left w:type="dxa" w:w="80"/>
              <w:bottom w:type="dxa" w:w="40"/>
              <w:right w:type="dxa" w:w="80"/>
            </w:tcMar>
          </w:tcPr>
          <w:p>
            <w:pPr>
              <w:spacing w:after="0" w:line="240"/>
            </w:pPr>
            <w:r>
              <w:rPr>
                <w:rFonts w:ascii="Calibri" w:cs="Calibri" w:eastAsia="Calibri" w:hAnsi="Calibri"/>
                <w:sz w:val="17"/>
                <w:szCs w:val="17"/>
              </w:rPr>
              <w:t xml:space="preserve">États absents ou inexploitables</w:t>
            </w:r>
          </w:p>
        </w:tc>
      </w:tr>
      <w:tr>
        <w:trPr>
          <w:cantSplit/>
        </w:trPr>
        <w:tc>
          <w:tcPr>
            <w:tcW w:type="dxa" w:w="80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Information négative crédit bureau</w:t>
            </w:r>
          </w:p>
        </w:tc>
        <w:tc>
          <w:tcPr>
            <w:tcW w:type="dxa" w:w="18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P07</w:t>
            </w:r>
          </w:p>
        </w:tc>
        <w:tc>
          <w:tcPr>
            <w:tcW w:type="dxa" w:w="4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Rapport de consultation</w:t>
            </w:r>
          </w:p>
        </w:tc>
      </w:tr>
      <w:tr>
        <w:trPr>
          <w:cantSplit/>
        </w:trPr>
        <w:tc>
          <w:tcPr>
            <w:tcW w:type="dxa" w:w="8000"/>
            <w:tcMar>
              <w:top w:type="dxa" w:w="40"/>
              <w:left w:type="dxa" w:w="80"/>
              <w:bottom w:type="dxa" w:w="40"/>
              <w:right w:type="dxa" w:w="80"/>
            </w:tcMar>
          </w:tcPr>
          <w:p>
            <w:pPr>
              <w:spacing w:after="0" w:line="240"/>
            </w:pPr>
            <w:r>
              <w:rPr>
                <w:rFonts w:ascii="Calibri" w:cs="Calibri" w:eastAsia="Calibri" w:hAnsi="Calibri"/>
                <w:b/>
                <w:bCs/>
                <w:sz w:val="17"/>
                <w:szCs w:val="17"/>
              </w:rPr>
              <w:t xml:space="preserve">Commercialisation &lt; 50 % à 1 an</w:t>
            </w:r>
          </w:p>
        </w:tc>
        <w:tc>
          <w:tcPr>
            <w:tcW w:type="dxa" w:w="1800"/>
            <w:tcMar>
              <w:top w:type="dxa" w:w="40"/>
              <w:left w:type="dxa" w:w="80"/>
              <w:bottom w:type="dxa" w:w="40"/>
              <w:right w:type="dxa" w:w="80"/>
            </w:tcMar>
          </w:tcPr>
          <w:p>
            <w:pPr>
              <w:spacing w:after="0" w:line="240"/>
              <w:jc w:val="center"/>
            </w:pPr>
            <w:r>
              <w:rPr>
                <w:rFonts w:ascii="Calibri" w:cs="Calibri" w:eastAsia="Calibri" w:hAnsi="Calibri"/>
                <w:sz w:val="17"/>
                <w:szCs w:val="17"/>
              </w:rPr>
              <w:t xml:space="preserve">P22</w:t>
            </w:r>
          </w:p>
        </w:tc>
        <w:tc>
          <w:tcPr>
            <w:tcW w:type="dxa" w:w="4500"/>
            <w:tcMar>
              <w:top w:type="dxa" w:w="40"/>
              <w:left w:type="dxa" w:w="80"/>
              <w:bottom w:type="dxa" w:w="40"/>
              <w:right w:type="dxa" w:w="80"/>
            </w:tcMar>
          </w:tcPr>
          <w:p>
            <w:pPr>
              <w:spacing w:after="0" w:line="240"/>
            </w:pPr>
            <w:r>
              <w:rPr>
                <w:rFonts w:ascii="Calibri" w:cs="Calibri" w:eastAsia="Calibri" w:hAnsi="Calibri"/>
                <w:sz w:val="17"/>
                <w:szCs w:val="17"/>
              </w:rPr>
              <w:t xml:space="preserve">État des ventes</w:t>
            </w:r>
          </w:p>
        </w:tc>
      </w:tr>
      <w:tr>
        <w:trPr>
          <w:cantSplit/>
        </w:trPr>
        <w:tc>
          <w:tcPr>
            <w:tcW w:type="dxa" w:w="80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Problèmes administratifs &gt; 1 an / Retard de construction &gt; 1 an</w:t>
            </w:r>
          </w:p>
        </w:tc>
        <w:tc>
          <w:tcPr>
            <w:tcW w:type="dxa" w:w="18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P13, P20</w:t>
            </w:r>
          </w:p>
        </w:tc>
        <w:tc>
          <w:tcPr>
            <w:tcW w:type="dxa" w:w="4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Autorisations ; planning</w:t>
            </w:r>
          </w:p>
        </w:tc>
      </w:tr>
      <w:tr>
        <w:trPr>
          <w:cantSplit/>
        </w:trPr>
        <w:tc>
          <w:tcPr>
            <w:tcW w:type="dxa" w:w="8000"/>
            <w:tcMar>
              <w:top w:type="dxa" w:w="40"/>
              <w:left w:type="dxa" w:w="80"/>
              <w:bottom w:type="dxa" w:w="40"/>
              <w:right w:type="dxa" w:w="80"/>
            </w:tcMar>
          </w:tcPr>
          <w:p>
            <w:pPr>
              <w:spacing w:after="0" w:line="240"/>
            </w:pPr>
            <w:r>
              <w:rPr>
                <w:rFonts w:ascii="Calibri" w:cs="Calibri" w:eastAsia="Calibri" w:hAnsi="Calibri"/>
                <w:b/>
                <w:bCs/>
                <w:sz w:val="17"/>
                <w:szCs w:val="17"/>
              </w:rPr>
              <w:t xml:space="preserve">Décalage significatif vs business plan</w:t>
            </w:r>
          </w:p>
        </w:tc>
        <w:tc>
          <w:tcPr>
            <w:tcW w:type="dxa" w:w="1800"/>
            <w:tcMar>
              <w:top w:type="dxa" w:w="40"/>
              <w:left w:type="dxa" w:w="80"/>
              <w:bottom w:type="dxa" w:w="40"/>
              <w:right w:type="dxa" w:w="80"/>
            </w:tcMar>
          </w:tcPr>
          <w:p>
            <w:pPr>
              <w:spacing w:after="0" w:line="240"/>
              <w:jc w:val="center"/>
            </w:pPr>
            <w:r>
              <w:rPr>
                <w:rFonts w:ascii="Calibri" w:cs="Calibri" w:eastAsia="Calibri" w:hAnsi="Calibri"/>
                <w:sz w:val="17"/>
                <w:szCs w:val="17"/>
              </w:rPr>
              <w:t xml:space="preserve">P16, P22</w:t>
            </w:r>
          </w:p>
        </w:tc>
        <w:tc>
          <w:tcPr>
            <w:tcW w:type="dxa" w:w="4500"/>
            <w:tcMar>
              <w:top w:type="dxa" w:w="40"/>
              <w:left w:type="dxa" w:w="80"/>
              <w:bottom w:type="dxa" w:w="40"/>
              <w:right w:type="dxa" w:w="80"/>
            </w:tcMar>
          </w:tcPr>
          <w:p>
            <w:pPr>
              <w:spacing w:after="0" w:line="240"/>
            </w:pPr>
            <w:r>
              <w:rPr>
                <w:rFonts w:ascii="Calibri" w:cs="Calibri" w:eastAsia="Calibri" w:hAnsi="Calibri"/>
                <w:sz w:val="17"/>
                <w:szCs w:val="17"/>
              </w:rPr>
              <w:t xml:space="preserve">Business plan ; état des ventes</w:t>
            </w:r>
          </w:p>
        </w:tc>
      </w:tr>
      <w:tr>
        <w:trPr>
          <w:cantSplit/>
        </w:trPr>
        <w:tc>
          <w:tcPr>
            <w:tcW w:type="dxa" w:w="80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Baisse du CA sur 1 an ; dettes financières / FP</w:t>
            </w:r>
          </w:p>
        </w:tc>
        <w:tc>
          <w:tcPr>
            <w:tcW w:type="dxa" w:w="18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P04</w:t>
            </w:r>
          </w:p>
        </w:tc>
        <w:tc>
          <w:tcPr>
            <w:tcW w:type="dxa" w:w="4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États de synthèse</w:t>
            </w:r>
          </w:p>
        </w:tc>
      </w:tr>
      <w:tr>
        <w:trPr>
          <w:cantSplit/>
        </w:trPr>
        <w:tc>
          <w:tcPr>
            <w:tcW w:type="dxa" w:w="8000"/>
            <w:tcMar>
              <w:top w:type="dxa" w:w="40"/>
              <w:left w:type="dxa" w:w="80"/>
              <w:bottom w:type="dxa" w:w="40"/>
              <w:right w:type="dxa" w:w="80"/>
            </w:tcMar>
          </w:tcPr>
          <w:p>
            <w:pPr>
              <w:spacing w:after="0" w:line="240"/>
            </w:pPr>
            <w:r>
              <w:rPr>
                <w:rFonts w:ascii="Calibri" w:cs="Calibri" w:eastAsia="Calibri" w:hAnsi="Calibri"/>
                <w:b/>
                <w:bCs/>
                <w:sz w:val="17"/>
                <w:szCs w:val="17"/>
              </w:rPr>
              <w:t xml:space="preserve">Redressement judiciaire ; projet à l'arrêt &gt; 1 an ; achevé ≥ 2 ans sans ventes</w:t>
            </w:r>
          </w:p>
        </w:tc>
        <w:tc>
          <w:tcPr>
            <w:tcW w:type="dxa" w:w="1800"/>
            <w:tcMar>
              <w:top w:type="dxa" w:w="40"/>
              <w:left w:type="dxa" w:w="80"/>
              <w:bottom w:type="dxa" w:w="40"/>
              <w:right w:type="dxa" w:w="80"/>
            </w:tcMar>
          </w:tcPr>
          <w:p>
            <w:pPr>
              <w:spacing w:after="0" w:line="240"/>
              <w:jc w:val="center"/>
            </w:pPr>
            <w:r>
              <w:rPr>
                <w:rFonts w:ascii="Calibri" w:cs="Calibri" w:eastAsia="Calibri" w:hAnsi="Calibri"/>
                <w:sz w:val="17"/>
                <w:szCs w:val="17"/>
              </w:rPr>
              <w:t xml:space="preserve">P33, P21, P22</w:t>
            </w:r>
          </w:p>
        </w:tc>
        <w:tc>
          <w:tcPr>
            <w:tcW w:type="dxa" w:w="4500"/>
            <w:tcMar>
              <w:top w:type="dxa" w:w="40"/>
              <w:left w:type="dxa" w:w="80"/>
              <w:bottom w:type="dxa" w:w="40"/>
              <w:right w:type="dxa" w:w="80"/>
            </w:tcMar>
          </w:tcPr>
          <w:p>
            <w:pPr>
              <w:spacing w:after="0" w:line="240"/>
            </w:pPr>
            <w:r>
              <w:rPr>
                <w:rFonts w:ascii="Calibri" w:cs="Calibri" w:eastAsia="Calibri" w:hAnsi="Calibri"/>
                <w:sz w:val="17"/>
                <w:szCs w:val="17"/>
              </w:rPr>
              <w:t xml:space="preserve">Jugement ; visites ; ventes</w:t>
            </w:r>
          </w:p>
        </w:tc>
      </w:tr>
      <w:tr>
        <w:trPr>
          <w:cantSplit/>
        </w:trPr>
        <w:tc>
          <w:tcPr>
            <w:tcW w:type="dxa" w:w="80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Restructuration : nombre, viabilité, différé, 2e restructuration, impayé sur créance restructurée</w:t>
            </w:r>
          </w:p>
        </w:tc>
        <w:tc>
          <w:tcPr>
            <w:tcW w:type="dxa" w:w="18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P32, P31</w:t>
            </w:r>
          </w:p>
        </w:tc>
        <w:tc>
          <w:tcPr>
            <w:tcW w:type="dxa" w:w="4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Avenants ; échéancier</w:t>
            </w:r>
          </w:p>
        </w:tc>
      </w:tr>
      <w:tr>
        <w:trPr>
          <w:cantSplit/>
        </w:trPr>
        <w:tc>
          <w:tcPr>
            <w:tcW w:type="dxa" w:w="8000"/>
            <w:tcMar>
              <w:top w:type="dxa" w:w="40"/>
              <w:left w:type="dxa" w:w="80"/>
              <w:bottom w:type="dxa" w:w="40"/>
              <w:right w:type="dxa" w:w="80"/>
            </w:tcMar>
          </w:tcPr>
          <w:p>
            <w:pPr>
              <w:spacing w:after="0" w:line="240"/>
            </w:pPr>
            <w:r>
              <w:rPr>
                <w:rFonts w:ascii="Calibri" w:cs="Calibri" w:eastAsia="Calibri" w:hAnsi="Calibri"/>
                <w:b/>
                <w:bCs/>
                <w:sz w:val="17"/>
                <w:szCs w:val="17"/>
              </w:rPr>
              <w:t xml:space="preserve">Crédit in fine, dépassements, compte débiteur sans mouvement créditeur</w:t>
            </w:r>
          </w:p>
        </w:tc>
        <w:tc>
          <w:tcPr>
            <w:tcW w:type="dxa" w:w="1800"/>
            <w:tcMar>
              <w:top w:type="dxa" w:w="40"/>
              <w:left w:type="dxa" w:w="80"/>
              <w:bottom w:type="dxa" w:w="40"/>
              <w:right w:type="dxa" w:w="80"/>
            </w:tcMar>
          </w:tcPr>
          <w:p>
            <w:pPr>
              <w:spacing w:after="0" w:line="240"/>
              <w:jc w:val="center"/>
            </w:pPr>
            <w:r>
              <w:rPr>
                <w:rFonts w:ascii="Calibri" w:cs="Calibri" w:eastAsia="Calibri" w:hAnsi="Calibri"/>
                <w:sz w:val="17"/>
                <w:szCs w:val="17"/>
              </w:rPr>
              <w:t xml:space="preserve">P31</w:t>
            </w:r>
          </w:p>
        </w:tc>
        <w:tc>
          <w:tcPr>
            <w:tcW w:type="dxa" w:w="4500"/>
            <w:tcMar>
              <w:top w:type="dxa" w:w="40"/>
              <w:left w:type="dxa" w:w="80"/>
              <w:bottom w:type="dxa" w:w="40"/>
              <w:right w:type="dxa" w:w="80"/>
            </w:tcMar>
          </w:tcPr>
          <w:p>
            <w:pPr>
              <w:spacing w:after="0" w:line="240"/>
            </w:pPr>
            <w:r>
              <w:rPr>
                <w:rFonts w:ascii="Calibri" w:cs="Calibri" w:eastAsia="Calibri" w:hAnsi="Calibri"/>
                <w:sz w:val="17"/>
                <w:szCs w:val="17"/>
              </w:rPr>
              <w:t xml:space="preserve">SI bancaire</w:t>
            </w:r>
          </w:p>
        </w:tc>
      </w:tr>
      <w:tr>
        <w:trPr>
          <w:cantSplit/>
        </w:trPr>
        <w:tc>
          <w:tcPr>
            <w:tcW w:type="dxa" w:w="80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Information d'avancement ou de commercialisation non fiable</w:t>
            </w:r>
          </w:p>
        </w:tc>
        <w:tc>
          <w:tcPr>
            <w:tcW w:type="dxa" w:w="18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P21, P22</w:t>
            </w:r>
          </w:p>
        </w:tc>
        <w:tc>
          <w:tcPr>
            <w:tcW w:type="dxa" w:w="4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Appréciation du chargé d'affaires</w:t>
            </w:r>
          </w:p>
        </w:tc>
      </w:tr>
    </w:tbl>
    <w:p>
      <w:pPr>
        <w:sectPr>
          <w:headerReference w:type="default" r:id="rId9"/>
          <w:footerReference w:type="default" r:id="rId10"/>
          <w:pgSz w:w="16838" w:h="11906" w:orient="landscape"/>
          <w:pgMar w:top="1000" w:right="1000" w:bottom="1000" w:left="1000" w:header="708" w:footer="708" w:gutter="0"/>
          <w:pgNumType/>
          <w:docGrid w:linePitch="360"/>
        </w:sectPr>
      </w:pPr>
    </w:p>
    <w:p>
      <w:pPr>
        <w:pStyle w:val="Heading1"/>
      </w:pPr>
      <w:r>
        <w:t xml:space="preserve">6. Lire et exploiter le résultat</w:t>
      </w:r>
    </w:p>
    <w:p>
      <w:pPr>
        <w:spacing w:after="120" w:before="0" w:line="276"/>
      </w:pPr>
      <w:r>
        <w:rPr>
          <w:rFonts w:ascii="Calibri" w:cs="Calibri" w:eastAsia="Calibri" w:hAnsi="Calibri"/>
          <w:sz w:val="21"/>
          <w:szCs w:val="21"/>
        </w:rPr>
        <w:t xml:space="preserve">Après le calcul, ouvrez la fiche projet, onglet « Scoring ». L'encart « Lecture du résultat » donne la version du modèle utilisée, la classe interne, la chaîne de calcul (score brut, ajustements, malus, coefficient BAM, score final), la PD indicative et les notes économique et de sûretés.</w:t>
      </w:r>
    </w:p>
    <w:p>
      <w:pPr>
        <w:pStyle w:val="Heading2"/>
        <w:keepNext/>
      </w:pPr>
      <w:r>
        <w:t xml:space="preserve">Hiérarchie de la décision</w:t>
      </w:r>
    </w:p>
    <w:tbl>
      <w:tblPr>
        <w:tblW w:type="dxa" w:w="9638"/>
        <w:tblBorders>
          <w:top w:val="single" w:color="AEB6C6" w:sz="2"/>
          <w:left w:val="single" w:color="AEB6C6" w:sz="2"/>
          <w:bottom w:val="single" w:color="AEB6C6" w:sz="2"/>
          <w:right w:val="single" w:color="AEB6C6" w:sz="2"/>
          <w:insideH w:val="single" w:color="D0D6E2" w:sz="1"/>
          <w:insideV w:val="single" w:color="D0D6E2" w:sz="1"/>
        </w:tblBorders>
      </w:tblPr>
      <w:tblGrid>
        <w:gridCol w:w="900"/>
        <w:gridCol w:w="5600"/>
        <w:gridCol w:w="3138"/>
      </w:tblGrid>
      <w:tr>
        <w:trPr>
          <w:cantSplit/>
          <w:tblHeader/>
        </w:trPr>
        <w:tc>
          <w:tcPr>
            <w:tcW w:type="dxa" w:w="9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Priorité</w:t>
            </w:r>
          </w:p>
        </w:tc>
        <w:tc>
          <w:tcPr>
            <w:tcW w:type="dxa" w:w="56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Situation</w:t>
            </w:r>
          </w:p>
        </w:tc>
        <w:tc>
          <w:tcPr>
            <w:tcW w:type="dxa" w:w="3138"/>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Décision</w:t>
            </w:r>
          </w:p>
        </w:tc>
      </w:tr>
      <w:tr>
        <w:trPr>
          <w:cantSplit/>
        </w:trPr>
        <w:tc>
          <w:tcPr>
            <w:tcW w:type="dxa" w:w="900"/>
            <w:tcMar>
              <w:top w:type="dxa" w:w="40"/>
              <w:left w:type="dxa" w:w="80"/>
              <w:bottom w:type="dxa" w:w="40"/>
              <w:right w:type="dxa" w:w="80"/>
            </w:tcMar>
          </w:tcPr>
          <w:p>
            <w:pPr>
              <w:spacing w:after="0" w:line="240"/>
            </w:pPr>
            <w:r>
              <w:rPr>
                <w:rFonts w:ascii="Calibri" w:cs="Calibri" w:eastAsia="Calibri" w:hAnsi="Calibri"/>
                <w:sz w:val="17"/>
                <w:szCs w:val="17"/>
              </w:rPr>
              <w:t xml:space="preserve">1</w:t>
            </w:r>
          </w:p>
        </w:tc>
        <w:tc>
          <w:tcPr>
            <w:tcW w:type="dxa" w:w="5600"/>
            <w:tcMar>
              <w:top w:type="dxa" w:w="40"/>
              <w:left w:type="dxa" w:w="80"/>
              <w:bottom w:type="dxa" w:w="40"/>
              <w:right w:type="dxa" w:w="80"/>
            </w:tcMar>
          </w:tcPr>
          <w:p>
            <w:pPr>
              <w:spacing w:after="0" w:line="240"/>
            </w:pPr>
            <w:r>
              <w:rPr>
                <w:rFonts w:ascii="Calibri" w:cs="Calibri" w:eastAsia="Calibri" w:hAnsi="Calibri"/>
                <w:sz w:val="17"/>
                <w:szCs w:val="17"/>
              </w:rPr>
              <w:t xml:space="preserve">Classe contentieux (CTX)</w:t>
            </w:r>
          </w:p>
        </w:tc>
        <w:tc>
          <w:tcPr>
            <w:tcW w:type="dxa" w:w="3138"/>
            <w:tcMar>
              <w:top w:type="dxa" w:w="40"/>
              <w:left w:type="dxa" w:w="80"/>
              <w:bottom w:type="dxa" w:w="40"/>
              <w:right w:type="dxa" w:w="80"/>
            </w:tcMar>
          </w:tcPr>
          <w:p>
            <w:pPr>
              <w:spacing w:after="0" w:line="240"/>
            </w:pPr>
            <w:r>
              <w:rPr>
                <w:rFonts w:ascii="Calibri" w:cs="Calibri" w:eastAsia="Calibri" w:hAnsi="Calibri"/>
                <w:b/>
                <w:bCs/>
                <w:color w:val="C00000"/>
                <w:sz w:val="17"/>
                <w:szCs w:val="17"/>
              </w:rPr>
              <w:t xml:space="preserve">NO_GO — score 0</w:t>
            </w:r>
          </w:p>
        </w:tc>
      </w:tr>
      <w:tr>
        <w:trPr>
          <w:cantSplit/>
        </w:trPr>
        <w:tc>
          <w:tcPr>
            <w:tcW w:type="dxa" w:w="9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2</w:t>
            </w:r>
          </w:p>
        </w:tc>
        <w:tc>
          <w:tcPr>
            <w:tcW w:type="dxa" w:w="56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Alerte bloquante : impayé ≥ 90 j, arrêt ≥ 12 mois, contentieux</w:t>
            </w:r>
          </w:p>
        </w:tc>
        <w:tc>
          <w:tcPr>
            <w:tcW w:type="dxa" w:w="3138"/>
            <w:shd w:fill="F2F5FB" w:color="auto" w:val="clear"/>
            <w:tcMar>
              <w:top w:type="dxa" w:w="40"/>
              <w:left w:type="dxa" w:w="80"/>
              <w:bottom w:type="dxa" w:w="40"/>
              <w:right w:type="dxa" w:w="80"/>
            </w:tcMar>
          </w:tcPr>
          <w:p>
            <w:pPr>
              <w:spacing w:after="0" w:line="240"/>
            </w:pPr>
            <w:r>
              <w:rPr>
                <w:rFonts w:ascii="Calibri" w:cs="Calibri" w:eastAsia="Calibri" w:hAnsi="Calibri"/>
                <w:b/>
                <w:bCs/>
                <w:color w:val="C00000"/>
                <w:sz w:val="17"/>
                <w:szCs w:val="17"/>
              </w:rPr>
              <w:t xml:space="preserve">NO_GO — souffrance</w:t>
            </w:r>
          </w:p>
        </w:tc>
      </w:tr>
      <w:tr>
        <w:trPr>
          <w:cantSplit/>
        </w:trPr>
        <w:tc>
          <w:tcPr>
            <w:tcW w:type="dxa" w:w="900"/>
            <w:tcMar>
              <w:top w:type="dxa" w:w="40"/>
              <w:left w:type="dxa" w:w="80"/>
              <w:bottom w:type="dxa" w:w="40"/>
              <w:right w:type="dxa" w:w="80"/>
            </w:tcMar>
          </w:tcPr>
          <w:p>
            <w:pPr>
              <w:spacing w:after="0" w:line="240"/>
            </w:pPr>
            <w:r>
              <w:rPr>
                <w:rFonts w:ascii="Calibri" w:cs="Calibri" w:eastAsia="Calibri" w:hAnsi="Calibri"/>
                <w:sz w:val="17"/>
                <w:szCs w:val="17"/>
              </w:rPr>
              <w:t xml:space="preserve">3</w:t>
            </w:r>
          </w:p>
        </w:tc>
        <w:tc>
          <w:tcPr>
            <w:tcW w:type="dxa" w:w="5600"/>
            <w:tcMar>
              <w:top w:type="dxa" w:w="40"/>
              <w:left w:type="dxa" w:w="80"/>
              <w:bottom w:type="dxa" w:w="40"/>
              <w:right w:type="dxa" w:w="80"/>
            </w:tcMar>
          </w:tcPr>
          <w:p>
            <w:pPr>
              <w:spacing w:after="0" w:line="240"/>
            </w:pPr>
            <w:r>
              <w:rPr>
                <w:rFonts w:ascii="Calibri" w:cs="Calibri" w:eastAsia="Calibri" w:hAnsi="Calibri"/>
                <w:sz w:val="17"/>
                <w:szCs w:val="17"/>
              </w:rPr>
              <w:t xml:space="preserve">Classe en défaut (pré-douteuse, douteuse, compromise)</w:t>
            </w:r>
          </w:p>
        </w:tc>
        <w:tc>
          <w:tcPr>
            <w:tcW w:type="dxa" w:w="3138"/>
            <w:tcMar>
              <w:top w:type="dxa" w:w="40"/>
              <w:left w:type="dxa" w:w="80"/>
              <w:bottom w:type="dxa" w:w="40"/>
              <w:right w:type="dxa" w:w="80"/>
            </w:tcMar>
          </w:tcPr>
          <w:p>
            <w:pPr>
              <w:spacing w:after="0" w:line="240"/>
            </w:pPr>
            <w:r>
              <w:rPr>
                <w:rFonts w:ascii="Calibri" w:cs="Calibri" w:eastAsia="Calibri" w:hAnsi="Calibri"/>
                <w:b/>
                <w:bCs/>
                <w:color w:val="C00000"/>
                <w:sz w:val="17"/>
                <w:szCs w:val="17"/>
              </w:rPr>
              <w:t xml:space="preserve">NO_GO — défaut avéré</w:t>
            </w:r>
          </w:p>
        </w:tc>
      </w:tr>
      <w:tr>
        <w:trPr>
          <w:cantSplit/>
        </w:trPr>
        <w:tc>
          <w:tcPr>
            <w:tcW w:type="dxa" w:w="9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4</w:t>
            </w:r>
          </w:p>
        </w:tc>
        <w:tc>
          <w:tcPr>
            <w:tcW w:type="dxa" w:w="56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Donnée décisionnelle absente ou classe non établie</w:t>
            </w:r>
          </w:p>
        </w:tc>
        <w:tc>
          <w:tcPr>
            <w:tcW w:type="dxa" w:w="3138"/>
            <w:shd w:fill="F2F5FB" w:color="auto" w:val="clear"/>
            <w:tcMar>
              <w:top w:type="dxa" w:w="40"/>
              <w:left w:type="dxa" w:w="80"/>
              <w:bottom w:type="dxa" w:w="40"/>
              <w:right w:type="dxa" w:w="80"/>
            </w:tcMar>
          </w:tcPr>
          <w:p>
            <w:pPr>
              <w:spacing w:after="0" w:line="240"/>
            </w:pPr>
            <w:r>
              <w:rPr>
                <w:rFonts w:ascii="Calibri" w:cs="Calibri" w:eastAsia="Calibri" w:hAnsi="Calibri"/>
                <w:b/>
                <w:bCs/>
                <w:color w:val="595959"/>
                <w:sz w:val="17"/>
                <w:szCs w:val="17"/>
              </w:rPr>
              <w:t xml:space="preserve">DOSSIER_INCOMPLET</w:t>
            </w:r>
          </w:p>
        </w:tc>
      </w:tr>
      <w:tr>
        <w:trPr>
          <w:cantSplit/>
        </w:trPr>
        <w:tc>
          <w:tcPr>
            <w:tcW w:type="dxa" w:w="900"/>
            <w:tcMar>
              <w:top w:type="dxa" w:w="40"/>
              <w:left w:type="dxa" w:w="80"/>
              <w:bottom w:type="dxa" w:w="40"/>
              <w:right w:type="dxa" w:w="80"/>
            </w:tcMar>
          </w:tcPr>
          <w:p>
            <w:pPr>
              <w:spacing w:after="0" w:line="240"/>
            </w:pPr>
            <w:r>
              <w:rPr>
                <w:rFonts w:ascii="Calibri" w:cs="Calibri" w:eastAsia="Calibri" w:hAnsi="Calibri"/>
                <w:sz w:val="17"/>
                <w:szCs w:val="17"/>
              </w:rPr>
              <w:t xml:space="preserve">5</w:t>
            </w:r>
          </w:p>
        </w:tc>
        <w:tc>
          <w:tcPr>
            <w:tcW w:type="dxa" w:w="5600"/>
            <w:tcMar>
              <w:top w:type="dxa" w:w="40"/>
              <w:left w:type="dxa" w:w="80"/>
              <w:bottom w:type="dxa" w:w="40"/>
              <w:right w:type="dxa" w:w="80"/>
            </w:tcMar>
          </w:tcPr>
          <w:p>
            <w:pPr>
              <w:spacing w:after="0" w:line="240"/>
            </w:pPr>
            <w:r>
              <w:rPr>
                <w:rFonts w:ascii="Calibri" w:cs="Calibri" w:eastAsia="Calibri" w:hAnsi="Calibri"/>
                <w:sz w:val="17"/>
                <w:szCs w:val="17"/>
              </w:rPr>
              <w:t xml:space="preserve">Critère éliminatoire franchi</w:t>
            </w:r>
          </w:p>
        </w:tc>
        <w:tc>
          <w:tcPr>
            <w:tcW w:type="dxa" w:w="3138"/>
            <w:tcMar>
              <w:top w:type="dxa" w:w="40"/>
              <w:left w:type="dxa" w:w="80"/>
              <w:bottom w:type="dxa" w:w="40"/>
              <w:right w:type="dxa" w:w="80"/>
            </w:tcMar>
          </w:tcPr>
          <w:p>
            <w:pPr>
              <w:spacing w:after="0" w:line="240"/>
            </w:pPr>
            <w:r>
              <w:rPr>
                <w:rFonts w:ascii="Calibri" w:cs="Calibri" w:eastAsia="Calibri" w:hAnsi="Calibri"/>
                <w:b/>
                <w:bCs/>
                <w:color w:val="C00000"/>
                <w:sz w:val="17"/>
                <w:szCs w:val="17"/>
              </w:rPr>
              <w:t xml:space="preserve">NO_GO + condition à lever</w:t>
            </w:r>
          </w:p>
        </w:tc>
      </w:tr>
      <w:tr>
        <w:trPr>
          <w:cantSplit/>
        </w:trPr>
        <w:tc>
          <w:tcPr>
            <w:tcW w:type="dxa" w:w="9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6</w:t>
            </w:r>
          </w:p>
        </w:tc>
        <w:tc>
          <w:tcPr>
            <w:tcW w:type="dxa" w:w="56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Score ≥ 75 · ≥ 65 · ≥ 50 · &lt; 50</w:t>
            </w:r>
          </w:p>
        </w:tc>
        <w:tc>
          <w:tcPr>
            <w:tcW w:type="dxa" w:w="31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GO · GO sous conditions · Watch list · NO_GO</w:t>
            </w:r>
          </w:p>
        </w:tc>
      </w:tr>
    </w:tbl>
    <w:p>
      <w:pPr>
        <w:pStyle w:val="Heading2"/>
        <w:keepNext/>
      </w:pPr>
      <w:r>
        <w:t xml:space="preserve">Que faire selon le résultat</w:t>
      </w:r>
    </w:p>
    <w:tbl>
      <w:tblPr>
        <w:tblW w:type="dxa" w:w="9638"/>
        <w:tblBorders>
          <w:top w:val="single" w:color="AEB6C6" w:sz="2"/>
          <w:left w:val="single" w:color="AEB6C6" w:sz="2"/>
          <w:bottom w:val="single" w:color="AEB6C6" w:sz="2"/>
          <w:right w:val="single" w:color="AEB6C6" w:sz="2"/>
          <w:insideH w:val="single" w:color="D0D6E2" w:sz="1"/>
          <w:insideV w:val="single" w:color="D0D6E2" w:sz="1"/>
        </w:tblBorders>
      </w:tblPr>
      <w:tblGrid>
        <w:gridCol w:w="3200"/>
        <w:gridCol w:w="6438"/>
      </w:tblGrid>
      <w:tr>
        <w:trPr>
          <w:cantSplit/>
          <w:tblHeader/>
        </w:trPr>
        <w:tc>
          <w:tcPr>
            <w:tcW w:type="dxa" w:w="32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Vous voyez</w:t>
            </w:r>
          </w:p>
        </w:tc>
        <w:tc>
          <w:tcPr>
            <w:tcW w:type="dxa" w:w="6438"/>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Ce que vous faites</w:t>
            </w:r>
          </w:p>
        </w:tc>
      </w:tr>
      <w:tr>
        <w:trPr>
          <w:cantSplit/>
        </w:trPr>
        <w:tc>
          <w:tcPr>
            <w:tcW w:type="dxa" w:w="3200"/>
            <w:tcMar>
              <w:top w:type="dxa" w:w="40"/>
              <w:left w:type="dxa" w:w="80"/>
              <w:bottom w:type="dxa" w:w="40"/>
              <w:right w:type="dxa" w:w="80"/>
            </w:tcMar>
          </w:tcPr>
          <w:p>
            <w:pPr>
              <w:spacing w:after="0" w:line="240"/>
            </w:pPr>
            <w:r>
              <w:rPr>
                <w:rFonts w:ascii="Calibri" w:cs="Calibri" w:eastAsia="Calibri" w:hAnsi="Calibri"/>
                <w:b/>
                <w:bCs/>
                <w:sz w:val="17"/>
                <w:szCs w:val="17"/>
              </w:rPr>
              <w:t xml:space="preserve">Dossier incomplet</w:t>
            </w:r>
          </w:p>
        </w:tc>
        <w:tc>
          <w:tcPr>
            <w:tcW w:type="dxa" w:w="6438"/>
            <w:tcMar>
              <w:top w:type="dxa" w:w="40"/>
              <w:left w:type="dxa" w:w="80"/>
              <w:bottom w:type="dxa" w:w="40"/>
              <w:right w:type="dxa" w:w="80"/>
            </w:tcMar>
          </w:tcPr>
          <w:p>
            <w:pPr>
              <w:spacing w:after="0" w:line="240"/>
            </w:pPr>
            <w:r>
              <w:rPr>
                <w:rFonts w:ascii="Calibri" w:cs="Calibri" w:eastAsia="Calibri" w:hAnsi="Calibri"/>
                <w:sz w:val="17"/>
                <w:szCs w:val="17"/>
              </w:rPr>
              <w:t xml:space="preserve">L'encart liste les données manquantes en clair. Réunissez la pièce, saisissez la valeur (0 si « aucun »), synchronisez, recalculez.</w:t>
            </w:r>
          </w:p>
        </w:tc>
      </w:tr>
      <w:tr>
        <w:trPr>
          <w:cantSplit/>
        </w:trPr>
        <w:tc>
          <w:tcPr>
            <w:tcW w:type="dxa" w:w="32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Condition à lever (jalon)</w:t>
            </w:r>
          </w:p>
        </w:tc>
        <w:tc>
          <w:tcPr>
            <w:tcW w:type="dxa" w:w="64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Un critère éliminatoire est franchi (apport, foncier / autorisations). Indiquez dans la note au comité la pièce attendue et la date : aucun tirage ne sera autorisé avant sa levée.</w:t>
            </w:r>
          </w:p>
        </w:tc>
      </w:tr>
      <w:tr>
        <w:trPr>
          <w:cantSplit/>
        </w:trPr>
        <w:tc>
          <w:tcPr>
            <w:tcW w:type="dxa" w:w="3200"/>
            <w:tcMar>
              <w:top w:type="dxa" w:w="40"/>
              <w:left w:type="dxa" w:w="80"/>
              <w:bottom w:type="dxa" w:w="40"/>
              <w:right w:type="dxa" w:w="80"/>
            </w:tcMar>
          </w:tcPr>
          <w:p>
            <w:pPr>
              <w:spacing w:after="0" w:line="240"/>
            </w:pPr>
            <w:r>
              <w:rPr>
                <w:rFonts w:ascii="Calibri" w:cs="Calibri" w:eastAsia="Calibri" w:hAnsi="Calibri"/>
                <w:b/>
                <w:bCs/>
                <w:sz w:val="17"/>
                <w:szCs w:val="17"/>
              </w:rPr>
              <w:t xml:space="preserve">Alerte avec malus</w:t>
            </w:r>
          </w:p>
        </w:tc>
        <w:tc>
          <w:tcPr>
            <w:tcW w:type="dxa" w:w="6438"/>
            <w:tcMar>
              <w:top w:type="dxa" w:w="40"/>
              <w:left w:type="dxa" w:w="80"/>
              <w:bottom w:type="dxa" w:w="40"/>
              <w:right w:type="dxa" w:w="80"/>
            </w:tcMar>
          </w:tcPr>
          <w:p>
            <w:pPr>
              <w:spacing w:after="0" w:line="240"/>
            </w:pPr>
            <w:r>
              <w:rPr>
                <w:rFonts w:ascii="Calibri" w:cs="Calibri" w:eastAsia="Calibri" w:hAnsi="Calibri"/>
                <w:sz w:val="17"/>
                <w:szCs w:val="17"/>
              </w:rPr>
              <w:t xml:space="preserve">Documentez le mitigant (garantie complémentaire, apport supplémentaire, calendrier) ; le malus reste appliqué tant que la donnée ne change pas.</w:t>
            </w:r>
          </w:p>
        </w:tc>
      </w:tr>
      <w:tr>
        <w:trPr>
          <w:cantSplit/>
        </w:trPr>
        <w:tc>
          <w:tcPr>
            <w:tcW w:type="dxa" w:w="32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Retour en comité requis</w:t>
            </w:r>
          </w:p>
        </w:tc>
        <w:tc>
          <w:tcPr>
            <w:tcW w:type="dxa" w:w="64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Une alerte ou un événement l'impose (restructuration, retard ≥ 6 mois, mainlevée sous-tarifée, division des risques). Préparez le passage en comité.</w:t>
            </w:r>
          </w:p>
        </w:tc>
      </w:tr>
      <w:tr>
        <w:trPr>
          <w:cantSplit/>
        </w:trPr>
        <w:tc>
          <w:tcPr>
            <w:tcW w:type="dxa" w:w="3200"/>
            <w:tcMar>
              <w:top w:type="dxa" w:w="40"/>
              <w:left w:type="dxa" w:w="80"/>
              <w:bottom w:type="dxa" w:w="40"/>
              <w:right w:type="dxa" w:w="80"/>
            </w:tcMar>
          </w:tcPr>
          <w:p>
            <w:pPr>
              <w:spacing w:after="0" w:line="240"/>
            </w:pPr>
            <w:r>
              <w:rPr>
                <w:rFonts w:ascii="Calibri" w:cs="Calibri" w:eastAsia="Calibri" w:hAnsi="Calibri"/>
                <w:b/>
                <w:bCs/>
                <w:sz w:val="17"/>
                <w:szCs w:val="17"/>
              </w:rPr>
              <w:t xml:space="preserve">Segment ou zone hors référentiel</w:t>
            </w:r>
          </w:p>
        </w:tc>
        <w:tc>
          <w:tcPr>
            <w:tcW w:type="dxa" w:w="6438"/>
            <w:tcMar>
              <w:top w:type="dxa" w:w="40"/>
              <w:left w:type="dxa" w:w="80"/>
              <w:bottom w:type="dxa" w:w="40"/>
              <w:right w:type="dxa" w:w="80"/>
            </w:tcMar>
          </w:tcPr>
          <w:p>
            <w:pPr>
              <w:spacing w:after="0" w:line="240"/>
            </w:pPr>
            <w:r>
              <w:rPr>
                <w:rFonts w:ascii="Calibri" w:cs="Calibri" w:eastAsia="Calibri" w:hAnsi="Calibri"/>
                <w:sz w:val="17"/>
                <w:szCs w:val="17"/>
              </w:rPr>
              <w:t xml:space="preserve">Corrigez la fiche projet : aucun ajustement n'a été appliqué.</w:t>
            </w:r>
          </w:p>
        </w:tc>
      </w:tr>
      <w:tr>
        <w:trPr>
          <w:cantSplit/>
        </w:trPr>
        <w:tc>
          <w:tcPr>
            <w:tcW w:type="dxa" w:w="32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 Modèle … — version retirée »</w:t>
            </w:r>
          </w:p>
        </w:tc>
        <w:tc>
          <w:tcPr>
            <w:tcW w:type="dxa" w:w="64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Le score date d'une ancienne version du modèle : relancez le calcul.</w:t>
            </w:r>
          </w:p>
        </w:tc>
      </w:tr>
    </w:tbl>
    <w:p>
      <w:pPr>
        <w:spacing w:after="60" w:before="0" w:line="276"/>
      </w:pPr>
      <w:r>
        <w:rPr>
          <w:rFonts w:ascii="Calibri" w:cs="Calibri" w:eastAsia="Calibri" w:hAnsi="Calibri"/>
          <w:sz w:val="21"/>
          <w:szCs w:val="21"/>
        </w:rPr>
        <w:t xml:space="preserve"/>
      </w:r>
    </w:p>
    <w:tbl>
      <w:tblPr>
        <w:tblW w:type="dxa" w:w="9638"/>
        <w:tblBorders>
          <w:top w:val="single" w:color="B45F06" w:sz="4"/>
          <w:left w:val="single" w:color="B45F06" w:sz="4"/>
          <w:bottom w:val="single" w:color="B45F06" w:sz="4"/>
          <w:right w:val="single" w:color="B45F06" w:sz="4"/>
          <w:insideH w:val="none"/>
          <w:insideV w:val="none"/>
        </w:tblBorders>
      </w:tblPr>
      <w:tblGrid>
        <w:gridCol w:w="9638"/>
      </w:tblGrid>
      <w:tr>
        <w:tc>
          <w:tcPr>
            <w:tcW w:type="dxa" w:w="9638"/>
            <w:shd w:fill="FFF4E5" w:color="auto" w:val="clear"/>
            <w:tcMar>
              <w:top w:type="dxa" w:w="100"/>
              <w:left w:type="dxa" w:w="160"/>
              <w:bottom w:type="dxa" w:w="100"/>
              <w:right w:type="dxa" w:w="160"/>
            </w:tcMar>
          </w:tcPr>
          <w:p>
            <w:pPr>
              <w:spacing w:after="40"/>
            </w:pPr>
            <w:r>
              <w:rPr>
                <w:rFonts w:ascii="Calibri" w:cs="Calibri" w:eastAsia="Calibri" w:hAnsi="Calibri"/>
                <w:b/>
                <w:bCs/>
                <w:color w:val="B45F06"/>
                <w:sz w:val="21"/>
                <w:szCs w:val="21"/>
              </w:rPr>
              <w:t xml:space="preserve">La PD affichée est indicative</w:t>
            </w:r>
          </w:p>
          <w:p>
            <w:pPr>
              <w:spacing w:after="0" w:line="276"/>
            </w:pPr>
            <w:r>
              <w:rPr>
                <w:rFonts w:ascii="Calibri" w:cs="Calibri" w:eastAsia="Calibri" w:hAnsi="Calibri"/>
                <w:sz w:val="21"/>
                <w:szCs w:val="21"/>
              </w:rPr>
              <w:t xml:space="preserve">Elle n'est pas calibrée sur l'historique de la banque. Elle éclaire la discussion ; elle ne sert ni au provisionnement ni au capital.</w:t>
            </w:r>
          </w:p>
        </w:tc>
      </w:tr>
    </w:tbl>
    <w:p>
      <w:pPr>
        <w:pStyle w:val="Heading2"/>
        <w:keepNext/>
      </w:pPr>
      <w:r>
        <w:t xml:space="preserve">Le dossier de comité</w:t>
      </w:r>
    </w:p>
    <w:p>
      <w:pPr>
        <w:spacing w:after="120" w:before="0" w:line="276"/>
      </w:pPr>
      <w:r>
        <w:rPr>
          <w:rFonts w:ascii="Calibri" w:cs="Calibri" w:eastAsia="Calibri" w:hAnsi="Calibri"/>
          <w:sz w:val="21"/>
          <w:szCs w:val="21"/>
        </w:rPr>
        <w:t xml:space="preserve">Depuis la fiche projet, « Dossier comité (PDF) » et « Dossier comité (Excel) » produisent la synthèse : décision, classe, lecture du résultat, métriques de risque, garanties, facilités, groupe. Vérifiez que le score est à jour avant l'export.</w:t>
      </w:r>
    </w:p>
    <w:p>
      <w:r>
        <w:br w:type="page"/>
      </w:r>
    </w:p>
    <w:p>
      <w:pPr>
        <w:pStyle w:val="Heading1"/>
      </w:pPr>
      <w:r>
        <w:t xml:space="preserve">7. Le suivi après octroi</w:t>
      </w:r>
    </w:p>
    <w:p>
      <w:pPr>
        <w:pStyle w:val="Heading2"/>
        <w:keepNext/>
      </w:pPr>
      <w:r>
        <w:t xml:space="preserve">Revues périodiques</w:t>
      </w:r>
    </w:p>
    <w:p>
      <w:pPr>
        <w:spacing w:after="120" w:before="0" w:line="276"/>
      </w:pPr>
      <w:r>
        <w:rPr>
          <w:rFonts w:ascii="Calibri" w:cs="Calibri" w:eastAsia="Calibri" w:hAnsi="Calibri"/>
          <w:sz w:val="21"/>
          <w:szCs w:val="21"/>
        </w:rPr>
        <w:t xml:space="preserve">Le score doit être recalculé au moins tous les 365 jours pour une créance saine, tous les 90 jours pour une créance sensible et tous les 30 jours pour une créance en souffrance — et immédiatement après tout événement matériel. La fiche projet affiche la « Fraîcheur du score » et l'échéance de la prochaine revue.</w:t>
      </w:r>
    </w:p>
    <w:p>
      <w:pPr>
        <w:pStyle w:val="Heading2"/>
        <w:keepNext/>
      </w:pPr>
      <w:r>
        <w:t xml:space="preserve">Déblocages</w:t>
      </w:r>
    </w:p>
    <w:p>
      <w:pPr>
        <w:pStyle w:val="ListParagraph"/>
        <w:numPr>
          <w:ilvl w:val="0"/>
          <w:numId w:val="3"/>
        </w:numPr>
        <w:spacing w:after="60" w:line="276"/>
      </w:pPr>
      <w:r>
        <w:rPr>
          <w:rFonts w:ascii="Calibri" w:cs="Calibri" w:eastAsia="Calibri" w:hAnsi="Calibri"/>
          <w:sz w:val="21"/>
          <w:szCs w:val="21"/>
        </w:rPr>
        <w:t xml:space="preserve">Chaque tirage travaux s'appuie sur une situation de travaux visée par l'architecte ou le BET (référence et pourcentage certifié à saisir).</w:t>
      </w:r>
    </w:p>
    <w:p>
      <w:pPr>
        <w:pStyle w:val="ListParagraph"/>
        <w:numPr>
          <w:ilvl w:val="0"/>
          <w:numId w:val="3"/>
        </w:numPr>
        <w:spacing w:after="60" w:line="276"/>
      </w:pPr>
      <w:r>
        <w:rPr>
          <w:rFonts w:ascii="Calibri" w:cs="Calibri" w:eastAsia="Calibri" w:hAnsi="Calibri"/>
          <w:sz w:val="21"/>
          <w:szCs w:val="21"/>
        </w:rPr>
        <w:t xml:space="preserve">Un verrou d'autorisation ouvert (pièce indispensable aux travaux manquante) interdit le tirage.</w:t>
      </w:r>
    </w:p>
    <w:p>
      <w:pPr>
        <w:pStyle w:val="ListParagraph"/>
        <w:numPr>
          <w:ilvl w:val="0"/>
          <w:numId w:val="3"/>
        </w:numPr>
        <w:spacing w:after="60" w:line="276"/>
      </w:pPr>
      <w:r>
        <w:rPr>
          <w:rFonts w:ascii="Calibri" w:cs="Calibri" w:eastAsia="Calibri" w:hAnsi="Calibri"/>
          <w:sz w:val="21"/>
          <w:szCs w:val="21"/>
        </w:rPr>
        <w:t xml:space="preserve">Mettez à jour les lots (statut, prix, financement de l'acquéreur) avant chaque synchronisation.</w:t>
      </w:r>
    </w:p>
    <w:p>
      <w:pPr>
        <w:pStyle w:val="Heading2"/>
        <w:keepNext/>
      </w:pPr>
      <w:r>
        <w:t xml:space="preserve">Mainlevées partielles</w:t>
      </w:r>
    </w:p>
    <w:p>
      <w:pPr>
        <w:spacing w:after="120" w:before="0" w:line="276"/>
      </w:pPr>
      <w:r>
        <w:rPr>
          <w:rFonts w:ascii="Calibri" w:cs="Calibri" w:eastAsia="Calibri" w:hAnsi="Calibri"/>
          <w:sz w:val="21"/>
          <w:szCs w:val="21"/>
        </w:rPr>
        <w:t xml:space="preserve">Chaque vente permet une mainlevée contre remboursement de la quotité de désengagement fixée par la convention. L'application compare cette quotité à la quotité d'équilibre (encours / valeur commercialisable) : une quotité inférieure déclenche l'alerte « Prix de mainlevée sous-tarifé » et un retour en comité.</w:t>
      </w:r>
    </w:p>
    <w:p>
      <w:pPr>
        <w:pStyle w:val="Heading2"/>
        <w:keepNext/>
      </w:pPr>
      <w:r>
        <w:t xml:space="preserve">Événements à déclarer au journal</w:t>
      </w:r>
    </w:p>
    <w:p>
      <w:pPr>
        <w:spacing w:after="120" w:before="0" w:line="276"/>
      </w:pPr>
      <w:r>
        <w:rPr>
          <w:rFonts w:ascii="Calibri" w:cs="Calibri" w:eastAsia="Calibri" w:hAnsi="Calibri"/>
          <w:sz w:val="21"/>
          <w:szCs w:val="21"/>
        </w:rPr>
        <w:t xml:space="preserve">Fiche projet › Suivi › Événements. Un événement « matériel » déclenche un nouveau calcul ; certains imposent un retour en comité.</w:t>
      </w:r>
    </w:p>
    <w:tbl>
      <w:tblPr>
        <w:tblW w:type="dxa" w:w="9638"/>
        <w:tblBorders>
          <w:top w:val="single" w:color="AEB6C6" w:sz="2"/>
          <w:left w:val="single" w:color="AEB6C6" w:sz="2"/>
          <w:bottom w:val="single" w:color="AEB6C6" w:sz="2"/>
          <w:right w:val="single" w:color="AEB6C6" w:sz="2"/>
          <w:insideH w:val="single" w:color="D0D6E2" w:sz="1"/>
          <w:insideV w:val="single" w:color="D0D6E2" w:sz="1"/>
        </w:tblBorders>
      </w:tblPr>
      <w:tblGrid>
        <w:gridCol w:w="4000"/>
        <w:gridCol w:w="1300"/>
        <w:gridCol w:w="1300"/>
        <w:gridCol w:w="1000"/>
        <w:gridCol w:w="2038"/>
      </w:tblGrid>
      <w:tr>
        <w:trPr>
          <w:cantSplit/>
          <w:tblHeader/>
        </w:trPr>
        <w:tc>
          <w:tcPr>
            <w:tcW w:type="dxa" w:w="40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Événement</w:t>
            </w:r>
          </w:p>
        </w:tc>
        <w:tc>
          <w:tcPr>
            <w:tcW w:type="dxa" w:w="13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Gravité</w:t>
            </w:r>
          </w:p>
        </w:tc>
        <w:tc>
          <w:tcPr>
            <w:tcW w:type="dxa" w:w="13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Nouveau calcul</w:t>
            </w:r>
          </w:p>
        </w:tc>
        <w:tc>
          <w:tcPr>
            <w:tcW w:type="dxa" w:w="10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Comité</w:t>
            </w:r>
          </w:p>
        </w:tc>
        <w:tc>
          <w:tcPr>
            <w:tcW w:type="dxa" w:w="2038"/>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Référence</w:t>
            </w:r>
          </w:p>
        </w:tc>
      </w:tr>
      <w:tr>
        <w:trPr>
          <w:cantSplit/>
        </w:trPr>
        <w:tc>
          <w:tcPr>
            <w:tcW w:type="dxa" w:w="4000"/>
            <w:tcMar>
              <w:top w:type="dxa" w:w="40"/>
              <w:left w:type="dxa" w:w="80"/>
              <w:bottom w:type="dxa" w:w="40"/>
              <w:right w:type="dxa" w:w="80"/>
            </w:tcMar>
          </w:tcPr>
          <w:p>
            <w:pPr>
              <w:spacing w:after="0" w:line="240"/>
            </w:pPr>
            <w:r>
              <w:rPr>
                <w:rFonts w:ascii="Calibri" w:cs="Calibri" w:eastAsia="Calibri" w:hAnsi="Calibri"/>
                <w:b w:val="false"/>
                <w:bCs w:val="false"/>
                <w:sz w:val="17"/>
                <w:szCs w:val="17"/>
              </w:rPr>
              <w:t xml:space="preserve">Déblocage / tirage</w:t>
            </w:r>
          </w:p>
        </w:tc>
        <w:tc>
          <w:tcPr>
            <w:tcW w:type="dxa" w:w="1300"/>
            <w:tcMar>
              <w:top w:type="dxa" w:w="40"/>
              <w:left w:type="dxa" w:w="80"/>
              <w:bottom w:type="dxa" w:w="40"/>
              <w:right w:type="dxa" w:w="80"/>
            </w:tcMar>
          </w:tcPr>
          <w:p>
            <w:pPr>
              <w:spacing w:after="0" w:line="240"/>
            </w:pPr>
            <w:r>
              <w:rPr>
                <w:rFonts w:ascii="Calibri" w:cs="Calibri" w:eastAsia="Calibri" w:hAnsi="Calibri"/>
                <w:color w:val="595959"/>
                <w:sz w:val="17"/>
                <w:szCs w:val="17"/>
              </w:rPr>
              <w:t xml:space="preserve">Information</w:t>
            </w:r>
          </w:p>
        </w:tc>
        <w:tc>
          <w:tcPr>
            <w:tcW w:type="dxa" w:w="1300"/>
            <w:tcMar>
              <w:top w:type="dxa" w:w="40"/>
              <w:left w:type="dxa" w:w="80"/>
              <w:bottom w:type="dxa" w:w="40"/>
              <w:right w:type="dxa" w:w="80"/>
            </w:tcMar>
          </w:tcPr>
          <w:p>
            <w:pPr>
              <w:spacing w:after="0" w:line="240"/>
              <w:jc w:val="center"/>
            </w:pPr>
            <w:r>
              <w:rPr>
                <w:rFonts w:ascii="Calibri" w:cs="Calibri" w:eastAsia="Calibri" w:hAnsi="Calibri"/>
                <w:sz w:val="17"/>
                <w:szCs w:val="17"/>
              </w:rPr>
              <w:t xml:space="preserve">—</w:t>
            </w:r>
          </w:p>
        </w:tc>
        <w:tc>
          <w:tcPr>
            <w:tcW w:type="dxa" w:w="1000"/>
            <w:tcMar>
              <w:top w:type="dxa" w:w="40"/>
              <w:left w:type="dxa" w:w="80"/>
              <w:bottom w:type="dxa" w:w="40"/>
              <w:right w:type="dxa" w:w="80"/>
            </w:tcMar>
          </w:tcPr>
          <w:p>
            <w:pPr>
              <w:spacing w:after="0" w:line="240"/>
              <w:jc w:val="center"/>
            </w:pPr>
            <w:r>
              <w:rPr>
                <w:rFonts w:ascii="Calibri" w:cs="Calibri" w:eastAsia="Calibri" w:hAnsi="Calibri"/>
                <w:b w:val="false"/>
                <w:bCs w:val="false"/>
                <w:sz w:val="17"/>
                <w:szCs w:val="17"/>
              </w:rPr>
              <w:t xml:space="preserve">—</w:t>
            </w:r>
          </w:p>
        </w:tc>
        <w:tc>
          <w:tcPr>
            <w:tcW w:type="dxa" w:w="2038"/>
            <w:tcMar>
              <w:top w:type="dxa" w:w="40"/>
              <w:left w:type="dxa" w:w="80"/>
              <w:bottom w:type="dxa" w:w="40"/>
              <w:right w:type="dxa" w:w="80"/>
            </w:tcMar>
          </w:tcPr>
          <w:p>
            <w:pPr>
              <w:spacing w:after="0" w:line="240"/>
            </w:pPr>
            <w:r>
              <w:rPr>
                <w:rFonts w:ascii="Calibri" w:cs="Calibri" w:eastAsia="Calibri" w:hAnsi="Calibri"/>
                <w:sz w:val="15"/>
                <w:szCs w:val="15"/>
              </w:rPr>
              <w:t xml:space="preserve"/>
            </w:r>
          </w:p>
        </w:tc>
      </w:tr>
      <w:tr>
        <w:trPr>
          <w:cantSplit/>
        </w:trPr>
        <w:tc>
          <w:tcPr>
            <w:tcW w:type="dxa" w:w="40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7"/>
                <w:szCs w:val="17"/>
              </w:rPr>
              <w:t xml:space="preserve">Remboursement</w:t>
            </w:r>
          </w:p>
        </w:tc>
        <w:tc>
          <w:tcPr>
            <w:tcW w:type="dxa" w:w="1300"/>
            <w:shd w:fill="F2F5FB" w:color="auto" w:val="clear"/>
            <w:tcMar>
              <w:top w:type="dxa" w:w="40"/>
              <w:left w:type="dxa" w:w="80"/>
              <w:bottom w:type="dxa" w:w="40"/>
              <w:right w:type="dxa" w:w="80"/>
            </w:tcMar>
          </w:tcPr>
          <w:p>
            <w:pPr>
              <w:spacing w:after="0" w:line="240"/>
            </w:pPr>
            <w:r>
              <w:rPr>
                <w:rFonts w:ascii="Calibri" w:cs="Calibri" w:eastAsia="Calibri" w:hAnsi="Calibri"/>
                <w:color w:val="595959"/>
                <w:sz w:val="17"/>
                <w:szCs w:val="17"/>
              </w:rPr>
              <w:t xml:space="preserve">Information</w:t>
            </w:r>
          </w:p>
        </w:tc>
        <w:tc>
          <w:tcPr>
            <w:tcW w:type="dxa" w:w="13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w:t>
            </w:r>
          </w:p>
        </w:tc>
        <w:tc>
          <w:tcPr>
            <w:tcW w:type="dxa" w:w="10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sz w:val="17"/>
                <w:szCs w:val="17"/>
              </w:rPr>
              <w:t xml:space="preserve">—</w:t>
            </w:r>
          </w:p>
        </w:tc>
        <w:tc>
          <w:tcPr>
            <w:tcW w:type="dxa" w:w="2038"/>
            <w:shd w:fill="F2F5FB" w:color="auto" w:val="clear"/>
            <w:tcMar>
              <w:top w:type="dxa" w:w="40"/>
              <w:left w:type="dxa" w:w="80"/>
              <w:bottom w:type="dxa" w:w="40"/>
              <w:right w:type="dxa" w:w="80"/>
            </w:tcMar>
          </w:tcPr>
          <w:p>
            <w:pPr>
              <w:spacing w:after="0" w:line="240"/>
            </w:pPr>
            <w:r>
              <w:rPr>
                <w:rFonts w:ascii="Calibri" w:cs="Calibri" w:eastAsia="Calibri" w:hAnsi="Calibri"/>
                <w:sz w:val="15"/>
                <w:szCs w:val="15"/>
              </w:rPr>
              <w:t xml:space="preserve"/>
            </w:r>
          </w:p>
        </w:tc>
      </w:tr>
      <w:tr>
        <w:trPr>
          <w:cantSplit/>
        </w:trPr>
        <w:tc>
          <w:tcPr>
            <w:tcW w:type="dxa" w:w="4000"/>
            <w:tcMar>
              <w:top w:type="dxa" w:w="40"/>
              <w:left w:type="dxa" w:w="80"/>
              <w:bottom w:type="dxa" w:w="40"/>
              <w:right w:type="dxa" w:w="80"/>
            </w:tcMar>
          </w:tcPr>
          <w:p>
            <w:pPr>
              <w:spacing w:after="0" w:line="240"/>
            </w:pPr>
            <w:r>
              <w:rPr>
                <w:rFonts w:ascii="Calibri" w:cs="Calibri" w:eastAsia="Calibri" w:hAnsi="Calibri"/>
                <w:b/>
                <w:bCs/>
                <w:sz w:val="17"/>
                <w:szCs w:val="17"/>
              </w:rPr>
              <w:t xml:space="preserve">Incident de paiement (impayé)</w:t>
            </w:r>
          </w:p>
        </w:tc>
        <w:tc>
          <w:tcPr>
            <w:tcW w:type="dxa" w:w="1300"/>
            <w:tcMar>
              <w:top w:type="dxa" w:w="40"/>
              <w:left w:type="dxa" w:w="80"/>
              <w:bottom w:type="dxa" w:w="40"/>
              <w:right w:type="dxa" w:w="80"/>
            </w:tcMar>
          </w:tcPr>
          <w:p>
            <w:pPr>
              <w:spacing w:after="0" w:line="240"/>
            </w:pPr>
            <w:r>
              <w:rPr>
                <w:rFonts w:ascii="Calibri" w:cs="Calibri" w:eastAsia="Calibri" w:hAnsi="Calibri"/>
                <w:color w:val="C00000"/>
                <w:sz w:val="17"/>
                <w:szCs w:val="17"/>
              </w:rPr>
              <w:t xml:space="preserve">Critique</w:t>
            </w:r>
          </w:p>
        </w:tc>
        <w:tc>
          <w:tcPr>
            <w:tcW w:type="dxa" w:w="1300"/>
            <w:tcMar>
              <w:top w:type="dxa" w:w="40"/>
              <w:left w:type="dxa" w:w="80"/>
              <w:bottom w:type="dxa" w:w="40"/>
              <w:right w:type="dxa" w:w="80"/>
            </w:tcMar>
          </w:tcPr>
          <w:p>
            <w:pPr>
              <w:spacing w:after="0" w:line="240"/>
              <w:jc w:val="center"/>
            </w:pPr>
            <w:r>
              <w:rPr>
                <w:rFonts w:ascii="Calibri" w:cs="Calibri" w:eastAsia="Calibri" w:hAnsi="Calibri"/>
                <w:sz w:val="17"/>
                <w:szCs w:val="17"/>
              </w:rPr>
              <w:t xml:space="preserve">Oui</w:t>
            </w:r>
          </w:p>
        </w:tc>
        <w:tc>
          <w:tcPr>
            <w:tcW w:type="dxa" w:w="1000"/>
            <w:tcMar>
              <w:top w:type="dxa" w:w="40"/>
              <w:left w:type="dxa" w:w="80"/>
              <w:bottom w:type="dxa" w:w="40"/>
              <w:right w:type="dxa" w:w="80"/>
            </w:tcMar>
          </w:tcPr>
          <w:p>
            <w:pPr>
              <w:spacing w:after="0" w:line="240"/>
              <w:jc w:val="center"/>
            </w:pPr>
            <w:r>
              <w:rPr>
                <w:rFonts w:ascii="Calibri" w:cs="Calibri" w:eastAsia="Calibri" w:hAnsi="Calibri"/>
                <w:b w:val="false"/>
                <w:bCs w:val="false"/>
                <w:sz w:val="17"/>
                <w:szCs w:val="17"/>
              </w:rPr>
              <w:t xml:space="preserve">—</w:t>
            </w:r>
          </w:p>
        </w:tc>
        <w:tc>
          <w:tcPr>
            <w:tcW w:type="dxa" w:w="2038"/>
            <w:tcMar>
              <w:top w:type="dxa" w:w="40"/>
              <w:left w:type="dxa" w:w="80"/>
              <w:bottom w:type="dxa" w:w="40"/>
              <w:right w:type="dxa" w:w="80"/>
            </w:tcMar>
          </w:tcPr>
          <w:p>
            <w:pPr>
              <w:spacing w:after="0" w:line="240"/>
            </w:pPr>
            <w:r>
              <w:rPr>
                <w:rFonts w:ascii="Calibri" w:cs="Calibri" w:eastAsia="Calibri" w:hAnsi="Calibri"/>
                <w:sz w:val="15"/>
                <w:szCs w:val="15"/>
              </w:rPr>
              <w:t xml:space="preserve">1/W art.5.1 ; 19/G art.6</w:t>
            </w:r>
          </w:p>
        </w:tc>
      </w:tr>
      <w:tr>
        <w:trPr>
          <w:cantSplit/>
        </w:trPr>
        <w:tc>
          <w:tcPr>
            <w:tcW w:type="dxa" w:w="40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7"/>
                <w:szCs w:val="17"/>
              </w:rPr>
              <w:t xml:space="preserve">Régularisation d'impayé</w:t>
            </w:r>
          </w:p>
        </w:tc>
        <w:tc>
          <w:tcPr>
            <w:tcW w:type="dxa" w:w="1300"/>
            <w:shd w:fill="F2F5FB" w:color="auto" w:val="clear"/>
            <w:tcMar>
              <w:top w:type="dxa" w:w="40"/>
              <w:left w:type="dxa" w:w="80"/>
              <w:bottom w:type="dxa" w:w="40"/>
              <w:right w:type="dxa" w:w="80"/>
            </w:tcMar>
          </w:tcPr>
          <w:p>
            <w:pPr>
              <w:spacing w:after="0" w:line="240"/>
            </w:pPr>
            <w:r>
              <w:rPr>
                <w:rFonts w:ascii="Calibri" w:cs="Calibri" w:eastAsia="Calibri" w:hAnsi="Calibri"/>
                <w:color w:val="595959"/>
                <w:sz w:val="17"/>
                <w:szCs w:val="17"/>
              </w:rPr>
              <w:t xml:space="preserve">Information</w:t>
            </w:r>
          </w:p>
        </w:tc>
        <w:tc>
          <w:tcPr>
            <w:tcW w:type="dxa" w:w="13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Oui</w:t>
            </w:r>
          </w:p>
        </w:tc>
        <w:tc>
          <w:tcPr>
            <w:tcW w:type="dxa" w:w="10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sz w:val="17"/>
                <w:szCs w:val="17"/>
              </w:rPr>
              <w:t xml:space="preserve">—</w:t>
            </w:r>
          </w:p>
        </w:tc>
        <w:tc>
          <w:tcPr>
            <w:tcW w:type="dxa" w:w="2038"/>
            <w:shd w:fill="F2F5FB" w:color="auto" w:val="clear"/>
            <w:tcMar>
              <w:top w:type="dxa" w:w="40"/>
              <w:left w:type="dxa" w:w="80"/>
              <w:bottom w:type="dxa" w:w="40"/>
              <w:right w:type="dxa" w:w="80"/>
            </w:tcMar>
          </w:tcPr>
          <w:p>
            <w:pPr>
              <w:spacing w:after="0" w:line="240"/>
            </w:pPr>
            <w:r>
              <w:rPr>
                <w:rFonts w:ascii="Calibri" w:cs="Calibri" w:eastAsia="Calibri" w:hAnsi="Calibri"/>
                <w:sz w:val="15"/>
                <w:szCs w:val="15"/>
              </w:rPr>
              <w:t xml:space="preserve"/>
            </w:r>
          </w:p>
        </w:tc>
      </w:tr>
      <w:tr>
        <w:trPr>
          <w:cantSplit/>
        </w:trPr>
        <w:tc>
          <w:tcPr>
            <w:tcW w:type="dxa" w:w="4000"/>
            <w:tcMar>
              <w:top w:type="dxa" w:w="40"/>
              <w:left w:type="dxa" w:w="80"/>
              <w:bottom w:type="dxa" w:w="40"/>
              <w:right w:type="dxa" w:w="80"/>
            </w:tcMar>
          </w:tcPr>
          <w:p>
            <w:pPr>
              <w:spacing w:after="0" w:line="240"/>
            </w:pPr>
            <w:r>
              <w:rPr>
                <w:rFonts w:ascii="Calibri" w:cs="Calibri" w:eastAsia="Calibri" w:hAnsi="Calibri"/>
                <w:b w:val="false"/>
                <w:bCs w:val="false"/>
                <w:sz w:val="17"/>
                <w:szCs w:val="17"/>
              </w:rPr>
              <w:t xml:space="preserve">Avenant au crédit</w:t>
            </w:r>
          </w:p>
        </w:tc>
        <w:tc>
          <w:tcPr>
            <w:tcW w:type="dxa" w:w="1300"/>
            <w:tcMar>
              <w:top w:type="dxa" w:w="40"/>
              <w:left w:type="dxa" w:w="80"/>
              <w:bottom w:type="dxa" w:w="40"/>
              <w:right w:type="dxa" w:w="80"/>
            </w:tcMar>
          </w:tcPr>
          <w:p>
            <w:pPr>
              <w:spacing w:after="0" w:line="240"/>
            </w:pPr>
            <w:r>
              <w:rPr>
                <w:rFonts w:ascii="Calibri" w:cs="Calibri" w:eastAsia="Calibri" w:hAnsi="Calibri"/>
                <w:color w:val="B45F06"/>
                <w:sz w:val="17"/>
                <w:szCs w:val="17"/>
              </w:rPr>
              <w:t xml:space="preserve">Vigilance</w:t>
            </w:r>
          </w:p>
        </w:tc>
        <w:tc>
          <w:tcPr>
            <w:tcW w:type="dxa" w:w="1300"/>
            <w:tcMar>
              <w:top w:type="dxa" w:w="40"/>
              <w:left w:type="dxa" w:w="80"/>
              <w:bottom w:type="dxa" w:w="40"/>
              <w:right w:type="dxa" w:w="80"/>
            </w:tcMar>
          </w:tcPr>
          <w:p>
            <w:pPr>
              <w:spacing w:after="0" w:line="240"/>
              <w:jc w:val="center"/>
            </w:pPr>
            <w:r>
              <w:rPr>
                <w:rFonts w:ascii="Calibri" w:cs="Calibri" w:eastAsia="Calibri" w:hAnsi="Calibri"/>
                <w:sz w:val="17"/>
                <w:szCs w:val="17"/>
              </w:rPr>
              <w:t xml:space="preserve">Oui</w:t>
            </w:r>
          </w:p>
        </w:tc>
        <w:tc>
          <w:tcPr>
            <w:tcW w:type="dxa" w:w="1000"/>
            <w:tcMar>
              <w:top w:type="dxa" w:w="40"/>
              <w:left w:type="dxa" w:w="80"/>
              <w:bottom w:type="dxa" w:w="40"/>
              <w:right w:type="dxa" w:w="80"/>
            </w:tcMar>
          </w:tcPr>
          <w:p>
            <w:pPr>
              <w:spacing w:after="0" w:line="240"/>
              <w:jc w:val="center"/>
            </w:pPr>
            <w:r>
              <w:rPr>
                <w:rFonts w:ascii="Calibri" w:cs="Calibri" w:eastAsia="Calibri" w:hAnsi="Calibri"/>
                <w:b/>
                <w:bCs/>
                <w:color w:val="C00000"/>
                <w:sz w:val="17"/>
                <w:szCs w:val="17"/>
              </w:rPr>
              <w:t xml:space="preserve">Oui</w:t>
            </w:r>
          </w:p>
        </w:tc>
        <w:tc>
          <w:tcPr>
            <w:tcW w:type="dxa" w:w="2038"/>
            <w:tcMar>
              <w:top w:type="dxa" w:w="40"/>
              <w:left w:type="dxa" w:w="80"/>
              <w:bottom w:type="dxa" w:w="40"/>
              <w:right w:type="dxa" w:w="80"/>
            </w:tcMar>
          </w:tcPr>
          <w:p>
            <w:pPr>
              <w:spacing w:after="0" w:line="240"/>
            </w:pPr>
            <w:r>
              <w:rPr>
                <w:rFonts w:ascii="Calibri" w:cs="Calibri" w:eastAsia="Calibri" w:hAnsi="Calibri"/>
                <w:sz w:val="15"/>
                <w:szCs w:val="15"/>
              </w:rPr>
              <w:t xml:space="preserve"/>
            </w:r>
          </w:p>
        </w:tc>
      </w:tr>
      <w:tr>
        <w:trPr>
          <w:cantSplit/>
        </w:trPr>
        <w:tc>
          <w:tcPr>
            <w:tcW w:type="dxa" w:w="40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Restructuration de la créance</w:t>
            </w:r>
          </w:p>
        </w:tc>
        <w:tc>
          <w:tcPr>
            <w:tcW w:type="dxa" w:w="1300"/>
            <w:shd w:fill="F2F5FB" w:color="auto" w:val="clear"/>
            <w:tcMar>
              <w:top w:type="dxa" w:w="40"/>
              <w:left w:type="dxa" w:w="80"/>
              <w:bottom w:type="dxa" w:w="40"/>
              <w:right w:type="dxa" w:w="80"/>
            </w:tcMar>
          </w:tcPr>
          <w:p>
            <w:pPr>
              <w:spacing w:after="0" w:line="240"/>
            </w:pPr>
            <w:r>
              <w:rPr>
                <w:rFonts w:ascii="Calibri" w:cs="Calibri" w:eastAsia="Calibri" w:hAnsi="Calibri"/>
                <w:color w:val="C00000"/>
                <w:sz w:val="17"/>
                <w:szCs w:val="17"/>
              </w:rPr>
              <w:t xml:space="preserve">Critique</w:t>
            </w:r>
          </w:p>
        </w:tc>
        <w:tc>
          <w:tcPr>
            <w:tcW w:type="dxa" w:w="13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Oui</w:t>
            </w:r>
          </w:p>
        </w:tc>
        <w:tc>
          <w:tcPr>
            <w:tcW w:type="dxa" w:w="1000"/>
            <w:shd w:fill="F2F5FB" w:color="auto" w:val="clear"/>
            <w:tcMar>
              <w:top w:type="dxa" w:w="40"/>
              <w:left w:type="dxa" w:w="80"/>
              <w:bottom w:type="dxa" w:w="40"/>
              <w:right w:type="dxa" w:w="80"/>
            </w:tcMar>
          </w:tcPr>
          <w:p>
            <w:pPr>
              <w:spacing w:after="0" w:line="240"/>
              <w:jc w:val="center"/>
            </w:pPr>
            <w:r>
              <w:rPr>
                <w:rFonts w:ascii="Calibri" w:cs="Calibri" w:eastAsia="Calibri" w:hAnsi="Calibri"/>
                <w:b/>
                <w:bCs/>
                <w:color w:val="C00000"/>
                <w:sz w:val="17"/>
                <w:szCs w:val="17"/>
              </w:rPr>
              <w:t xml:space="preserve">Oui</w:t>
            </w:r>
          </w:p>
        </w:tc>
        <w:tc>
          <w:tcPr>
            <w:tcW w:type="dxa" w:w="2038"/>
            <w:shd w:fill="F2F5FB" w:color="auto" w:val="clear"/>
            <w:tcMar>
              <w:top w:type="dxa" w:w="40"/>
              <w:left w:type="dxa" w:w="80"/>
              <w:bottom w:type="dxa" w:w="40"/>
              <w:right w:type="dxa" w:w="80"/>
            </w:tcMar>
          </w:tcPr>
          <w:p>
            <w:pPr>
              <w:spacing w:after="0" w:line="240"/>
            </w:pPr>
            <w:r>
              <w:rPr>
                <w:rFonts w:ascii="Calibri" w:cs="Calibri" w:eastAsia="Calibri" w:hAnsi="Calibri"/>
                <w:sz w:val="15"/>
                <w:szCs w:val="15"/>
              </w:rPr>
              <w:t xml:space="preserve">1/W art.17-31</w:t>
            </w:r>
          </w:p>
        </w:tc>
      </w:tr>
      <w:tr>
        <w:trPr>
          <w:cantSplit/>
        </w:trPr>
        <w:tc>
          <w:tcPr>
            <w:tcW w:type="dxa" w:w="4000"/>
            <w:tcMar>
              <w:top w:type="dxa" w:w="40"/>
              <w:left w:type="dxa" w:w="80"/>
              <w:bottom w:type="dxa" w:w="40"/>
              <w:right w:type="dxa" w:w="80"/>
            </w:tcMar>
          </w:tcPr>
          <w:p>
            <w:pPr>
              <w:spacing w:after="0" w:line="240"/>
            </w:pPr>
            <w:r>
              <w:rPr>
                <w:rFonts w:ascii="Calibri" w:cs="Calibri" w:eastAsia="Calibri" w:hAnsi="Calibri"/>
                <w:b/>
                <w:bCs/>
                <w:sz w:val="17"/>
                <w:szCs w:val="17"/>
              </w:rPr>
              <w:t xml:space="preserve">Consolidation de dettes</w:t>
            </w:r>
          </w:p>
        </w:tc>
        <w:tc>
          <w:tcPr>
            <w:tcW w:type="dxa" w:w="1300"/>
            <w:tcMar>
              <w:top w:type="dxa" w:w="40"/>
              <w:left w:type="dxa" w:w="80"/>
              <w:bottom w:type="dxa" w:w="40"/>
              <w:right w:type="dxa" w:w="80"/>
            </w:tcMar>
          </w:tcPr>
          <w:p>
            <w:pPr>
              <w:spacing w:after="0" w:line="240"/>
            </w:pPr>
            <w:r>
              <w:rPr>
                <w:rFonts w:ascii="Calibri" w:cs="Calibri" w:eastAsia="Calibri" w:hAnsi="Calibri"/>
                <w:color w:val="C00000"/>
                <w:sz w:val="17"/>
                <w:szCs w:val="17"/>
              </w:rPr>
              <w:t xml:space="preserve">Critique</w:t>
            </w:r>
          </w:p>
        </w:tc>
        <w:tc>
          <w:tcPr>
            <w:tcW w:type="dxa" w:w="1300"/>
            <w:tcMar>
              <w:top w:type="dxa" w:w="40"/>
              <w:left w:type="dxa" w:w="80"/>
              <w:bottom w:type="dxa" w:w="40"/>
              <w:right w:type="dxa" w:w="80"/>
            </w:tcMar>
          </w:tcPr>
          <w:p>
            <w:pPr>
              <w:spacing w:after="0" w:line="240"/>
              <w:jc w:val="center"/>
            </w:pPr>
            <w:r>
              <w:rPr>
                <w:rFonts w:ascii="Calibri" w:cs="Calibri" w:eastAsia="Calibri" w:hAnsi="Calibri"/>
                <w:sz w:val="17"/>
                <w:szCs w:val="17"/>
              </w:rPr>
              <w:t xml:space="preserve">Oui</w:t>
            </w:r>
          </w:p>
        </w:tc>
        <w:tc>
          <w:tcPr>
            <w:tcW w:type="dxa" w:w="1000"/>
            <w:tcMar>
              <w:top w:type="dxa" w:w="40"/>
              <w:left w:type="dxa" w:w="80"/>
              <w:bottom w:type="dxa" w:w="40"/>
              <w:right w:type="dxa" w:w="80"/>
            </w:tcMar>
          </w:tcPr>
          <w:p>
            <w:pPr>
              <w:spacing w:after="0" w:line="240"/>
              <w:jc w:val="center"/>
            </w:pPr>
            <w:r>
              <w:rPr>
                <w:rFonts w:ascii="Calibri" w:cs="Calibri" w:eastAsia="Calibri" w:hAnsi="Calibri"/>
                <w:b/>
                <w:bCs/>
                <w:color w:val="C00000"/>
                <w:sz w:val="17"/>
                <w:szCs w:val="17"/>
              </w:rPr>
              <w:t xml:space="preserve">Oui</w:t>
            </w:r>
          </w:p>
        </w:tc>
        <w:tc>
          <w:tcPr>
            <w:tcW w:type="dxa" w:w="2038"/>
            <w:tcMar>
              <w:top w:type="dxa" w:w="40"/>
              <w:left w:type="dxa" w:w="80"/>
              <w:bottom w:type="dxa" w:w="40"/>
              <w:right w:type="dxa" w:w="80"/>
            </w:tcMar>
          </w:tcPr>
          <w:p>
            <w:pPr>
              <w:spacing w:after="0" w:line="240"/>
            </w:pPr>
            <w:r>
              <w:rPr>
                <w:rFonts w:ascii="Calibri" w:cs="Calibri" w:eastAsia="Calibri" w:hAnsi="Calibri"/>
                <w:sz w:val="15"/>
                <w:szCs w:val="15"/>
              </w:rPr>
              <w:t xml:space="preserve">1/W art.17-31</w:t>
            </w:r>
          </w:p>
        </w:tc>
      </w:tr>
      <w:tr>
        <w:trPr>
          <w:cantSplit/>
        </w:trPr>
        <w:tc>
          <w:tcPr>
            <w:tcW w:type="dxa" w:w="40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Reprofilage / rééchelonnement de la dette</w:t>
            </w:r>
          </w:p>
        </w:tc>
        <w:tc>
          <w:tcPr>
            <w:tcW w:type="dxa" w:w="1300"/>
            <w:shd w:fill="F2F5FB" w:color="auto" w:val="clear"/>
            <w:tcMar>
              <w:top w:type="dxa" w:w="40"/>
              <w:left w:type="dxa" w:w="80"/>
              <w:bottom w:type="dxa" w:w="40"/>
              <w:right w:type="dxa" w:w="80"/>
            </w:tcMar>
          </w:tcPr>
          <w:p>
            <w:pPr>
              <w:spacing w:after="0" w:line="240"/>
            </w:pPr>
            <w:r>
              <w:rPr>
                <w:rFonts w:ascii="Calibri" w:cs="Calibri" w:eastAsia="Calibri" w:hAnsi="Calibri"/>
                <w:color w:val="C00000"/>
                <w:sz w:val="17"/>
                <w:szCs w:val="17"/>
              </w:rPr>
              <w:t xml:space="preserve">Critique</w:t>
            </w:r>
          </w:p>
        </w:tc>
        <w:tc>
          <w:tcPr>
            <w:tcW w:type="dxa" w:w="13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Oui</w:t>
            </w:r>
          </w:p>
        </w:tc>
        <w:tc>
          <w:tcPr>
            <w:tcW w:type="dxa" w:w="1000"/>
            <w:shd w:fill="F2F5FB" w:color="auto" w:val="clear"/>
            <w:tcMar>
              <w:top w:type="dxa" w:w="40"/>
              <w:left w:type="dxa" w:w="80"/>
              <w:bottom w:type="dxa" w:w="40"/>
              <w:right w:type="dxa" w:w="80"/>
            </w:tcMar>
          </w:tcPr>
          <w:p>
            <w:pPr>
              <w:spacing w:after="0" w:line="240"/>
              <w:jc w:val="center"/>
            </w:pPr>
            <w:r>
              <w:rPr>
                <w:rFonts w:ascii="Calibri" w:cs="Calibri" w:eastAsia="Calibri" w:hAnsi="Calibri"/>
                <w:b/>
                <w:bCs/>
                <w:color w:val="C00000"/>
                <w:sz w:val="17"/>
                <w:szCs w:val="17"/>
              </w:rPr>
              <w:t xml:space="preserve">Oui</w:t>
            </w:r>
          </w:p>
        </w:tc>
        <w:tc>
          <w:tcPr>
            <w:tcW w:type="dxa" w:w="2038"/>
            <w:shd w:fill="F2F5FB" w:color="auto" w:val="clear"/>
            <w:tcMar>
              <w:top w:type="dxa" w:w="40"/>
              <w:left w:type="dxa" w:w="80"/>
              <w:bottom w:type="dxa" w:w="40"/>
              <w:right w:type="dxa" w:w="80"/>
            </w:tcMar>
          </w:tcPr>
          <w:p>
            <w:pPr>
              <w:spacing w:after="0" w:line="240"/>
            </w:pPr>
            <w:r>
              <w:rPr>
                <w:rFonts w:ascii="Calibri" w:cs="Calibri" w:eastAsia="Calibri" w:hAnsi="Calibri"/>
                <w:sz w:val="15"/>
                <w:szCs w:val="15"/>
              </w:rPr>
              <w:t xml:space="preserve">1/W art.17-31</w:t>
            </w:r>
          </w:p>
        </w:tc>
      </w:tr>
      <w:tr>
        <w:trPr>
          <w:cantSplit/>
        </w:trPr>
        <w:tc>
          <w:tcPr>
            <w:tcW w:type="dxa" w:w="4000"/>
            <w:tcMar>
              <w:top w:type="dxa" w:w="40"/>
              <w:left w:type="dxa" w:w="80"/>
              <w:bottom w:type="dxa" w:w="40"/>
              <w:right w:type="dxa" w:w="80"/>
            </w:tcMar>
          </w:tcPr>
          <w:p>
            <w:pPr>
              <w:spacing w:after="0" w:line="240"/>
            </w:pPr>
            <w:r>
              <w:rPr>
                <w:rFonts w:ascii="Calibri" w:cs="Calibri" w:eastAsia="Calibri" w:hAnsi="Calibri"/>
                <w:b/>
                <w:bCs/>
                <w:sz w:val="17"/>
                <w:szCs w:val="17"/>
              </w:rPr>
              <w:t xml:space="preserve">Arrêt de chantier</w:t>
            </w:r>
          </w:p>
        </w:tc>
        <w:tc>
          <w:tcPr>
            <w:tcW w:type="dxa" w:w="1300"/>
            <w:tcMar>
              <w:top w:type="dxa" w:w="40"/>
              <w:left w:type="dxa" w:w="80"/>
              <w:bottom w:type="dxa" w:w="40"/>
              <w:right w:type="dxa" w:w="80"/>
            </w:tcMar>
          </w:tcPr>
          <w:p>
            <w:pPr>
              <w:spacing w:after="0" w:line="240"/>
            </w:pPr>
            <w:r>
              <w:rPr>
                <w:rFonts w:ascii="Calibri" w:cs="Calibri" w:eastAsia="Calibri" w:hAnsi="Calibri"/>
                <w:color w:val="C00000"/>
                <w:sz w:val="17"/>
                <w:szCs w:val="17"/>
              </w:rPr>
              <w:t xml:space="preserve">Critique</w:t>
            </w:r>
          </w:p>
        </w:tc>
        <w:tc>
          <w:tcPr>
            <w:tcW w:type="dxa" w:w="1300"/>
            <w:tcMar>
              <w:top w:type="dxa" w:w="40"/>
              <w:left w:type="dxa" w:w="80"/>
              <w:bottom w:type="dxa" w:w="40"/>
              <w:right w:type="dxa" w:w="80"/>
            </w:tcMar>
          </w:tcPr>
          <w:p>
            <w:pPr>
              <w:spacing w:after="0" w:line="240"/>
              <w:jc w:val="center"/>
            </w:pPr>
            <w:r>
              <w:rPr>
                <w:rFonts w:ascii="Calibri" w:cs="Calibri" w:eastAsia="Calibri" w:hAnsi="Calibri"/>
                <w:sz w:val="17"/>
                <w:szCs w:val="17"/>
              </w:rPr>
              <w:t xml:space="preserve">Oui</w:t>
            </w:r>
          </w:p>
        </w:tc>
        <w:tc>
          <w:tcPr>
            <w:tcW w:type="dxa" w:w="1000"/>
            <w:tcMar>
              <w:top w:type="dxa" w:w="40"/>
              <w:left w:type="dxa" w:w="80"/>
              <w:bottom w:type="dxa" w:w="40"/>
              <w:right w:type="dxa" w:w="80"/>
            </w:tcMar>
          </w:tcPr>
          <w:p>
            <w:pPr>
              <w:spacing w:after="0" w:line="240"/>
              <w:jc w:val="center"/>
            </w:pPr>
            <w:r>
              <w:rPr>
                <w:rFonts w:ascii="Calibri" w:cs="Calibri" w:eastAsia="Calibri" w:hAnsi="Calibri"/>
                <w:b/>
                <w:bCs/>
                <w:color w:val="C00000"/>
                <w:sz w:val="17"/>
                <w:szCs w:val="17"/>
              </w:rPr>
              <w:t xml:space="preserve">Oui</w:t>
            </w:r>
          </w:p>
        </w:tc>
        <w:tc>
          <w:tcPr>
            <w:tcW w:type="dxa" w:w="2038"/>
            <w:tcMar>
              <w:top w:type="dxa" w:w="40"/>
              <w:left w:type="dxa" w:w="80"/>
              <w:bottom w:type="dxa" w:w="40"/>
              <w:right w:type="dxa" w:w="80"/>
            </w:tcMar>
          </w:tcPr>
          <w:p>
            <w:pPr>
              <w:spacing w:after="0" w:line="240"/>
            </w:pPr>
            <w:r>
              <w:rPr>
                <w:rFonts w:ascii="Calibri" w:cs="Calibri" w:eastAsia="Calibri" w:hAnsi="Calibri"/>
                <w:sz w:val="15"/>
                <w:szCs w:val="15"/>
              </w:rPr>
              <w:t xml:space="preserve">1/W art.12.7</w:t>
            </w:r>
          </w:p>
        </w:tc>
      </w:tr>
      <w:tr>
        <w:trPr>
          <w:cantSplit/>
        </w:trPr>
        <w:tc>
          <w:tcPr>
            <w:tcW w:type="dxa" w:w="40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7"/>
                <w:szCs w:val="17"/>
              </w:rPr>
              <w:t xml:space="preserve">Reprise de chantier</w:t>
            </w:r>
          </w:p>
        </w:tc>
        <w:tc>
          <w:tcPr>
            <w:tcW w:type="dxa" w:w="1300"/>
            <w:shd w:fill="F2F5FB" w:color="auto" w:val="clear"/>
            <w:tcMar>
              <w:top w:type="dxa" w:w="40"/>
              <w:left w:type="dxa" w:w="80"/>
              <w:bottom w:type="dxa" w:w="40"/>
              <w:right w:type="dxa" w:w="80"/>
            </w:tcMar>
          </w:tcPr>
          <w:p>
            <w:pPr>
              <w:spacing w:after="0" w:line="240"/>
            </w:pPr>
            <w:r>
              <w:rPr>
                <w:rFonts w:ascii="Calibri" w:cs="Calibri" w:eastAsia="Calibri" w:hAnsi="Calibri"/>
                <w:color w:val="595959"/>
                <w:sz w:val="17"/>
                <w:szCs w:val="17"/>
              </w:rPr>
              <w:t xml:space="preserve">Information</w:t>
            </w:r>
          </w:p>
        </w:tc>
        <w:tc>
          <w:tcPr>
            <w:tcW w:type="dxa" w:w="13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Oui</w:t>
            </w:r>
          </w:p>
        </w:tc>
        <w:tc>
          <w:tcPr>
            <w:tcW w:type="dxa" w:w="10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sz w:val="17"/>
                <w:szCs w:val="17"/>
              </w:rPr>
              <w:t xml:space="preserve">—</w:t>
            </w:r>
          </w:p>
        </w:tc>
        <w:tc>
          <w:tcPr>
            <w:tcW w:type="dxa" w:w="2038"/>
            <w:shd w:fill="F2F5FB" w:color="auto" w:val="clear"/>
            <w:tcMar>
              <w:top w:type="dxa" w:w="40"/>
              <w:left w:type="dxa" w:w="80"/>
              <w:bottom w:type="dxa" w:w="40"/>
              <w:right w:type="dxa" w:w="80"/>
            </w:tcMar>
          </w:tcPr>
          <w:p>
            <w:pPr>
              <w:spacing w:after="0" w:line="240"/>
            </w:pPr>
            <w:r>
              <w:rPr>
                <w:rFonts w:ascii="Calibri" w:cs="Calibri" w:eastAsia="Calibri" w:hAnsi="Calibri"/>
                <w:sz w:val="15"/>
                <w:szCs w:val="15"/>
              </w:rPr>
              <w:t xml:space="preserve"/>
            </w:r>
          </w:p>
        </w:tc>
      </w:tr>
      <w:tr>
        <w:trPr>
          <w:cantSplit/>
        </w:trPr>
        <w:tc>
          <w:tcPr>
            <w:tcW w:type="dxa" w:w="4000"/>
            <w:tcMar>
              <w:top w:type="dxa" w:w="40"/>
              <w:left w:type="dxa" w:w="80"/>
              <w:bottom w:type="dxa" w:w="40"/>
              <w:right w:type="dxa" w:w="80"/>
            </w:tcMar>
          </w:tcPr>
          <w:p>
            <w:pPr>
              <w:spacing w:after="0" w:line="240"/>
            </w:pPr>
            <w:r>
              <w:rPr>
                <w:rFonts w:ascii="Calibri" w:cs="Calibri" w:eastAsia="Calibri" w:hAnsi="Calibri"/>
                <w:b w:val="false"/>
                <w:bCs w:val="false"/>
                <w:sz w:val="17"/>
                <w:szCs w:val="17"/>
              </w:rPr>
              <w:t xml:space="preserve">Problème administratif / blocage autorisation</w:t>
            </w:r>
          </w:p>
        </w:tc>
        <w:tc>
          <w:tcPr>
            <w:tcW w:type="dxa" w:w="1300"/>
            <w:tcMar>
              <w:top w:type="dxa" w:w="40"/>
              <w:left w:type="dxa" w:w="80"/>
              <w:bottom w:type="dxa" w:w="40"/>
              <w:right w:type="dxa" w:w="80"/>
            </w:tcMar>
          </w:tcPr>
          <w:p>
            <w:pPr>
              <w:spacing w:after="0" w:line="240"/>
            </w:pPr>
            <w:r>
              <w:rPr>
                <w:rFonts w:ascii="Calibri" w:cs="Calibri" w:eastAsia="Calibri" w:hAnsi="Calibri"/>
                <w:color w:val="B45F06"/>
                <w:sz w:val="17"/>
                <w:szCs w:val="17"/>
              </w:rPr>
              <w:t xml:space="preserve">Vigilance</w:t>
            </w:r>
          </w:p>
        </w:tc>
        <w:tc>
          <w:tcPr>
            <w:tcW w:type="dxa" w:w="1300"/>
            <w:tcMar>
              <w:top w:type="dxa" w:w="40"/>
              <w:left w:type="dxa" w:w="80"/>
              <w:bottom w:type="dxa" w:w="40"/>
              <w:right w:type="dxa" w:w="80"/>
            </w:tcMar>
          </w:tcPr>
          <w:p>
            <w:pPr>
              <w:spacing w:after="0" w:line="240"/>
              <w:jc w:val="center"/>
            </w:pPr>
            <w:r>
              <w:rPr>
                <w:rFonts w:ascii="Calibri" w:cs="Calibri" w:eastAsia="Calibri" w:hAnsi="Calibri"/>
                <w:sz w:val="17"/>
                <w:szCs w:val="17"/>
              </w:rPr>
              <w:t xml:space="preserve">Oui</w:t>
            </w:r>
          </w:p>
        </w:tc>
        <w:tc>
          <w:tcPr>
            <w:tcW w:type="dxa" w:w="1000"/>
            <w:tcMar>
              <w:top w:type="dxa" w:w="40"/>
              <w:left w:type="dxa" w:w="80"/>
              <w:bottom w:type="dxa" w:w="40"/>
              <w:right w:type="dxa" w:w="80"/>
            </w:tcMar>
          </w:tcPr>
          <w:p>
            <w:pPr>
              <w:spacing w:after="0" w:line="240"/>
              <w:jc w:val="center"/>
            </w:pPr>
            <w:r>
              <w:rPr>
                <w:rFonts w:ascii="Calibri" w:cs="Calibri" w:eastAsia="Calibri" w:hAnsi="Calibri"/>
                <w:b w:val="false"/>
                <w:bCs w:val="false"/>
                <w:sz w:val="17"/>
                <w:szCs w:val="17"/>
              </w:rPr>
              <w:t xml:space="preserve">—</w:t>
            </w:r>
          </w:p>
        </w:tc>
        <w:tc>
          <w:tcPr>
            <w:tcW w:type="dxa" w:w="2038"/>
            <w:tcMar>
              <w:top w:type="dxa" w:w="40"/>
              <w:left w:type="dxa" w:w="80"/>
              <w:bottom w:type="dxa" w:w="40"/>
              <w:right w:type="dxa" w:w="80"/>
            </w:tcMar>
          </w:tcPr>
          <w:p>
            <w:pPr>
              <w:spacing w:after="0" w:line="240"/>
            </w:pPr>
            <w:r>
              <w:rPr>
                <w:rFonts w:ascii="Calibri" w:cs="Calibri" w:eastAsia="Calibri" w:hAnsi="Calibri"/>
                <w:sz w:val="15"/>
                <w:szCs w:val="15"/>
              </w:rPr>
              <w:t xml:space="preserve">1/W art.5.3</w:t>
            </w:r>
          </w:p>
        </w:tc>
      </w:tr>
      <w:tr>
        <w:trPr>
          <w:cantSplit/>
        </w:trPr>
        <w:tc>
          <w:tcPr>
            <w:tcW w:type="dxa" w:w="40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7"/>
                <w:szCs w:val="17"/>
              </w:rPr>
              <w:t xml:space="preserve">Obtention d'autorisation / permis</w:t>
            </w:r>
          </w:p>
        </w:tc>
        <w:tc>
          <w:tcPr>
            <w:tcW w:type="dxa" w:w="1300"/>
            <w:shd w:fill="F2F5FB" w:color="auto" w:val="clear"/>
            <w:tcMar>
              <w:top w:type="dxa" w:w="40"/>
              <w:left w:type="dxa" w:w="80"/>
              <w:bottom w:type="dxa" w:w="40"/>
              <w:right w:type="dxa" w:w="80"/>
            </w:tcMar>
          </w:tcPr>
          <w:p>
            <w:pPr>
              <w:spacing w:after="0" w:line="240"/>
            </w:pPr>
            <w:r>
              <w:rPr>
                <w:rFonts w:ascii="Calibri" w:cs="Calibri" w:eastAsia="Calibri" w:hAnsi="Calibri"/>
                <w:color w:val="595959"/>
                <w:sz w:val="17"/>
                <w:szCs w:val="17"/>
              </w:rPr>
              <w:t xml:space="preserve">Information</w:t>
            </w:r>
          </w:p>
        </w:tc>
        <w:tc>
          <w:tcPr>
            <w:tcW w:type="dxa" w:w="13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w:t>
            </w:r>
          </w:p>
        </w:tc>
        <w:tc>
          <w:tcPr>
            <w:tcW w:type="dxa" w:w="10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sz w:val="17"/>
                <w:szCs w:val="17"/>
              </w:rPr>
              <w:t xml:space="preserve">—</w:t>
            </w:r>
          </w:p>
        </w:tc>
        <w:tc>
          <w:tcPr>
            <w:tcW w:type="dxa" w:w="2038"/>
            <w:shd w:fill="F2F5FB" w:color="auto" w:val="clear"/>
            <w:tcMar>
              <w:top w:type="dxa" w:w="40"/>
              <w:left w:type="dxa" w:w="80"/>
              <w:bottom w:type="dxa" w:w="40"/>
              <w:right w:type="dxa" w:w="80"/>
            </w:tcMar>
          </w:tcPr>
          <w:p>
            <w:pPr>
              <w:spacing w:after="0" w:line="240"/>
            </w:pPr>
            <w:r>
              <w:rPr>
                <w:rFonts w:ascii="Calibri" w:cs="Calibri" w:eastAsia="Calibri" w:hAnsi="Calibri"/>
                <w:sz w:val="15"/>
                <w:szCs w:val="15"/>
              </w:rPr>
              <w:t xml:space="preserve"/>
            </w:r>
          </w:p>
        </w:tc>
      </w:tr>
      <w:tr>
        <w:trPr>
          <w:cantSplit/>
        </w:trPr>
        <w:tc>
          <w:tcPr>
            <w:tcW w:type="dxa" w:w="4000"/>
            <w:tcMar>
              <w:top w:type="dxa" w:w="40"/>
              <w:left w:type="dxa" w:w="80"/>
              <w:bottom w:type="dxa" w:w="40"/>
              <w:right w:type="dxa" w:w="80"/>
            </w:tcMar>
          </w:tcPr>
          <w:p>
            <w:pPr>
              <w:spacing w:after="0" w:line="240"/>
            </w:pPr>
            <w:r>
              <w:rPr>
                <w:rFonts w:ascii="Calibri" w:cs="Calibri" w:eastAsia="Calibri" w:hAnsi="Calibri"/>
                <w:b w:val="false"/>
                <w:bCs w:val="false"/>
                <w:sz w:val="17"/>
                <w:szCs w:val="17"/>
              </w:rPr>
              <w:t xml:space="preserve">Réception des travaux (tranche/projet)</w:t>
            </w:r>
          </w:p>
        </w:tc>
        <w:tc>
          <w:tcPr>
            <w:tcW w:type="dxa" w:w="1300"/>
            <w:tcMar>
              <w:top w:type="dxa" w:w="40"/>
              <w:left w:type="dxa" w:w="80"/>
              <w:bottom w:type="dxa" w:w="40"/>
              <w:right w:type="dxa" w:w="80"/>
            </w:tcMar>
          </w:tcPr>
          <w:p>
            <w:pPr>
              <w:spacing w:after="0" w:line="240"/>
            </w:pPr>
            <w:r>
              <w:rPr>
                <w:rFonts w:ascii="Calibri" w:cs="Calibri" w:eastAsia="Calibri" w:hAnsi="Calibri"/>
                <w:color w:val="595959"/>
                <w:sz w:val="17"/>
                <w:szCs w:val="17"/>
              </w:rPr>
              <w:t xml:space="preserve">Information</w:t>
            </w:r>
          </w:p>
        </w:tc>
        <w:tc>
          <w:tcPr>
            <w:tcW w:type="dxa" w:w="1300"/>
            <w:tcMar>
              <w:top w:type="dxa" w:w="40"/>
              <w:left w:type="dxa" w:w="80"/>
              <w:bottom w:type="dxa" w:w="40"/>
              <w:right w:type="dxa" w:w="80"/>
            </w:tcMar>
          </w:tcPr>
          <w:p>
            <w:pPr>
              <w:spacing w:after="0" w:line="240"/>
              <w:jc w:val="center"/>
            </w:pPr>
            <w:r>
              <w:rPr>
                <w:rFonts w:ascii="Calibri" w:cs="Calibri" w:eastAsia="Calibri" w:hAnsi="Calibri"/>
                <w:sz w:val="17"/>
                <w:szCs w:val="17"/>
              </w:rPr>
              <w:t xml:space="preserve">—</w:t>
            </w:r>
          </w:p>
        </w:tc>
        <w:tc>
          <w:tcPr>
            <w:tcW w:type="dxa" w:w="1000"/>
            <w:tcMar>
              <w:top w:type="dxa" w:w="40"/>
              <w:left w:type="dxa" w:w="80"/>
              <w:bottom w:type="dxa" w:w="40"/>
              <w:right w:type="dxa" w:w="80"/>
            </w:tcMar>
          </w:tcPr>
          <w:p>
            <w:pPr>
              <w:spacing w:after="0" w:line="240"/>
              <w:jc w:val="center"/>
            </w:pPr>
            <w:r>
              <w:rPr>
                <w:rFonts w:ascii="Calibri" w:cs="Calibri" w:eastAsia="Calibri" w:hAnsi="Calibri"/>
                <w:b w:val="false"/>
                <w:bCs w:val="false"/>
                <w:sz w:val="17"/>
                <w:szCs w:val="17"/>
              </w:rPr>
              <w:t xml:space="preserve">—</w:t>
            </w:r>
          </w:p>
        </w:tc>
        <w:tc>
          <w:tcPr>
            <w:tcW w:type="dxa" w:w="2038"/>
            <w:tcMar>
              <w:top w:type="dxa" w:w="40"/>
              <w:left w:type="dxa" w:w="80"/>
              <w:bottom w:type="dxa" w:w="40"/>
              <w:right w:type="dxa" w:w="80"/>
            </w:tcMar>
          </w:tcPr>
          <w:p>
            <w:pPr>
              <w:spacing w:after="0" w:line="240"/>
            </w:pPr>
            <w:r>
              <w:rPr>
                <w:rFonts w:ascii="Calibri" w:cs="Calibri" w:eastAsia="Calibri" w:hAnsi="Calibri"/>
                <w:sz w:val="15"/>
                <w:szCs w:val="15"/>
              </w:rPr>
              <w:t xml:space="preserve"/>
            </w:r>
          </w:p>
        </w:tc>
      </w:tr>
      <w:tr>
        <w:trPr>
          <w:cantSplit/>
        </w:trPr>
        <w:tc>
          <w:tcPr>
            <w:tcW w:type="dxa" w:w="40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7"/>
                <w:szCs w:val="17"/>
              </w:rPr>
              <w:t xml:space="preserve">Lancement de la commercialisation</w:t>
            </w:r>
          </w:p>
        </w:tc>
        <w:tc>
          <w:tcPr>
            <w:tcW w:type="dxa" w:w="1300"/>
            <w:shd w:fill="F2F5FB" w:color="auto" w:val="clear"/>
            <w:tcMar>
              <w:top w:type="dxa" w:w="40"/>
              <w:left w:type="dxa" w:w="80"/>
              <w:bottom w:type="dxa" w:w="40"/>
              <w:right w:type="dxa" w:w="80"/>
            </w:tcMar>
          </w:tcPr>
          <w:p>
            <w:pPr>
              <w:spacing w:after="0" w:line="240"/>
            </w:pPr>
            <w:r>
              <w:rPr>
                <w:rFonts w:ascii="Calibri" w:cs="Calibri" w:eastAsia="Calibri" w:hAnsi="Calibri"/>
                <w:color w:val="595959"/>
                <w:sz w:val="17"/>
                <w:szCs w:val="17"/>
              </w:rPr>
              <w:t xml:space="preserve">Information</w:t>
            </w:r>
          </w:p>
        </w:tc>
        <w:tc>
          <w:tcPr>
            <w:tcW w:type="dxa" w:w="13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w:t>
            </w:r>
          </w:p>
        </w:tc>
        <w:tc>
          <w:tcPr>
            <w:tcW w:type="dxa" w:w="10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sz w:val="17"/>
                <w:szCs w:val="17"/>
              </w:rPr>
              <w:t xml:space="preserve">—</w:t>
            </w:r>
          </w:p>
        </w:tc>
        <w:tc>
          <w:tcPr>
            <w:tcW w:type="dxa" w:w="2038"/>
            <w:shd w:fill="F2F5FB" w:color="auto" w:val="clear"/>
            <w:tcMar>
              <w:top w:type="dxa" w:w="40"/>
              <w:left w:type="dxa" w:w="80"/>
              <w:bottom w:type="dxa" w:w="40"/>
              <w:right w:type="dxa" w:w="80"/>
            </w:tcMar>
          </w:tcPr>
          <w:p>
            <w:pPr>
              <w:spacing w:after="0" w:line="240"/>
            </w:pPr>
            <w:r>
              <w:rPr>
                <w:rFonts w:ascii="Calibri" w:cs="Calibri" w:eastAsia="Calibri" w:hAnsi="Calibri"/>
                <w:sz w:val="15"/>
                <w:szCs w:val="15"/>
              </w:rPr>
              <w:t xml:space="preserve"/>
            </w:r>
          </w:p>
        </w:tc>
      </w:tr>
      <w:tr>
        <w:trPr>
          <w:cantSplit/>
        </w:trPr>
        <w:tc>
          <w:tcPr>
            <w:tcW w:type="dxa" w:w="4000"/>
            <w:tcMar>
              <w:top w:type="dxa" w:w="40"/>
              <w:left w:type="dxa" w:w="80"/>
              <w:bottom w:type="dxa" w:w="40"/>
              <w:right w:type="dxa" w:w="80"/>
            </w:tcMar>
          </w:tcPr>
          <w:p>
            <w:pPr>
              <w:spacing w:after="0" w:line="240"/>
            </w:pPr>
            <w:r>
              <w:rPr>
                <w:rFonts w:ascii="Calibri" w:cs="Calibri" w:eastAsia="Calibri" w:hAnsi="Calibri"/>
                <w:b w:val="false"/>
                <w:bCs w:val="false"/>
                <w:sz w:val="17"/>
                <w:szCs w:val="17"/>
              </w:rPr>
              <w:t xml:space="preserve">Événement commercial notable</w:t>
            </w:r>
          </w:p>
        </w:tc>
        <w:tc>
          <w:tcPr>
            <w:tcW w:type="dxa" w:w="1300"/>
            <w:tcMar>
              <w:top w:type="dxa" w:w="40"/>
              <w:left w:type="dxa" w:w="80"/>
              <w:bottom w:type="dxa" w:w="40"/>
              <w:right w:type="dxa" w:w="80"/>
            </w:tcMar>
          </w:tcPr>
          <w:p>
            <w:pPr>
              <w:spacing w:after="0" w:line="240"/>
            </w:pPr>
            <w:r>
              <w:rPr>
                <w:rFonts w:ascii="Calibri" w:cs="Calibri" w:eastAsia="Calibri" w:hAnsi="Calibri"/>
                <w:color w:val="595959"/>
                <w:sz w:val="17"/>
                <w:szCs w:val="17"/>
              </w:rPr>
              <w:t xml:space="preserve">Information</w:t>
            </w:r>
          </w:p>
        </w:tc>
        <w:tc>
          <w:tcPr>
            <w:tcW w:type="dxa" w:w="1300"/>
            <w:tcMar>
              <w:top w:type="dxa" w:w="40"/>
              <w:left w:type="dxa" w:w="80"/>
              <w:bottom w:type="dxa" w:w="40"/>
              <w:right w:type="dxa" w:w="80"/>
            </w:tcMar>
          </w:tcPr>
          <w:p>
            <w:pPr>
              <w:spacing w:after="0" w:line="240"/>
              <w:jc w:val="center"/>
            </w:pPr>
            <w:r>
              <w:rPr>
                <w:rFonts w:ascii="Calibri" w:cs="Calibri" w:eastAsia="Calibri" w:hAnsi="Calibri"/>
                <w:sz w:val="17"/>
                <w:szCs w:val="17"/>
              </w:rPr>
              <w:t xml:space="preserve">—</w:t>
            </w:r>
          </w:p>
        </w:tc>
        <w:tc>
          <w:tcPr>
            <w:tcW w:type="dxa" w:w="1000"/>
            <w:tcMar>
              <w:top w:type="dxa" w:w="40"/>
              <w:left w:type="dxa" w:w="80"/>
              <w:bottom w:type="dxa" w:w="40"/>
              <w:right w:type="dxa" w:w="80"/>
            </w:tcMar>
          </w:tcPr>
          <w:p>
            <w:pPr>
              <w:spacing w:after="0" w:line="240"/>
              <w:jc w:val="center"/>
            </w:pPr>
            <w:r>
              <w:rPr>
                <w:rFonts w:ascii="Calibri" w:cs="Calibri" w:eastAsia="Calibri" w:hAnsi="Calibri"/>
                <w:b w:val="false"/>
                <w:bCs w:val="false"/>
                <w:sz w:val="17"/>
                <w:szCs w:val="17"/>
              </w:rPr>
              <w:t xml:space="preserve">—</w:t>
            </w:r>
          </w:p>
        </w:tc>
        <w:tc>
          <w:tcPr>
            <w:tcW w:type="dxa" w:w="2038"/>
            <w:tcMar>
              <w:top w:type="dxa" w:w="40"/>
              <w:left w:type="dxa" w:w="80"/>
              <w:bottom w:type="dxa" w:w="40"/>
              <w:right w:type="dxa" w:w="80"/>
            </w:tcMar>
          </w:tcPr>
          <w:p>
            <w:pPr>
              <w:spacing w:after="0" w:line="240"/>
            </w:pPr>
            <w:r>
              <w:rPr>
                <w:rFonts w:ascii="Calibri" w:cs="Calibri" w:eastAsia="Calibri" w:hAnsi="Calibri"/>
                <w:sz w:val="15"/>
                <w:szCs w:val="15"/>
              </w:rPr>
              <w:t xml:space="preserve"/>
            </w:r>
          </w:p>
        </w:tc>
      </w:tr>
      <w:tr>
        <w:trPr>
          <w:cantSplit/>
        </w:trPr>
        <w:tc>
          <w:tcPr>
            <w:tcW w:type="dxa" w:w="40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7"/>
                <w:szCs w:val="17"/>
              </w:rPr>
              <w:t xml:space="preserve">Modification d'un lot / d'une tranche (programme, prix, phasage)</w:t>
            </w:r>
          </w:p>
        </w:tc>
        <w:tc>
          <w:tcPr>
            <w:tcW w:type="dxa" w:w="1300"/>
            <w:shd w:fill="F2F5FB" w:color="auto" w:val="clear"/>
            <w:tcMar>
              <w:top w:type="dxa" w:w="40"/>
              <w:left w:type="dxa" w:w="80"/>
              <w:bottom w:type="dxa" w:w="40"/>
              <w:right w:type="dxa" w:w="80"/>
            </w:tcMar>
          </w:tcPr>
          <w:p>
            <w:pPr>
              <w:spacing w:after="0" w:line="240"/>
            </w:pPr>
            <w:r>
              <w:rPr>
                <w:rFonts w:ascii="Calibri" w:cs="Calibri" w:eastAsia="Calibri" w:hAnsi="Calibri"/>
                <w:color w:val="B45F06"/>
                <w:sz w:val="17"/>
                <w:szCs w:val="17"/>
              </w:rPr>
              <w:t xml:space="preserve">Vigilance</w:t>
            </w:r>
          </w:p>
        </w:tc>
        <w:tc>
          <w:tcPr>
            <w:tcW w:type="dxa" w:w="13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Oui</w:t>
            </w:r>
          </w:p>
        </w:tc>
        <w:tc>
          <w:tcPr>
            <w:tcW w:type="dxa" w:w="1000"/>
            <w:shd w:fill="F2F5FB" w:color="auto" w:val="clear"/>
            <w:tcMar>
              <w:top w:type="dxa" w:w="40"/>
              <w:left w:type="dxa" w:w="80"/>
              <w:bottom w:type="dxa" w:w="40"/>
              <w:right w:type="dxa" w:w="80"/>
            </w:tcMar>
          </w:tcPr>
          <w:p>
            <w:pPr>
              <w:spacing w:after="0" w:line="240"/>
              <w:jc w:val="center"/>
            </w:pPr>
            <w:r>
              <w:rPr>
                <w:rFonts w:ascii="Calibri" w:cs="Calibri" w:eastAsia="Calibri" w:hAnsi="Calibri"/>
                <w:b/>
                <w:bCs/>
                <w:color w:val="C00000"/>
                <w:sz w:val="17"/>
                <w:szCs w:val="17"/>
              </w:rPr>
              <w:t xml:space="preserve">Oui</w:t>
            </w:r>
          </w:p>
        </w:tc>
        <w:tc>
          <w:tcPr>
            <w:tcW w:type="dxa" w:w="2038"/>
            <w:shd w:fill="F2F5FB" w:color="auto" w:val="clear"/>
            <w:tcMar>
              <w:top w:type="dxa" w:w="40"/>
              <w:left w:type="dxa" w:w="80"/>
              <w:bottom w:type="dxa" w:w="40"/>
              <w:right w:type="dxa" w:w="80"/>
            </w:tcMar>
          </w:tcPr>
          <w:p>
            <w:pPr>
              <w:spacing w:after="0" w:line="240"/>
            </w:pPr>
            <w:r>
              <w:rPr>
                <w:rFonts w:ascii="Calibri" w:cs="Calibri" w:eastAsia="Calibri" w:hAnsi="Calibri"/>
                <w:sz w:val="15"/>
                <w:szCs w:val="15"/>
              </w:rPr>
              <w:t xml:space="preserve">Politique interne — reprofilage du financement</w:t>
            </w:r>
          </w:p>
        </w:tc>
      </w:tr>
      <w:tr>
        <w:trPr>
          <w:cantSplit/>
        </w:trPr>
        <w:tc>
          <w:tcPr>
            <w:tcW w:type="dxa" w:w="4000"/>
            <w:tcMar>
              <w:top w:type="dxa" w:w="40"/>
              <w:left w:type="dxa" w:w="80"/>
              <w:bottom w:type="dxa" w:w="40"/>
              <w:right w:type="dxa" w:w="80"/>
            </w:tcMar>
          </w:tcPr>
          <w:p>
            <w:pPr>
              <w:spacing w:after="0" w:line="240"/>
            </w:pPr>
            <w:r>
              <w:rPr>
                <w:rFonts w:ascii="Calibri" w:cs="Calibri" w:eastAsia="Calibri" w:hAnsi="Calibri"/>
                <w:b w:val="false"/>
                <w:bCs w:val="false"/>
                <w:sz w:val="17"/>
                <w:szCs w:val="17"/>
              </w:rPr>
              <w:t xml:space="preserve">Constitution / changement de garantie</w:t>
            </w:r>
          </w:p>
        </w:tc>
        <w:tc>
          <w:tcPr>
            <w:tcW w:type="dxa" w:w="1300"/>
            <w:tcMar>
              <w:top w:type="dxa" w:w="40"/>
              <w:left w:type="dxa" w:w="80"/>
              <w:bottom w:type="dxa" w:w="40"/>
              <w:right w:type="dxa" w:w="80"/>
            </w:tcMar>
          </w:tcPr>
          <w:p>
            <w:pPr>
              <w:spacing w:after="0" w:line="240"/>
            </w:pPr>
            <w:r>
              <w:rPr>
                <w:rFonts w:ascii="Calibri" w:cs="Calibri" w:eastAsia="Calibri" w:hAnsi="Calibri"/>
                <w:color w:val="B45F06"/>
                <w:sz w:val="17"/>
                <w:szCs w:val="17"/>
              </w:rPr>
              <w:t xml:space="preserve">Vigilance</w:t>
            </w:r>
          </w:p>
        </w:tc>
        <w:tc>
          <w:tcPr>
            <w:tcW w:type="dxa" w:w="1300"/>
            <w:tcMar>
              <w:top w:type="dxa" w:w="40"/>
              <w:left w:type="dxa" w:w="80"/>
              <w:bottom w:type="dxa" w:w="40"/>
              <w:right w:type="dxa" w:w="80"/>
            </w:tcMar>
          </w:tcPr>
          <w:p>
            <w:pPr>
              <w:spacing w:after="0" w:line="240"/>
              <w:jc w:val="center"/>
            </w:pPr>
            <w:r>
              <w:rPr>
                <w:rFonts w:ascii="Calibri" w:cs="Calibri" w:eastAsia="Calibri" w:hAnsi="Calibri"/>
                <w:sz w:val="17"/>
                <w:szCs w:val="17"/>
              </w:rPr>
              <w:t xml:space="preserve">Oui</w:t>
            </w:r>
          </w:p>
        </w:tc>
        <w:tc>
          <w:tcPr>
            <w:tcW w:type="dxa" w:w="1000"/>
            <w:tcMar>
              <w:top w:type="dxa" w:w="40"/>
              <w:left w:type="dxa" w:w="80"/>
              <w:bottom w:type="dxa" w:w="40"/>
              <w:right w:type="dxa" w:w="80"/>
            </w:tcMar>
          </w:tcPr>
          <w:p>
            <w:pPr>
              <w:spacing w:after="0" w:line="240"/>
              <w:jc w:val="center"/>
            </w:pPr>
            <w:r>
              <w:rPr>
                <w:rFonts w:ascii="Calibri" w:cs="Calibri" w:eastAsia="Calibri" w:hAnsi="Calibri"/>
                <w:b/>
                <w:bCs/>
                <w:color w:val="C00000"/>
                <w:sz w:val="17"/>
                <w:szCs w:val="17"/>
              </w:rPr>
              <w:t xml:space="preserve">Oui</w:t>
            </w:r>
          </w:p>
        </w:tc>
        <w:tc>
          <w:tcPr>
            <w:tcW w:type="dxa" w:w="2038"/>
            <w:tcMar>
              <w:top w:type="dxa" w:w="40"/>
              <w:left w:type="dxa" w:w="80"/>
              <w:bottom w:type="dxa" w:w="40"/>
              <w:right w:type="dxa" w:w="80"/>
            </w:tcMar>
          </w:tcPr>
          <w:p>
            <w:pPr>
              <w:spacing w:after="0" w:line="240"/>
            </w:pPr>
            <w:r>
              <w:rPr>
                <w:rFonts w:ascii="Calibri" w:cs="Calibri" w:eastAsia="Calibri" w:hAnsi="Calibri"/>
                <w:sz w:val="15"/>
                <w:szCs w:val="15"/>
              </w:rPr>
              <w:t xml:space="preserve"/>
            </w:r>
          </w:p>
        </w:tc>
      </w:tr>
      <w:tr>
        <w:trPr>
          <w:cantSplit/>
        </w:trPr>
        <w:tc>
          <w:tcPr>
            <w:tcW w:type="dxa" w:w="40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7"/>
                <w:szCs w:val="17"/>
              </w:rPr>
              <w:t xml:space="preserve">Mainlevée (totale/partielle)</w:t>
            </w:r>
          </w:p>
        </w:tc>
        <w:tc>
          <w:tcPr>
            <w:tcW w:type="dxa" w:w="1300"/>
            <w:shd w:fill="F2F5FB" w:color="auto" w:val="clear"/>
            <w:tcMar>
              <w:top w:type="dxa" w:w="40"/>
              <w:left w:type="dxa" w:w="80"/>
              <w:bottom w:type="dxa" w:w="40"/>
              <w:right w:type="dxa" w:w="80"/>
            </w:tcMar>
          </w:tcPr>
          <w:p>
            <w:pPr>
              <w:spacing w:after="0" w:line="240"/>
            </w:pPr>
            <w:r>
              <w:rPr>
                <w:rFonts w:ascii="Calibri" w:cs="Calibri" w:eastAsia="Calibri" w:hAnsi="Calibri"/>
                <w:color w:val="595959"/>
                <w:sz w:val="17"/>
                <w:szCs w:val="17"/>
              </w:rPr>
              <w:t xml:space="preserve">Information</w:t>
            </w:r>
          </w:p>
        </w:tc>
        <w:tc>
          <w:tcPr>
            <w:tcW w:type="dxa" w:w="13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w:t>
            </w:r>
          </w:p>
        </w:tc>
        <w:tc>
          <w:tcPr>
            <w:tcW w:type="dxa" w:w="10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sz w:val="17"/>
                <w:szCs w:val="17"/>
              </w:rPr>
              <w:t xml:space="preserve">—</w:t>
            </w:r>
          </w:p>
        </w:tc>
        <w:tc>
          <w:tcPr>
            <w:tcW w:type="dxa" w:w="2038"/>
            <w:shd w:fill="F2F5FB" w:color="auto" w:val="clear"/>
            <w:tcMar>
              <w:top w:type="dxa" w:w="40"/>
              <w:left w:type="dxa" w:w="80"/>
              <w:bottom w:type="dxa" w:w="40"/>
              <w:right w:type="dxa" w:w="80"/>
            </w:tcMar>
          </w:tcPr>
          <w:p>
            <w:pPr>
              <w:spacing w:after="0" w:line="240"/>
            </w:pPr>
            <w:r>
              <w:rPr>
                <w:rFonts w:ascii="Calibri" w:cs="Calibri" w:eastAsia="Calibri" w:hAnsi="Calibri"/>
                <w:sz w:val="15"/>
                <w:szCs w:val="15"/>
              </w:rPr>
              <w:t xml:space="preserve"/>
            </w:r>
          </w:p>
        </w:tc>
      </w:tr>
      <w:tr>
        <w:trPr>
          <w:cantSplit/>
        </w:trPr>
        <w:tc>
          <w:tcPr>
            <w:tcW w:type="dxa" w:w="4000"/>
            <w:tcMar>
              <w:top w:type="dxa" w:w="40"/>
              <w:left w:type="dxa" w:w="80"/>
              <w:bottom w:type="dxa" w:w="40"/>
              <w:right w:type="dxa" w:w="80"/>
            </w:tcMar>
          </w:tcPr>
          <w:p>
            <w:pPr>
              <w:spacing w:after="0" w:line="240"/>
            </w:pPr>
            <w:r>
              <w:rPr>
                <w:rFonts w:ascii="Calibri" w:cs="Calibri" w:eastAsia="Calibri" w:hAnsi="Calibri"/>
                <w:b/>
                <w:bCs/>
                <w:sz w:val="17"/>
                <w:szCs w:val="17"/>
              </w:rPr>
              <w:t xml:space="preserve">Litige / action en justice</w:t>
            </w:r>
          </w:p>
        </w:tc>
        <w:tc>
          <w:tcPr>
            <w:tcW w:type="dxa" w:w="1300"/>
            <w:tcMar>
              <w:top w:type="dxa" w:w="40"/>
              <w:left w:type="dxa" w:w="80"/>
              <w:bottom w:type="dxa" w:w="40"/>
              <w:right w:type="dxa" w:w="80"/>
            </w:tcMar>
          </w:tcPr>
          <w:p>
            <w:pPr>
              <w:spacing w:after="0" w:line="240"/>
            </w:pPr>
            <w:r>
              <w:rPr>
                <w:rFonts w:ascii="Calibri" w:cs="Calibri" w:eastAsia="Calibri" w:hAnsi="Calibri"/>
                <w:color w:val="C00000"/>
                <w:sz w:val="17"/>
                <w:szCs w:val="17"/>
              </w:rPr>
              <w:t xml:space="preserve">Critique</w:t>
            </w:r>
          </w:p>
        </w:tc>
        <w:tc>
          <w:tcPr>
            <w:tcW w:type="dxa" w:w="1300"/>
            <w:tcMar>
              <w:top w:type="dxa" w:w="40"/>
              <w:left w:type="dxa" w:w="80"/>
              <w:bottom w:type="dxa" w:w="40"/>
              <w:right w:type="dxa" w:w="80"/>
            </w:tcMar>
          </w:tcPr>
          <w:p>
            <w:pPr>
              <w:spacing w:after="0" w:line="240"/>
              <w:jc w:val="center"/>
            </w:pPr>
            <w:r>
              <w:rPr>
                <w:rFonts w:ascii="Calibri" w:cs="Calibri" w:eastAsia="Calibri" w:hAnsi="Calibri"/>
                <w:sz w:val="17"/>
                <w:szCs w:val="17"/>
              </w:rPr>
              <w:t xml:space="preserve">Oui</w:t>
            </w:r>
          </w:p>
        </w:tc>
        <w:tc>
          <w:tcPr>
            <w:tcW w:type="dxa" w:w="1000"/>
            <w:tcMar>
              <w:top w:type="dxa" w:w="40"/>
              <w:left w:type="dxa" w:w="80"/>
              <w:bottom w:type="dxa" w:w="40"/>
              <w:right w:type="dxa" w:w="80"/>
            </w:tcMar>
          </w:tcPr>
          <w:p>
            <w:pPr>
              <w:spacing w:after="0" w:line="240"/>
              <w:jc w:val="center"/>
            </w:pPr>
            <w:r>
              <w:rPr>
                <w:rFonts w:ascii="Calibri" w:cs="Calibri" w:eastAsia="Calibri" w:hAnsi="Calibri"/>
                <w:b w:val="false"/>
                <w:bCs w:val="false"/>
                <w:sz w:val="17"/>
                <w:szCs w:val="17"/>
              </w:rPr>
              <w:t xml:space="preserve">—</w:t>
            </w:r>
          </w:p>
        </w:tc>
        <w:tc>
          <w:tcPr>
            <w:tcW w:type="dxa" w:w="2038"/>
            <w:tcMar>
              <w:top w:type="dxa" w:w="40"/>
              <w:left w:type="dxa" w:w="80"/>
              <w:bottom w:type="dxa" w:w="40"/>
              <w:right w:type="dxa" w:w="80"/>
            </w:tcMar>
          </w:tcPr>
          <w:p>
            <w:pPr>
              <w:spacing w:after="0" w:line="240"/>
            </w:pPr>
            <w:r>
              <w:rPr>
                <w:rFonts w:ascii="Calibri" w:cs="Calibri" w:eastAsia="Calibri" w:hAnsi="Calibri"/>
                <w:sz w:val="15"/>
                <w:szCs w:val="15"/>
              </w:rPr>
              <w:t xml:space="preserve">1/W art.12.8</w:t>
            </w:r>
          </w:p>
        </w:tc>
      </w:tr>
      <w:tr>
        <w:trPr>
          <w:cantSplit/>
        </w:trPr>
        <w:tc>
          <w:tcPr>
            <w:tcW w:type="dxa" w:w="40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Saisie-arrêt / ATD</w:t>
            </w:r>
          </w:p>
        </w:tc>
        <w:tc>
          <w:tcPr>
            <w:tcW w:type="dxa" w:w="1300"/>
            <w:shd w:fill="F2F5FB" w:color="auto" w:val="clear"/>
            <w:tcMar>
              <w:top w:type="dxa" w:w="40"/>
              <w:left w:type="dxa" w:w="80"/>
              <w:bottom w:type="dxa" w:w="40"/>
              <w:right w:type="dxa" w:w="80"/>
            </w:tcMar>
          </w:tcPr>
          <w:p>
            <w:pPr>
              <w:spacing w:after="0" w:line="240"/>
            </w:pPr>
            <w:r>
              <w:rPr>
                <w:rFonts w:ascii="Calibri" w:cs="Calibri" w:eastAsia="Calibri" w:hAnsi="Calibri"/>
                <w:color w:val="C00000"/>
                <w:sz w:val="17"/>
                <w:szCs w:val="17"/>
              </w:rPr>
              <w:t xml:space="preserve">Critique</w:t>
            </w:r>
          </w:p>
        </w:tc>
        <w:tc>
          <w:tcPr>
            <w:tcW w:type="dxa" w:w="13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Oui</w:t>
            </w:r>
          </w:p>
        </w:tc>
        <w:tc>
          <w:tcPr>
            <w:tcW w:type="dxa" w:w="10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sz w:val="17"/>
                <w:szCs w:val="17"/>
              </w:rPr>
              <w:t xml:space="preserve">—</w:t>
            </w:r>
          </w:p>
        </w:tc>
        <w:tc>
          <w:tcPr>
            <w:tcW w:type="dxa" w:w="2038"/>
            <w:shd w:fill="F2F5FB" w:color="auto" w:val="clear"/>
            <w:tcMar>
              <w:top w:type="dxa" w:w="40"/>
              <w:left w:type="dxa" w:w="80"/>
              <w:bottom w:type="dxa" w:w="40"/>
              <w:right w:type="dxa" w:w="80"/>
            </w:tcMar>
          </w:tcPr>
          <w:p>
            <w:pPr>
              <w:spacing w:after="0" w:line="240"/>
            </w:pPr>
            <w:r>
              <w:rPr>
                <w:rFonts w:ascii="Calibri" w:cs="Calibri" w:eastAsia="Calibri" w:hAnsi="Calibri"/>
                <w:sz w:val="15"/>
                <w:szCs w:val="15"/>
              </w:rPr>
              <w:t xml:space="preserve">1/W art.5.1</w:t>
            </w:r>
          </w:p>
        </w:tc>
      </w:tr>
      <w:tr>
        <w:trPr>
          <w:cantSplit/>
        </w:trPr>
        <w:tc>
          <w:tcPr>
            <w:tcW w:type="dxa" w:w="4000"/>
            <w:tcMar>
              <w:top w:type="dxa" w:w="40"/>
              <w:left w:type="dxa" w:w="80"/>
              <w:bottom w:type="dxa" w:w="40"/>
              <w:right w:type="dxa" w:w="80"/>
            </w:tcMar>
          </w:tcPr>
          <w:p>
            <w:pPr>
              <w:spacing w:after="0" w:line="240"/>
            </w:pPr>
            <w:r>
              <w:rPr>
                <w:rFonts w:ascii="Calibri" w:cs="Calibri" w:eastAsia="Calibri" w:hAnsi="Calibri"/>
                <w:b/>
                <w:bCs/>
                <w:sz w:val="17"/>
                <w:szCs w:val="17"/>
              </w:rPr>
              <w:t xml:space="preserve">Redressement / liquidation judiciaire</w:t>
            </w:r>
          </w:p>
        </w:tc>
        <w:tc>
          <w:tcPr>
            <w:tcW w:type="dxa" w:w="1300"/>
            <w:tcMar>
              <w:top w:type="dxa" w:w="40"/>
              <w:left w:type="dxa" w:w="80"/>
              <w:bottom w:type="dxa" w:w="40"/>
              <w:right w:type="dxa" w:w="80"/>
            </w:tcMar>
          </w:tcPr>
          <w:p>
            <w:pPr>
              <w:spacing w:after="0" w:line="240"/>
            </w:pPr>
            <w:r>
              <w:rPr>
                <w:rFonts w:ascii="Calibri" w:cs="Calibri" w:eastAsia="Calibri" w:hAnsi="Calibri"/>
                <w:color w:val="C00000"/>
                <w:sz w:val="17"/>
                <w:szCs w:val="17"/>
              </w:rPr>
              <w:t xml:space="preserve">Critique</w:t>
            </w:r>
          </w:p>
        </w:tc>
        <w:tc>
          <w:tcPr>
            <w:tcW w:type="dxa" w:w="1300"/>
            <w:tcMar>
              <w:top w:type="dxa" w:w="40"/>
              <w:left w:type="dxa" w:w="80"/>
              <w:bottom w:type="dxa" w:w="40"/>
              <w:right w:type="dxa" w:w="80"/>
            </w:tcMar>
          </w:tcPr>
          <w:p>
            <w:pPr>
              <w:spacing w:after="0" w:line="240"/>
              <w:jc w:val="center"/>
            </w:pPr>
            <w:r>
              <w:rPr>
                <w:rFonts w:ascii="Calibri" w:cs="Calibri" w:eastAsia="Calibri" w:hAnsi="Calibri"/>
                <w:sz w:val="17"/>
                <w:szCs w:val="17"/>
              </w:rPr>
              <w:t xml:space="preserve">Oui</w:t>
            </w:r>
          </w:p>
        </w:tc>
        <w:tc>
          <w:tcPr>
            <w:tcW w:type="dxa" w:w="1000"/>
            <w:tcMar>
              <w:top w:type="dxa" w:w="40"/>
              <w:left w:type="dxa" w:w="80"/>
              <w:bottom w:type="dxa" w:w="40"/>
              <w:right w:type="dxa" w:w="80"/>
            </w:tcMar>
          </w:tcPr>
          <w:p>
            <w:pPr>
              <w:spacing w:after="0" w:line="240"/>
              <w:jc w:val="center"/>
            </w:pPr>
            <w:r>
              <w:rPr>
                <w:rFonts w:ascii="Calibri" w:cs="Calibri" w:eastAsia="Calibri" w:hAnsi="Calibri"/>
                <w:b w:val="false"/>
                <w:bCs w:val="false"/>
                <w:sz w:val="17"/>
                <w:szCs w:val="17"/>
              </w:rPr>
              <w:t xml:space="preserve">—</w:t>
            </w:r>
          </w:p>
        </w:tc>
        <w:tc>
          <w:tcPr>
            <w:tcW w:type="dxa" w:w="2038"/>
            <w:tcMar>
              <w:top w:type="dxa" w:w="40"/>
              <w:left w:type="dxa" w:w="80"/>
              <w:bottom w:type="dxa" w:w="40"/>
              <w:right w:type="dxa" w:w="80"/>
            </w:tcMar>
          </w:tcPr>
          <w:p>
            <w:pPr>
              <w:spacing w:after="0" w:line="240"/>
            </w:pPr>
            <w:r>
              <w:rPr>
                <w:rFonts w:ascii="Calibri" w:cs="Calibri" w:eastAsia="Calibri" w:hAnsi="Calibri"/>
                <w:sz w:val="15"/>
                <w:szCs w:val="15"/>
              </w:rPr>
              <w:t xml:space="preserve">1/W art.11.6</w:t>
            </w:r>
          </w:p>
        </w:tc>
      </w:tr>
      <w:tr>
        <w:trPr>
          <w:cantSplit/>
        </w:trPr>
        <w:tc>
          <w:tcPr>
            <w:tcW w:type="dxa" w:w="40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7"/>
                <w:szCs w:val="17"/>
              </w:rPr>
              <w:t xml:space="preserve">Information négative Crédit Bureau / SCIP</w:t>
            </w:r>
          </w:p>
        </w:tc>
        <w:tc>
          <w:tcPr>
            <w:tcW w:type="dxa" w:w="1300"/>
            <w:shd w:fill="F2F5FB" w:color="auto" w:val="clear"/>
            <w:tcMar>
              <w:top w:type="dxa" w:w="40"/>
              <w:left w:type="dxa" w:w="80"/>
              <w:bottom w:type="dxa" w:w="40"/>
              <w:right w:type="dxa" w:w="80"/>
            </w:tcMar>
          </w:tcPr>
          <w:p>
            <w:pPr>
              <w:spacing w:after="0" w:line="240"/>
            </w:pPr>
            <w:r>
              <w:rPr>
                <w:rFonts w:ascii="Calibri" w:cs="Calibri" w:eastAsia="Calibri" w:hAnsi="Calibri"/>
                <w:color w:val="B45F06"/>
                <w:sz w:val="17"/>
                <w:szCs w:val="17"/>
              </w:rPr>
              <w:t xml:space="preserve">Vigilance</w:t>
            </w:r>
          </w:p>
        </w:tc>
        <w:tc>
          <w:tcPr>
            <w:tcW w:type="dxa" w:w="13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Oui</w:t>
            </w:r>
          </w:p>
        </w:tc>
        <w:tc>
          <w:tcPr>
            <w:tcW w:type="dxa" w:w="10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sz w:val="17"/>
                <w:szCs w:val="17"/>
              </w:rPr>
              <w:t xml:space="preserve">—</w:t>
            </w:r>
          </w:p>
        </w:tc>
        <w:tc>
          <w:tcPr>
            <w:tcW w:type="dxa" w:w="2038"/>
            <w:shd w:fill="F2F5FB" w:color="auto" w:val="clear"/>
            <w:tcMar>
              <w:top w:type="dxa" w:w="40"/>
              <w:left w:type="dxa" w:w="80"/>
              <w:bottom w:type="dxa" w:w="40"/>
              <w:right w:type="dxa" w:w="80"/>
            </w:tcMar>
          </w:tcPr>
          <w:p>
            <w:pPr>
              <w:spacing w:after="0" w:line="240"/>
            </w:pPr>
            <w:r>
              <w:rPr>
                <w:rFonts w:ascii="Calibri" w:cs="Calibri" w:eastAsia="Calibri" w:hAnsi="Calibri"/>
                <w:sz w:val="15"/>
                <w:szCs w:val="15"/>
              </w:rPr>
              <w:t xml:space="preserve">1/W art.5.2</w:t>
            </w:r>
          </w:p>
        </w:tc>
      </w:tr>
      <w:tr>
        <w:trPr>
          <w:cantSplit/>
        </w:trPr>
        <w:tc>
          <w:tcPr>
            <w:tcW w:type="dxa" w:w="4000"/>
            <w:tcMar>
              <w:top w:type="dxa" w:w="40"/>
              <w:left w:type="dxa" w:w="80"/>
              <w:bottom w:type="dxa" w:w="40"/>
              <w:right w:type="dxa" w:w="80"/>
            </w:tcMar>
          </w:tcPr>
          <w:p>
            <w:pPr>
              <w:spacing w:after="0" w:line="240"/>
            </w:pPr>
            <w:r>
              <w:rPr>
                <w:rFonts w:ascii="Calibri" w:cs="Calibri" w:eastAsia="Calibri" w:hAnsi="Calibri"/>
                <w:b w:val="false"/>
                <w:bCs w:val="false"/>
                <w:sz w:val="17"/>
                <w:szCs w:val="17"/>
              </w:rPr>
              <w:t xml:space="preserve">Changement d'actionnariat / gouvernance</w:t>
            </w:r>
          </w:p>
        </w:tc>
        <w:tc>
          <w:tcPr>
            <w:tcW w:type="dxa" w:w="1300"/>
            <w:tcMar>
              <w:top w:type="dxa" w:w="40"/>
              <w:left w:type="dxa" w:w="80"/>
              <w:bottom w:type="dxa" w:w="40"/>
              <w:right w:type="dxa" w:w="80"/>
            </w:tcMar>
          </w:tcPr>
          <w:p>
            <w:pPr>
              <w:spacing w:after="0" w:line="240"/>
            </w:pPr>
            <w:r>
              <w:rPr>
                <w:rFonts w:ascii="Calibri" w:cs="Calibri" w:eastAsia="Calibri" w:hAnsi="Calibri"/>
                <w:color w:val="B45F06"/>
                <w:sz w:val="17"/>
                <w:szCs w:val="17"/>
              </w:rPr>
              <w:t xml:space="preserve">Vigilance</w:t>
            </w:r>
          </w:p>
        </w:tc>
        <w:tc>
          <w:tcPr>
            <w:tcW w:type="dxa" w:w="1300"/>
            <w:tcMar>
              <w:top w:type="dxa" w:w="40"/>
              <w:left w:type="dxa" w:w="80"/>
              <w:bottom w:type="dxa" w:w="40"/>
              <w:right w:type="dxa" w:w="80"/>
            </w:tcMar>
          </w:tcPr>
          <w:p>
            <w:pPr>
              <w:spacing w:after="0" w:line="240"/>
              <w:jc w:val="center"/>
            </w:pPr>
            <w:r>
              <w:rPr>
                <w:rFonts w:ascii="Calibri" w:cs="Calibri" w:eastAsia="Calibri" w:hAnsi="Calibri"/>
                <w:sz w:val="17"/>
                <w:szCs w:val="17"/>
              </w:rPr>
              <w:t xml:space="preserve">Oui</w:t>
            </w:r>
          </w:p>
        </w:tc>
        <w:tc>
          <w:tcPr>
            <w:tcW w:type="dxa" w:w="1000"/>
            <w:tcMar>
              <w:top w:type="dxa" w:w="40"/>
              <w:left w:type="dxa" w:w="80"/>
              <w:bottom w:type="dxa" w:w="40"/>
              <w:right w:type="dxa" w:w="80"/>
            </w:tcMar>
          </w:tcPr>
          <w:p>
            <w:pPr>
              <w:spacing w:after="0" w:line="240"/>
              <w:jc w:val="center"/>
            </w:pPr>
            <w:r>
              <w:rPr>
                <w:rFonts w:ascii="Calibri" w:cs="Calibri" w:eastAsia="Calibri" w:hAnsi="Calibri"/>
                <w:b/>
                <w:bCs/>
                <w:color w:val="C00000"/>
                <w:sz w:val="17"/>
                <w:szCs w:val="17"/>
              </w:rPr>
              <w:t xml:space="preserve">Oui</w:t>
            </w:r>
          </w:p>
        </w:tc>
        <w:tc>
          <w:tcPr>
            <w:tcW w:type="dxa" w:w="2038"/>
            <w:tcMar>
              <w:top w:type="dxa" w:w="40"/>
              <w:left w:type="dxa" w:w="80"/>
              <w:bottom w:type="dxa" w:w="40"/>
              <w:right w:type="dxa" w:w="80"/>
            </w:tcMar>
          </w:tcPr>
          <w:p>
            <w:pPr>
              <w:spacing w:after="0" w:line="240"/>
            </w:pPr>
            <w:r>
              <w:rPr>
                <w:rFonts w:ascii="Calibri" w:cs="Calibri" w:eastAsia="Calibri" w:hAnsi="Calibri"/>
                <w:sz w:val="15"/>
                <w:szCs w:val="15"/>
              </w:rPr>
              <w:t xml:space="preserve"/>
            </w:r>
          </w:p>
        </w:tc>
      </w:tr>
      <w:tr>
        <w:trPr>
          <w:cantSplit/>
        </w:trPr>
        <w:tc>
          <w:tcPr>
            <w:tcW w:type="dxa" w:w="40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7"/>
                <w:szCs w:val="17"/>
              </w:rPr>
              <w:t xml:space="preserve">Autre événement</w:t>
            </w:r>
          </w:p>
        </w:tc>
        <w:tc>
          <w:tcPr>
            <w:tcW w:type="dxa" w:w="1300"/>
            <w:shd w:fill="F2F5FB" w:color="auto" w:val="clear"/>
            <w:tcMar>
              <w:top w:type="dxa" w:w="40"/>
              <w:left w:type="dxa" w:w="80"/>
              <w:bottom w:type="dxa" w:w="40"/>
              <w:right w:type="dxa" w:w="80"/>
            </w:tcMar>
          </w:tcPr>
          <w:p>
            <w:pPr>
              <w:spacing w:after="0" w:line="240"/>
            </w:pPr>
            <w:r>
              <w:rPr>
                <w:rFonts w:ascii="Calibri" w:cs="Calibri" w:eastAsia="Calibri" w:hAnsi="Calibri"/>
                <w:color w:val="595959"/>
                <w:sz w:val="17"/>
                <w:szCs w:val="17"/>
              </w:rPr>
              <w:t xml:space="preserve">Information</w:t>
            </w:r>
          </w:p>
        </w:tc>
        <w:tc>
          <w:tcPr>
            <w:tcW w:type="dxa" w:w="13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w:t>
            </w:r>
          </w:p>
        </w:tc>
        <w:tc>
          <w:tcPr>
            <w:tcW w:type="dxa" w:w="10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sz w:val="17"/>
                <w:szCs w:val="17"/>
              </w:rPr>
              <w:t xml:space="preserve">—</w:t>
            </w:r>
          </w:p>
        </w:tc>
        <w:tc>
          <w:tcPr>
            <w:tcW w:type="dxa" w:w="2038"/>
            <w:shd w:fill="F2F5FB" w:color="auto" w:val="clear"/>
            <w:tcMar>
              <w:top w:type="dxa" w:w="40"/>
              <w:left w:type="dxa" w:w="80"/>
              <w:bottom w:type="dxa" w:w="40"/>
              <w:right w:type="dxa" w:w="80"/>
            </w:tcMar>
          </w:tcPr>
          <w:p>
            <w:pPr>
              <w:spacing w:after="0" w:line="240"/>
            </w:pPr>
            <w:r>
              <w:rPr>
                <w:rFonts w:ascii="Calibri" w:cs="Calibri" w:eastAsia="Calibri" w:hAnsi="Calibri"/>
                <w:sz w:val="15"/>
                <w:szCs w:val="15"/>
              </w:rPr>
              <w:t xml:space="preserve"/>
            </w:r>
          </w:p>
        </w:tc>
      </w:tr>
    </w:tbl>
    <w:p>
      <w:pPr>
        <w:pStyle w:val="Heading2"/>
        <w:keepNext/>
      </w:pPr>
      <w:r>
        <w:t xml:space="preserve">Visites de chantier</w:t>
      </w:r>
    </w:p>
    <w:p>
      <w:pPr>
        <w:spacing w:after="120" w:before="0" w:line="276"/>
      </w:pPr>
      <w:r>
        <w:rPr>
          <w:rFonts w:ascii="Calibri" w:cs="Calibri" w:eastAsia="Calibri" w:hAnsi="Calibri"/>
          <w:sz w:val="21"/>
          <w:szCs w:val="21"/>
        </w:rPr>
        <w:t xml:space="preserve">Saisissez chaque visite (date, avancement observé, effectif, incidents qualité, sécurité, intempéries, risque de retard). L'avancement observé alimente « Avancement vs planning » à la synchronisation.</w:t>
      </w:r>
    </w:p>
    <w:p>
      <w:r>
        <w:br w:type="page"/>
      </w:r>
    </w:p>
    <w:p>
      <w:pPr>
        <w:pStyle w:val="Heading1"/>
      </w:pPr>
      <w:r>
        <w:t xml:space="preserve">8. L'outil Excel (hors application)</w:t>
      </w:r>
    </w:p>
    <w:p>
      <w:pPr>
        <w:spacing w:after="120" w:before="0" w:line="276"/>
      </w:pPr>
      <w:r>
        <w:rPr>
          <w:rFonts w:ascii="Calibri" w:cs="Calibri" w:eastAsia="Calibri" w:hAnsi="Calibri"/>
          <w:sz w:val="21"/>
          <w:szCs w:val="21"/>
        </w:rPr>
        <w:t xml:space="preserve">Le classeur PI_Promotion_Modele_v4.xlsx reproduit exactement le calcul de l'application (vérifié sur 20 cas de référence). Il sert à simuler, préparer un comité, travailler hors connexion ou se former. La décision officielle et la traçabilité restent dans l'application.</w:t>
      </w:r>
    </w:p>
    <w:p>
      <w:pPr>
        <w:pStyle w:val="Heading2"/>
        <w:keepNext/>
      </w:pPr>
      <w:r>
        <w:t xml:space="preserve">Utilisation</w:t>
      </w:r>
    </w:p>
    <w:p>
      <w:pPr>
        <w:pStyle w:val="ListParagraph"/>
        <w:numPr>
          <w:ilvl w:val="0"/>
          <w:numId w:val="4"/>
        </w:numPr>
        <w:spacing w:after="60" w:line="276"/>
      </w:pPr>
      <w:r>
        <w:rPr>
          <w:rFonts w:ascii="Calibri" w:cs="Calibri" w:eastAsia="Calibri" w:hAnsi="Calibri"/>
          <w:sz w:val="21"/>
          <w:szCs w:val="21"/>
        </w:rPr>
        <w:t xml:space="preserve">Ouvrir le classeur (au premier usage, installer les macros : voir l'onglet LisezMoi).</w:t>
      </w:r>
    </w:p>
    <w:p>
      <w:pPr>
        <w:pStyle w:val="ListParagraph"/>
        <w:numPr>
          <w:ilvl w:val="0"/>
          <w:numId w:val="4"/>
        </w:numPr>
        <w:spacing w:after="60" w:line="276"/>
      </w:pPr>
      <w:r>
        <w:rPr>
          <w:rFonts w:ascii="Calibri" w:cs="Calibri" w:eastAsia="Calibri" w:hAnsi="Calibri"/>
          <w:sz w:val="21"/>
          <w:szCs w:val="21"/>
        </w:rPr>
        <w:t xml:space="preserve">Bouton « Nouveau dossier » : vide la saisie et les calculateurs (le classeur s'ouvre sur un dossier d'exemple).</w:t>
      </w:r>
    </w:p>
    <w:p>
      <w:pPr>
        <w:pStyle w:val="ListParagraph"/>
        <w:numPr>
          <w:ilvl w:val="0"/>
          <w:numId w:val="4"/>
        </w:numPr>
        <w:spacing w:after="60" w:line="276"/>
      </w:pPr>
      <w:r>
        <w:rPr>
          <w:rFonts w:ascii="Calibri" w:cs="Calibri" w:eastAsia="Calibri" w:hAnsi="Calibri"/>
          <w:sz w:val="21"/>
          <w:szCs w:val="21"/>
        </w:rPr>
        <w:t xml:space="preserve">Onglet Saisie : référence, nom, segment, zone, classe BAM, puis les données (cellules jaunes). Vide = absent, comme dans l'application.</w:t>
      </w:r>
    </w:p>
    <w:p>
      <w:pPr>
        <w:pStyle w:val="ListParagraph"/>
        <w:numPr>
          <w:ilvl w:val="0"/>
          <w:numId w:val="4"/>
        </w:numPr>
        <w:spacing w:after="60" w:line="276"/>
      </w:pPr>
      <w:r>
        <w:rPr>
          <w:rFonts w:ascii="Calibri" w:cs="Calibri" w:eastAsia="Calibri" w:hAnsi="Calibri"/>
          <w:sz w:val="21"/>
          <w:szCs w:val="21"/>
        </w:rPr>
        <w:t xml:space="preserve">Onglet Calculateurs : chaîne d'autorisations, ventes sécurisées, quotité de désengagement, division des risques, durée d'arrêt de chantier.</w:t>
      </w:r>
    </w:p>
    <w:p>
      <w:pPr>
        <w:pStyle w:val="ListParagraph"/>
        <w:numPr>
          <w:ilvl w:val="0"/>
          <w:numId w:val="4"/>
        </w:numPr>
        <w:spacing w:after="60" w:line="276"/>
      </w:pPr>
      <w:r>
        <w:rPr>
          <w:rFonts w:ascii="Calibri" w:cs="Calibri" w:eastAsia="Calibri" w:hAnsi="Calibri"/>
          <w:sz w:val="21"/>
          <w:szCs w:val="21"/>
        </w:rPr>
        <w:t xml:space="preserve">Onglet Resultat : décision, score, classe interne, données manquantes en clair, conditions avec jalon, alertes, comité.</w:t>
      </w:r>
    </w:p>
    <w:p>
      <w:pPr>
        <w:pStyle w:val="ListParagraph"/>
        <w:numPr>
          <w:ilvl w:val="0"/>
          <w:numId w:val="4"/>
        </w:numPr>
        <w:spacing w:after="60" w:line="276"/>
      </w:pPr>
      <w:r>
        <w:rPr>
          <w:rFonts w:ascii="Calibri" w:cs="Calibri" w:eastAsia="Calibri" w:hAnsi="Calibri"/>
          <w:sz w:val="21"/>
          <w:szCs w:val="21"/>
        </w:rPr>
        <w:t xml:space="preserve">Onglet Stress : « Lancer le stress test » (prix, coût, retard, ventes, taux, sévère combiné).</w:t>
      </w:r>
    </w:p>
    <w:p>
      <w:pPr>
        <w:pStyle w:val="ListParagraph"/>
        <w:numPr>
          <w:ilvl w:val="0"/>
          <w:numId w:val="4"/>
        </w:numPr>
        <w:spacing w:after="60" w:line="276"/>
      </w:pPr>
      <w:r>
        <w:rPr>
          <w:rFonts w:ascii="Calibri" w:cs="Calibri" w:eastAsia="Calibri" w:hAnsi="Calibri"/>
          <w:sz w:val="21"/>
          <w:szCs w:val="21"/>
        </w:rPr>
        <w:t xml:space="preserve">« Exporter en PDF » pour joindre la simulation à la note.</w:t>
      </w:r>
    </w:p>
    <w:p>
      <w:pPr>
        <w:spacing w:after="60" w:before="0" w:line="276"/>
      </w:pPr>
      <w:r>
        <w:rPr>
          <w:rFonts w:ascii="Calibri" w:cs="Calibri" w:eastAsia="Calibri" w:hAnsi="Calibri"/>
          <w:sz w:val="21"/>
          <w:szCs w:val="21"/>
        </w:rPr>
        <w:t xml:space="preserve"/>
      </w:r>
    </w:p>
    <w:tbl>
      <w:tblPr>
        <w:tblW w:type="dxa" w:w="9638"/>
        <w:tblBorders>
          <w:top w:val="single" w:color="2E5496" w:sz="4"/>
          <w:left w:val="single" w:color="2E5496" w:sz="4"/>
          <w:bottom w:val="single" w:color="2E5496" w:sz="4"/>
          <w:right w:val="single" w:color="2E5496" w:sz="4"/>
          <w:insideH w:val="none"/>
          <w:insideV w:val="none"/>
        </w:tblBorders>
      </w:tblPr>
      <w:tblGrid>
        <w:gridCol w:w="9638"/>
      </w:tblGrid>
      <w:tr>
        <w:tc>
          <w:tcPr>
            <w:tcW w:type="dxa" w:w="9638"/>
            <w:shd w:fill="EEF3FB" w:color="auto" w:val="clear"/>
            <w:tcMar>
              <w:top w:type="dxa" w:w="100"/>
              <w:left w:type="dxa" w:w="160"/>
              <w:bottom w:type="dxa" w:w="100"/>
              <w:right w:type="dxa" w:w="160"/>
            </w:tcMar>
          </w:tcPr>
          <w:p>
            <w:pPr>
              <w:spacing w:after="40"/>
            </w:pPr>
            <w:r>
              <w:rPr>
                <w:rFonts w:ascii="Calibri" w:cs="Calibri" w:eastAsia="Calibri" w:hAnsi="Calibri"/>
                <w:b/>
                <w:bCs/>
                <w:color w:val="2E5496"/>
                <w:sz w:val="21"/>
                <w:szCs w:val="21"/>
              </w:rPr>
              <w:t xml:space="preserve">Correspondance avec l'application</w:t>
            </w:r>
          </w:p>
          <w:p>
            <w:pPr>
              <w:spacing w:after="0" w:line="276"/>
            </w:pPr>
            <w:r>
              <w:rPr>
                <w:rFonts w:ascii="Calibri" w:cs="Calibri" w:eastAsia="Calibri" w:hAnsi="Calibri"/>
                <w:sz w:val="21"/>
                <w:szCs w:val="21"/>
              </w:rPr>
              <w:t xml:space="preserve">Chaque ligne de la Saisie porte la clé technique de la donnée (colonne « Clé technique »), identique à celle indiquée dans la section 5 de ce guide. Les pièces à réunir sont donc les mêmes.</w:t>
            </w:r>
          </w:p>
        </w:tc>
      </w:tr>
    </w:tbl>
    <w:p>
      <w:pPr>
        <w:pStyle w:val="Heading1"/>
      </w:pPr>
      <w:r>
        <w:t xml:space="preserve">9. Bonnes pratiques et erreurs fréquentes</w:t>
      </w:r>
    </w:p>
    <w:tbl>
      <w:tblPr>
        <w:tblW w:type="dxa" w:w="9638"/>
        <w:tblBorders>
          <w:top w:val="single" w:color="AEB6C6" w:sz="2"/>
          <w:left w:val="single" w:color="AEB6C6" w:sz="2"/>
          <w:bottom w:val="single" w:color="AEB6C6" w:sz="2"/>
          <w:right w:val="single" w:color="AEB6C6" w:sz="2"/>
          <w:insideH w:val="single" w:color="D0D6E2" w:sz="1"/>
          <w:insideV w:val="single" w:color="D0D6E2" w:sz="1"/>
        </w:tblBorders>
      </w:tblPr>
      <w:tblGrid>
        <w:gridCol w:w="4819"/>
        <w:gridCol w:w="4819"/>
      </w:tblGrid>
      <w:tr>
        <w:trPr>
          <w:cantSplit/>
          <w:tblHeader/>
        </w:trPr>
        <w:tc>
          <w:tcPr>
            <w:tcW w:type="dxa" w:w="4819"/>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À faire</w:t>
            </w:r>
          </w:p>
        </w:tc>
        <w:tc>
          <w:tcPr>
            <w:tcW w:type="dxa" w:w="4819"/>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À éviter</w:t>
            </w:r>
          </w:p>
        </w:tc>
      </w:tr>
      <w:tr>
        <w:trPr>
          <w:cantSplit/>
        </w:trPr>
        <w:tc>
          <w:tcPr>
            <w:tcW w:type="dxa" w:w="4819"/>
            <w:tcMar>
              <w:top w:type="dxa" w:w="40"/>
              <w:left w:type="dxa" w:w="80"/>
              <w:bottom w:type="dxa" w:w="40"/>
              <w:right w:type="dxa" w:w="80"/>
            </w:tcMar>
          </w:tcPr>
          <w:p>
            <w:pPr>
              <w:spacing w:after="0" w:line="240"/>
            </w:pPr>
            <w:r>
              <w:rPr>
                <w:rFonts w:ascii="Calibri" w:cs="Calibri" w:eastAsia="Calibri" w:hAnsi="Calibri"/>
                <w:sz w:val="17"/>
                <w:szCs w:val="17"/>
              </w:rPr>
              <w:t xml:space="preserve">Laisser vide une donnée inconnue et réunir la pièce.</w:t>
            </w:r>
          </w:p>
        </w:tc>
        <w:tc>
          <w:tcPr>
            <w:tcW w:type="dxa" w:w="4819"/>
            <w:tcMar>
              <w:top w:type="dxa" w:w="40"/>
              <w:left w:type="dxa" w:w="80"/>
              <w:bottom w:type="dxa" w:w="40"/>
              <w:right w:type="dxa" w:w="80"/>
            </w:tcMar>
          </w:tcPr>
          <w:p>
            <w:pPr>
              <w:spacing w:after="0" w:line="240"/>
            </w:pPr>
            <w:r>
              <w:rPr>
                <w:rFonts w:ascii="Calibri" w:cs="Calibri" w:eastAsia="Calibri" w:hAnsi="Calibri"/>
                <w:sz w:val="17"/>
                <w:szCs w:val="17"/>
              </w:rPr>
              <w:t xml:space="preserve">Saisir 0 « pour avancer » : 0 peut donner la meilleure note (impasse, retard).</w:t>
            </w:r>
          </w:p>
        </w:tc>
      </w:tr>
      <w:tr>
        <w:trPr>
          <w:cantSplit/>
        </w:trPr>
        <w:tc>
          <w:tcPr>
            <w:tcW w:type="dxa" w:w="4819"/>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Saisir 0 quand il n'y a réellement aucun impayé, retard ou arrêt.</w:t>
            </w:r>
          </w:p>
        </w:tc>
        <w:tc>
          <w:tcPr>
            <w:tcW w:type="dxa" w:w="4819"/>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Laisser vide une donnée décisionnelle connue : le dossier reste incomplet.</w:t>
            </w:r>
          </w:p>
        </w:tc>
      </w:tr>
      <w:tr>
        <w:trPr>
          <w:cantSplit/>
        </w:trPr>
        <w:tc>
          <w:tcPr>
            <w:tcW w:type="dxa" w:w="4819"/>
            <w:tcMar>
              <w:top w:type="dxa" w:w="40"/>
              <w:left w:type="dxa" w:w="80"/>
              <w:bottom w:type="dxa" w:w="40"/>
              <w:right w:type="dxa" w:w="80"/>
            </w:tcMar>
          </w:tcPr>
          <w:p>
            <w:pPr>
              <w:spacing w:after="0" w:line="240"/>
            </w:pPr>
            <w:r>
              <w:rPr>
                <w:rFonts w:ascii="Calibri" w:cs="Calibri" w:eastAsia="Calibri" w:hAnsi="Calibri"/>
                <w:sz w:val="17"/>
                <w:szCs w:val="17"/>
              </w:rPr>
              <w:t xml:space="preserve">Synchroniser juste avant chaque calcul.</w:t>
            </w:r>
          </w:p>
        </w:tc>
        <w:tc>
          <w:tcPr>
            <w:tcW w:type="dxa" w:w="4819"/>
            <w:tcMar>
              <w:top w:type="dxa" w:w="40"/>
              <w:left w:type="dxa" w:w="80"/>
              <w:bottom w:type="dxa" w:w="40"/>
              <w:right w:type="dxa" w:w="80"/>
            </w:tcMar>
          </w:tcPr>
          <w:p>
            <w:pPr>
              <w:spacing w:after="0" w:line="240"/>
            </w:pPr>
            <w:r>
              <w:rPr>
                <w:rFonts w:ascii="Calibri" w:cs="Calibri" w:eastAsia="Calibri" w:hAnsi="Calibri"/>
                <w:sz w:val="17"/>
                <w:szCs w:val="17"/>
              </w:rPr>
              <w:t xml:space="preserve">Calculer sur des lots ou des autorisations périmés.</w:t>
            </w:r>
          </w:p>
        </w:tc>
      </w:tr>
      <w:tr>
        <w:trPr>
          <w:cantSplit/>
        </w:trPr>
        <w:tc>
          <w:tcPr>
            <w:tcW w:type="dxa" w:w="4819"/>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Renseigner segment et zone depuis les listes du modèle.</w:t>
            </w:r>
          </w:p>
        </w:tc>
        <w:tc>
          <w:tcPr>
            <w:tcW w:type="dxa" w:w="4819"/>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Saisir un segment ou une zone libre : aucun ajustement n'est appliqué.</w:t>
            </w:r>
          </w:p>
        </w:tc>
      </w:tr>
      <w:tr>
        <w:trPr>
          <w:cantSplit/>
        </w:trPr>
        <w:tc>
          <w:tcPr>
            <w:tcW w:type="dxa" w:w="4819"/>
            <w:tcMar>
              <w:top w:type="dxa" w:w="40"/>
              <w:left w:type="dxa" w:w="80"/>
              <w:bottom w:type="dxa" w:w="40"/>
              <w:right w:type="dxa" w:w="80"/>
            </w:tcMar>
          </w:tcPr>
          <w:p>
            <w:pPr>
              <w:spacing w:after="0" w:line="240"/>
            </w:pPr>
            <w:r>
              <w:rPr>
                <w:rFonts w:ascii="Calibri" w:cs="Calibri" w:eastAsia="Calibri" w:hAnsi="Calibri"/>
                <w:sz w:val="17"/>
                <w:szCs w:val="17"/>
              </w:rPr>
              <w:t xml:space="preserve">Utiliser la valeur d'expertise indépendante pour la LTV.</w:t>
            </w:r>
          </w:p>
        </w:tc>
        <w:tc>
          <w:tcPr>
            <w:tcW w:type="dxa" w:w="4819"/>
            <w:tcMar>
              <w:top w:type="dxa" w:w="40"/>
              <w:left w:type="dxa" w:w="80"/>
              <w:bottom w:type="dxa" w:w="40"/>
              <w:right w:type="dxa" w:w="80"/>
            </w:tcMar>
          </w:tcPr>
          <w:p>
            <w:pPr>
              <w:spacing w:after="0" w:line="240"/>
            </w:pPr>
            <w:r>
              <w:rPr>
                <w:rFonts w:ascii="Calibri" w:cs="Calibri" w:eastAsia="Calibri" w:hAnsi="Calibri"/>
                <w:sz w:val="17"/>
                <w:szCs w:val="17"/>
              </w:rPr>
              <w:t xml:space="preserve">Reprendre la valeur commerciale du promoteur.</w:t>
            </w:r>
          </w:p>
        </w:tc>
      </w:tr>
      <w:tr>
        <w:trPr>
          <w:cantSplit/>
        </w:trPr>
        <w:tc>
          <w:tcPr>
            <w:tcW w:type="dxa" w:w="4819"/>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Justifier chaque apport par un paiement effectif.</w:t>
            </w:r>
          </w:p>
        </w:tc>
        <w:tc>
          <w:tcPr>
            <w:tcW w:type="dxa" w:w="4819"/>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Compter un apport promis comme injecté.</w:t>
            </w:r>
          </w:p>
        </w:tc>
      </w:tr>
      <w:tr>
        <w:trPr>
          <w:cantSplit/>
        </w:trPr>
        <w:tc>
          <w:tcPr>
            <w:tcW w:type="dxa" w:w="4819"/>
            <w:tcMar>
              <w:top w:type="dxa" w:w="40"/>
              <w:left w:type="dxa" w:w="80"/>
              <w:bottom w:type="dxa" w:w="40"/>
              <w:right w:type="dxa" w:w="80"/>
            </w:tcMar>
          </w:tcPr>
          <w:p>
            <w:pPr>
              <w:spacing w:after="0" w:line="240"/>
            </w:pPr>
            <w:r>
              <w:rPr>
                <w:rFonts w:ascii="Calibri" w:cs="Calibri" w:eastAsia="Calibri" w:hAnsi="Calibri"/>
                <w:sz w:val="17"/>
                <w:szCs w:val="17"/>
              </w:rPr>
              <w:t xml:space="preserve">Déclarer tous les liens du groupe (sociétés sœurs, cautions).</w:t>
            </w:r>
          </w:p>
        </w:tc>
        <w:tc>
          <w:tcPr>
            <w:tcW w:type="dxa" w:w="4819"/>
            <w:tcMar>
              <w:top w:type="dxa" w:w="40"/>
              <w:left w:type="dxa" w:w="80"/>
              <w:bottom w:type="dxa" w:w="40"/>
              <w:right w:type="dxa" w:w="80"/>
            </w:tcMar>
          </w:tcPr>
          <w:p>
            <w:pPr>
              <w:spacing w:after="0" w:line="240"/>
            </w:pPr>
            <w:r>
              <w:rPr>
                <w:rFonts w:ascii="Calibri" w:cs="Calibri" w:eastAsia="Calibri" w:hAnsi="Calibri"/>
                <w:sz w:val="17"/>
                <w:szCs w:val="17"/>
              </w:rPr>
              <w:t xml:space="preserve">Omettre une société liée : effet groupe et division des risques faussés.</w:t>
            </w:r>
          </w:p>
        </w:tc>
      </w:tr>
      <w:tr>
        <w:trPr>
          <w:cantSplit/>
        </w:trPr>
        <w:tc>
          <w:tcPr>
            <w:tcW w:type="dxa" w:w="4819"/>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Déclarer immédiatement tout événement matériel.</w:t>
            </w:r>
          </w:p>
        </w:tc>
        <w:tc>
          <w:tcPr>
            <w:tcW w:type="dxa" w:w="4819"/>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Attendre la revue annuelle pour signaler un impayé ou un arrêt.</w:t>
            </w:r>
          </w:p>
        </w:tc>
      </w:tr>
      <w:tr>
        <w:trPr>
          <w:cantSplit/>
        </w:trPr>
        <w:tc>
          <w:tcPr>
            <w:tcW w:type="dxa" w:w="4819"/>
            <w:tcMar>
              <w:top w:type="dxa" w:w="40"/>
              <w:left w:type="dxa" w:w="80"/>
              <w:bottom w:type="dxa" w:w="40"/>
              <w:right w:type="dxa" w:w="80"/>
            </w:tcMar>
          </w:tcPr>
          <w:p>
            <w:pPr>
              <w:spacing w:after="0" w:line="240"/>
            </w:pPr>
            <w:r>
              <w:rPr>
                <w:rFonts w:ascii="Calibri" w:cs="Calibri" w:eastAsia="Calibri" w:hAnsi="Calibri"/>
                <w:sz w:val="17"/>
                <w:szCs w:val="17"/>
              </w:rPr>
              <w:t xml:space="preserve">Vérifier chaque valeur proposée par la lecture IA.</w:t>
            </w:r>
          </w:p>
        </w:tc>
        <w:tc>
          <w:tcPr>
            <w:tcW w:type="dxa" w:w="4819"/>
            <w:tcMar>
              <w:top w:type="dxa" w:w="40"/>
              <w:left w:type="dxa" w:w="80"/>
              <w:bottom w:type="dxa" w:w="40"/>
              <w:right w:type="dxa" w:w="80"/>
            </w:tcMar>
          </w:tcPr>
          <w:p>
            <w:pPr>
              <w:spacing w:after="0" w:line="240"/>
            </w:pPr>
            <w:r>
              <w:rPr>
                <w:rFonts w:ascii="Calibri" w:cs="Calibri" w:eastAsia="Calibri" w:hAnsi="Calibri"/>
                <w:sz w:val="17"/>
                <w:szCs w:val="17"/>
              </w:rPr>
              <w:t xml:space="preserve">Appliquer les propositions IA sans les confronter aux pièces.</w:t>
            </w:r>
          </w:p>
        </w:tc>
      </w:tr>
      <w:tr>
        <w:trPr>
          <w:cantSplit/>
        </w:trPr>
        <w:tc>
          <w:tcPr>
            <w:tcW w:type="dxa" w:w="4819"/>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Recalculer après toute nouvelle version du modèle.</w:t>
            </w:r>
          </w:p>
        </w:tc>
        <w:tc>
          <w:tcPr>
            <w:tcW w:type="dxa" w:w="4819"/>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Présenter en comité un score marqué « version retirée ».</w:t>
            </w:r>
          </w:p>
        </w:tc>
      </w:tr>
    </w:tbl>
    <w:p>
      <w:r>
        <w:br w:type="page"/>
      </w:r>
    </w:p>
    <w:p>
      <w:pPr>
        <w:pStyle w:val="Heading1"/>
      </w:pPr>
      <w:r>
        <w:t xml:space="preserve">Annexe A — Check-list imprimable des pièces</w:t>
      </w:r>
    </w:p>
    <w:p>
      <w:pPr>
        <w:spacing w:after="120" w:before="0" w:line="276"/>
      </w:pPr>
      <w:r>
        <w:rPr>
          <w:rFonts w:ascii="Calibri" w:cs="Calibri" w:eastAsia="Calibri" w:hAnsi="Calibri"/>
          <w:sz w:val="21"/>
          <w:szCs w:val="21"/>
        </w:rPr>
        <w:t xml:space="preserve">À cocher au montage du dossier puis à chaque revue. Date de la pièce à reporter dans la colonne prévue.</w:t>
      </w:r>
    </w:p>
    <w:p>
      <w:pPr>
        <w:pStyle w:val="Heading2"/>
        <w:keepNext/>
      </w:pPr>
      <w:r>
        <w:t xml:space="preserve">A. Promoteur et groupe</w:t>
      </w:r>
    </w:p>
    <w:tbl>
      <w:tblPr>
        <w:tblW w:type="dxa" w:w="9638"/>
        <w:tblBorders>
          <w:top w:val="single" w:color="AEB6C6" w:sz="2"/>
          <w:left w:val="single" w:color="AEB6C6" w:sz="2"/>
          <w:bottom w:val="single" w:color="AEB6C6" w:sz="2"/>
          <w:right w:val="single" w:color="AEB6C6" w:sz="2"/>
          <w:insideH w:val="single" w:color="D0D6E2" w:sz="1"/>
          <w:insideV w:val="single" w:color="D0D6E2" w:sz="1"/>
        </w:tblBorders>
      </w:tblPr>
      <w:tblGrid>
        <w:gridCol w:w="500"/>
        <w:gridCol w:w="700"/>
        <w:gridCol w:w="6438"/>
        <w:gridCol w:w="2000"/>
      </w:tblGrid>
      <w:tr>
        <w:trPr>
          <w:cantSplit/>
          <w:tblHeader/>
        </w:trPr>
        <w:tc>
          <w:tcPr>
            <w:tcW w:type="dxa" w:w="5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w:t>
            </w:r>
          </w:p>
        </w:tc>
        <w:tc>
          <w:tcPr>
            <w:tcW w:type="dxa" w:w="7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Réf.</w:t>
            </w:r>
          </w:p>
        </w:tc>
        <w:tc>
          <w:tcPr>
            <w:tcW w:type="dxa" w:w="6438"/>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Pièce</w:t>
            </w:r>
          </w:p>
        </w:tc>
        <w:tc>
          <w:tcPr>
            <w:tcW w:type="dxa" w:w="20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Date de la pièce</w:t>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sz w:val="22"/>
                <w:szCs w:val="22"/>
              </w:rPr>
              <w:t xml:space="preserve">☐</w:t>
            </w:r>
          </w:p>
        </w:tc>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P01</w:t>
            </w:r>
          </w:p>
        </w:tc>
        <w:tc>
          <w:tcPr>
            <w:tcW w:type="dxa" w:w="6438"/>
            <w:tcMar>
              <w:top w:type="dxa" w:w="40"/>
              <w:left w:type="dxa" w:w="80"/>
              <w:bottom w:type="dxa" w:w="40"/>
              <w:right w:type="dxa" w:w="80"/>
            </w:tcMar>
          </w:tcPr>
          <w:p>
            <w:pPr>
              <w:spacing w:after="0" w:line="240"/>
            </w:pPr>
            <w:r>
              <w:rPr>
                <w:rFonts w:ascii="Calibri" w:cs="Calibri" w:eastAsia="Calibri" w:hAnsi="Calibri"/>
                <w:sz w:val="17"/>
                <w:szCs w:val="17"/>
              </w:rPr>
              <w:t xml:space="preserve">Statuts à jour, modèle J du registre de commerce, ICE, IF, affiliation CNSS</w:t>
            </w:r>
          </w:p>
        </w:tc>
        <w:tc>
          <w:tcPr>
            <w:tcW w:type="dxa" w:w="2000"/>
            <w:tcMar>
              <w:top w:type="dxa" w:w="40"/>
              <w:left w:type="dxa" w:w="80"/>
              <w:bottom w:type="dxa" w:w="40"/>
              <w:right w:type="dxa" w:w="80"/>
            </w:tcMar>
          </w:tcPr>
          <w:p>
            <w:pPr>
              <w:spacing w:after="0" w:line="240"/>
            </w:pPr>
            <w:r>
              <w:rPr>
                <w:rFonts w:ascii="Calibri" w:cs="Calibri" w:eastAsia="Calibri" w:hAnsi="Calibri"/>
                <w:sz w:val="17"/>
                <w:szCs w:val="17"/>
              </w:rPr>
              <w:t xml:space="preserve"/>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sz w:val="22"/>
                <w:szCs w:val="22"/>
              </w:rPr>
              <w:t xml:space="preserve">☐</w:t>
            </w:r>
          </w:p>
        </w:tc>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P02</w:t>
            </w:r>
          </w:p>
        </w:tc>
        <w:tc>
          <w:tcPr>
            <w:tcW w:type="dxa" w:w="64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Procès-verbaux des organes (AG, conseil), liste des dirigeants et pouvoirs</w:t>
            </w:r>
          </w:p>
        </w:tc>
        <w:tc>
          <w:tcPr>
            <w:tcW w:type="dxa" w:w="20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sz w:val="22"/>
                <w:szCs w:val="22"/>
              </w:rPr>
              <w:t xml:space="preserve">☐</w:t>
            </w:r>
          </w:p>
        </w:tc>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P03</w:t>
            </w:r>
          </w:p>
        </w:tc>
        <w:tc>
          <w:tcPr>
            <w:tcW w:type="dxa" w:w="6438"/>
            <w:tcMar>
              <w:top w:type="dxa" w:w="40"/>
              <w:left w:type="dxa" w:w="80"/>
              <w:bottom w:type="dxa" w:w="40"/>
              <w:right w:type="dxa" w:w="80"/>
            </w:tcMar>
          </w:tcPr>
          <w:p>
            <w:pPr>
              <w:spacing w:after="0" w:line="240"/>
            </w:pPr>
            <w:r>
              <w:rPr>
                <w:rFonts w:ascii="Calibri" w:cs="Calibri" w:eastAsia="Calibri" w:hAnsi="Calibri"/>
                <w:sz w:val="17"/>
                <w:szCs w:val="17"/>
              </w:rPr>
              <w:t xml:space="preserve">Organigramme du groupe : participations, sociétés sœurs, cautions croisées</w:t>
            </w:r>
          </w:p>
        </w:tc>
        <w:tc>
          <w:tcPr>
            <w:tcW w:type="dxa" w:w="2000"/>
            <w:tcMar>
              <w:top w:type="dxa" w:w="40"/>
              <w:left w:type="dxa" w:w="80"/>
              <w:bottom w:type="dxa" w:w="40"/>
              <w:right w:type="dxa" w:w="80"/>
            </w:tcMar>
          </w:tcPr>
          <w:p>
            <w:pPr>
              <w:spacing w:after="0" w:line="240"/>
            </w:pPr>
            <w:r>
              <w:rPr>
                <w:rFonts w:ascii="Calibri" w:cs="Calibri" w:eastAsia="Calibri" w:hAnsi="Calibri"/>
                <w:sz w:val="17"/>
                <w:szCs w:val="17"/>
              </w:rPr>
              <w:t xml:space="preserve"/>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sz w:val="22"/>
                <w:szCs w:val="22"/>
              </w:rPr>
              <w:t xml:space="preserve">☐</w:t>
            </w:r>
          </w:p>
        </w:tc>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P04</w:t>
            </w:r>
          </w:p>
        </w:tc>
        <w:tc>
          <w:tcPr>
            <w:tcW w:type="dxa" w:w="64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États de synthèse certifiés des 3 derniers exercices (bilan, CPC, ESG) et rapport du commissaire aux comptes</w:t>
            </w:r>
          </w:p>
        </w:tc>
        <w:tc>
          <w:tcPr>
            <w:tcW w:type="dxa" w:w="20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sz w:val="22"/>
                <w:szCs w:val="22"/>
              </w:rPr>
              <w:t xml:space="preserve">☐</w:t>
            </w:r>
          </w:p>
        </w:tc>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P05</w:t>
            </w:r>
          </w:p>
        </w:tc>
        <w:tc>
          <w:tcPr>
            <w:tcW w:type="dxa" w:w="6438"/>
            <w:tcMar>
              <w:top w:type="dxa" w:w="40"/>
              <w:left w:type="dxa" w:w="80"/>
              <w:bottom w:type="dxa" w:w="40"/>
              <w:right w:type="dxa" w:w="80"/>
            </w:tcMar>
          </w:tcPr>
          <w:p>
            <w:pPr>
              <w:spacing w:after="0" w:line="240"/>
            </w:pPr>
            <w:r>
              <w:rPr>
                <w:rFonts w:ascii="Calibri" w:cs="Calibri" w:eastAsia="Calibri" w:hAnsi="Calibri"/>
                <w:sz w:val="17"/>
                <w:szCs w:val="17"/>
              </w:rPr>
              <w:t xml:space="preserve">Références : programmes livrés sur 5 ans avec justificatifs (permis d'habiter, certificats de conformité, PV de réception)</w:t>
            </w:r>
          </w:p>
        </w:tc>
        <w:tc>
          <w:tcPr>
            <w:tcW w:type="dxa" w:w="2000"/>
            <w:tcMar>
              <w:top w:type="dxa" w:w="40"/>
              <w:left w:type="dxa" w:w="80"/>
              <w:bottom w:type="dxa" w:w="40"/>
              <w:right w:type="dxa" w:w="80"/>
            </w:tcMar>
          </w:tcPr>
          <w:p>
            <w:pPr>
              <w:spacing w:after="0" w:line="240"/>
            </w:pPr>
            <w:r>
              <w:rPr>
                <w:rFonts w:ascii="Calibri" w:cs="Calibri" w:eastAsia="Calibri" w:hAnsi="Calibri"/>
                <w:sz w:val="17"/>
                <w:szCs w:val="17"/>
              </w:rPr>
              <w:t xml:space="preserve"/>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sz w:val="22"/>
                <w:szCs w:val="22"/>
              </w:rPr>
              <w:t xml:space="preserve">☐</w:t>
            </w:r>
          </w:p>
        </w:tc>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P06</w:t>
            </w:r>
          </w:p>
        </w:tc>
        <w:tc>
          <w:tcPr>
            <w:tcW w:type="dxa" w:w="64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Tableau des engagements bancaires toutes banques (encours, échéances, garanties)</w:t>
            </w:r>
          </w:p>
        </w:tc>
        <w:tc>
          <w:tcPr>
            <w:tcW w:type="dxa" w:w="20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sz w:val="22"/>
                <w:szCs w:val="22"/>
              </w:rPr>
              <w:t xml:space="preserve">☐</w:t>
            </w:r>
          </w:p>
        </w:tc>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P07</w:t>
            </w:r>
          </w:p>
        </w:tc>
        <w:tc>
          <w:tcPr>
            <w:tcW w:type="dxa" w:w="6438"/>
            <w:tcMar>
              <w:top w:type="dxa" w:w="40"/>
              <w:left w:type="dxa" w:w="80"/>
              <w:bottom w:type="dxa" w:w="40"/>
              <w:right w:type="dxa" w:w="80"/>
            </w:tcMar>
          </w:tcPr>
          <w:p>
            <w:pPr>
              <w:spacing w:after="0" w:line="240"/>
            </w:pPr>
            <w:r>
              <w:rPr>
                <w:rFonts w:ascii="Calibri" w:cs="Calibri" w:eastAsia="Calibri" w:hAnsi="Calibri"/>
                <w:sz w:val="17"/>
                <w:szCs w:val="17"/>
              </w:rPr>
              <w:t xml:space="preserve">Consultation du crédit bureau (promoteur, dirigeants, sociétés du groupe)</w:t>
            </w:r>
          </w:p>
        </w:tc>
        <w:tc>
          <w:tcPr>
            <w:tcW w:type="dxa" w:w="2000"/>
            <w:tcMar>
              <w:top w:type="dxa" w:w="40"/>
              <w:left w:type="dxa" w:w="80"/>
              <w:bottom w:type="dxa" w:w="40"/>
              <w:right w:type="dxa" w:w="80"/>
            </w:tcMar>
          </w:tcPr>
          <w:p>
            <w:pPr>
              <w:spacing w:after="0" w:line="240"/>
            </w:pPr>
            <w:r>
              <w:rPr>
                <w:rFonts w:ascii="Calibri" w:cs="Calibri" w:eastAsia="Calibri" w:hAnsi="Calibri"/>
                <w:sz w:val="17"/>
                <w:szCs w:val="17"/>
              </w:rPr>
              <w:t xml:space="preserve"/>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sz w:val="22"/>
                <w:szCs w:val="22"/>
              </w:rPr>
              <w:t xml:space="preserve">☐</w:t>
            </w:r>
          </w:p>
        </w:tc>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P08</w:t>
            </w:r>
          </w:p>
        </w:tc>
        <w:tc>
          <w:tcPr>
            <w:tcW w:type="dxa" w:w="64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Chiffre d'affaires prévisionnel du groupe par programme</w:t>
            </w:r>
          </w:p>
        </w:tc>
        <w:tc>
          <w:tcPr>
            <w:tcW w:type="dxa" w:w="20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
            </w:r>
          </w:p>
        </w:tc>
      </w:tr>
    </w:tbl>
    <w:p>
      <w:pPr>
        <w:pStyle w:val="Heading2"/>
        <w:keepNext/>
      </w:pPr>
      <w:r>
        <w:t xml:space="preserve">B. Foncier et autorisations</w:t>
      </w:r>
    </w:p>
    <w:tbl>
      <w:tblPr>
        <w:tblW w:type="dxa" w:w="9638"/>
        <w:tblBorders>
          <w:top w:val="single" w:color="AEB6C6" w:sz="2"/>
          <w:left w:val="single" w:color="AEB6C6" w:sz="2"/>
          <w:bottom w:val="single" w:color="AEB6C6" w:sz="2"/>
          <w:right w:val="single" w:color="AEB6C6" w:sz="2"/>
          <w:insideH w:val="single" w:color="D0D6E2" w:sz="1"/>
          <w:insideV w:val="single" w:color="D0D6E2" w:sz="1"/>
        </w:tblBorders>
      </w:tblPr>
      <w:tblGrid>
        <w:gridCol w:w="500"/>
        <w:gridCol w:w="700"/>
        <w:gridCol w:w="6438"/>
        <w:gridCol w:w="2000"/>
      </w:tblGrid>
      <w:tr>
        <w:trPr>
          <w:cantSplit/>
          <w:tblHeader/>
        </w:trPr>
        <w:tc>
          <w:tcPr>
            <w:tcW w:type="dxa" w:w="5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w:t>
            </w:r>
          </w:p>
        </w:tc>
        <w:tc>
          <w:tcPr>
            <w:tcW w:type="dxa" w:w="7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Réf.</w:t>
            </w:r>
          </w:p>
        </w:tc>
        <w:tc>
          <w:tcPr>
            <w:tcW w:type="dxa" w:w="6438"/>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Pièce</w:t>
            </w:r>
          </w:p>
        </w:tc>
        <w:tc>
          <w:tcPr>
            <w:tcW w:type="dxa" w:w="20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Date de la pièce</w:t>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sz w:val="22"/>
                <w:szCs w:val="22"/>
              </w:rPr>
              <w:t xml:space="preserve">☐</w:t>
            </w:r>
          </w:p>
        </w:tc>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P10</w:t>
            </w:r>
          </w:p>
        </w:tc>
        <w:tc>
          <w:tcPr>
            <w:tcW w:type="dxa" w:w="6438"/>
            <w:tcMar>
              <w:top w:type="dxa" w:w="40"/>
              <w:left w:type="dxa" w:w="80"/>
              <w:bottom w:type="dxa" w:w="40"/>
              <w:right w:type="dxa" w:w="80"/>
            </w:tcMar>
          </w:tcPr>
          <w:p>
            <w:pPr>
              <w:spacing w:after="0" w:line="240"/>
            </w:pPr>
            <w:r>
              <w:rPr>
                <w:rFonts w:ascii="Calibri" w:cs="Calibri" w:eastAsia="Calibri" w:hAnsi="Calibri"/>
                <w:sz w:val="17"/>
                <w:szCs w:val="17"/>
              </w:rPr>
              <w:t xml:space="preserve">Certificat de propriété du titre foncier, avec inscriptions (hypothèques, saisies, servitudes)</w:t>
            </w:r>
          </w:p>
        </w:tc>
        <w:tc>
          <w:tcPr>
            <w:tcW w:type="dxa" w:w="2000"/>
            <w:tcMar>
              <w:top w:type="dxa" w:w="40"/>
              <w:left w:type="dxa" w:w="80"/>
              <w:bottom w:type="dxa" w:w="40"/>
              <w:right w:type="dxa" w:w="80"/>
            </w:tcMar>
          </w:tcPr>
          <w:p>
            <w:pPr>
              <w:spacing w:after="0" w:line="240"/>
            </w:pPr>
            <w:r>
              <w:rPr>
                <w:rFonts w:ascii="Calibri" w:cs="Calibri" w:eastAsia="Calibri" w:hAnsi="Calibri"/>
                <w:sz w:val="17"/>
                <w:szCs w:val="17"/>
              </w:rPr>
              <w:t xml:space="preserve"/>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sz w:val="22"/>
                <w:szCs w:val="22"/>
              </w:rPr>
              <w:t xml:space="preserve">☐</w:t>
            </w:r>
          </w:p>
        </w:tc>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P11</w:t>
            </w:r>
          </w:p>
        </w:tc>
        <w:tc>
          <w:tcPr>
            <w:tcW w:type="dxa" w:w="64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Acte d'acquisition du terrain (ou compromis) et justificatifs de paiement</w:t>
            </w:r>
          </w:p>
        </w:tc>
        <w:tc>
          <w:tcPr>
            <w:tcW w:type="dxa" w:w="20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sz w:val="22"/>
                <w:szCs w:val="22"/>
              </w:rPr>
              <w:t xml:space="preserve">☐</w:t>
            </w:r>
          </w:p>
        </w:tc>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P12</w:t>
            </w:r>
          </w:p>
        </w:tc>
        <w:tc>
          <w:tcPr>
            <w:tcW w:type="dxa" w:w="6438"/>
            <w:tcMar>
              <w:top w:type="dxa" w:w="40"/>
              <w:left w:type="dxa" w:w="80"/>
              <w:bottom w:type="dxa" w:w="40"/>
              <w:right w:type="dxa" w:w="80"/>
            </w:tcMar>
          </w:tcPr>
          <w:p>
            <w:pPr>
              <w:spacing w:after="0" w:line="240"/>
            </w:pPr>
            <w:r>
              <w:rPr>
                <w:rFonts w:ascii="Calibri" w:cs="Calibri" w:eastAsia="Calibri" w:hAnsi="Calibri"/>
                <w:sz w:val="17"/>
                <w:szCs w:val="17"/>
              </w:rPr>
              <w:t xml:space="preserve">Note de renseignements urbanistiques</w:t>
            </w:r>
          </w:p>
        </w:tc>
        <w:tc>
          <w:tcPr>
            <w:tcW w:type="dxa" w:w="2000"/>
            <w:tcMar>
              <w:top w:type="dxa" w:w="40"/>
              <w:left w:type="dxa" w:w="80"/>
              <w:bottom w:type="dxa" w:w="40"/>
              <w:right w:type="dxa" w:w="80"/>
            </w:tcMar>
          </w:tcPr>
          <w:p>
            <w:pPr>
              <w:spacing w:after="0" w:line="240"/>
            </w:pPr>
            <w:r>
              <w:rPr>
                <w:rFonts w:ascii="Calibri" w:cs="Calibri" w:eastAsia="Calibri" w:hAnsi="Calibri"/>
                <w:sz w:val="17"/>
                <w:szCs w:val="17"/>
              </w:rPr>
              <w:t xml:space="preserve"/>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sz w:val="22"/>
                <w:szCs w:val="22"/>
              </w:rPr>
              <w:t xml:space="preserve">☐</w:t>
            </w:r>
          </w:p>
        </w:tc>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P13</w:t>
            </w:r>
          </w:p>
        </w:tc>
        <w:tc>
          <w:tcPr>
            <w:tcW w:type="dxa" w:w="64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Autorisation de lotir (loi 25-90) et/ou permis de construire (loi 12-90), avec plans autorisés</w:t>
            </w:r>
          </w:p>
        </w:tc>
        <w:tc>
          <w:tcPr>
            <w:tcW w:type="dxa" w:w="20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sz w:val="22"/>
                <w:szCs w:val="22"/>
              </w:rPr>
              <w:t xml:space="preserve">☐</w:t>
            </w:r>
          </w:p>
        </w:tc>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P14</w:t>
            </w:r>
          </w:p>
        </w:tc>
        <w:tc>
          <w:tcPr>
            <w:tcW w:type="dxa" w:w="6438"/>
            <w:tcMar>
              <w:top w:type="dxa" w:w="40"/>
              <w:left w:type="dxa" w:w="80"/>
              <w:bottom w:type="dxa" w:w="40"/>
              <w:right w:type="dxa" w:w="80"/>
            </w:tcMar>
          </w:tcPr>
          <w:p>
            <w:pPr>
              <w:spacing w:after="0" w:line="240"/>
            </w:pPr>
            <w:r>
              <w:rPr>
                <w:rFonts w:ascii="Calibri" w:cs="Calibri" w:eastAsia="Calibri" w:hAnsi="Calibri"/>
                <w:sz w:val="17"/>
                <w:szCs w:val="17"/>
              </w:rPr>
              <w:t xml:space="preserve">Autorisation de morcellement / éclatement du titre mère</w:t>
            </w:r>
          </w:p>
        </w:tc>
        <w:tc>
          <w:tcPr>
            <w:tcW w:type="dxa" w:w="2000"/>
            <w:tcMar>
              <w:top w:type="dxa" w:w="40"/>
              <w:left w:type="dxa" w:w="80"/>
              <w:bottom w:type="dxa" w:w="40"/>
              <w:right w:type="dxa" w:w="80"/>
            </w:tcMar>
          </w:tcPr>
          <w:p>
            <w:pPr>
              <w:spacing w:after="0" w:line="240"/>
            </w:pPr>
            <w:r>
              <w:rPr>
                <w:rFonts w:ascii="Calibri" w:cs="Calibri" w:eastAsia="Calibri" w:hAnsi="Calibri"/>
                <w:sz w:val="17"/>
                <w:szCs w:val="17"/>
              </w:rPr>
              <w:t xml:space="preserve"/>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sz w:val="22"/>
                <w:szCs w:val="22"/>
              </w:rPr>
              <w:t xml:space="preserve">☐</w:t>
            </w:r>
          </w:p>
        </w:tc>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P15</w:t>
            </w:r>
          </w:p>
        </w:tc>
        <w:tc>
          <w:tcPr>
            <w:tcW w:type="dxa" w:w="64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Réception provisoire, permis d'habiter, certificat de conformité, réception définitive</w:t>
            </w:r>
          </w:p>
        </w:tc>
        <w:tc>
          <w:tcPr>
            <w:tcW w:type="dxa" w:w="20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
            </w:r>
          </w:p>
        </w:tc>
      </w:tr>
    </w:tbl>
    <w:p>
      <w:pPr>
        <w:pStyle w:val="Heading2"/>
        <w:keepNext/>
      </w:pPr>
      <w:r>
        <w:t xml:space="preserve">C. Programme, technique et business plan</w:t>
      </w:r>
    </w:p>
    <w:tbl>
      <w:tblPr>
        <w:tblW w:type="dxa" w:w="9638"/>
        <w:tblBorders>
          <w:top w:val="single" w:color="AEB6C6" w:sz="2"/>
          <w:left w:val="single" w:color="AEB6C6" w:sz="2"/>
          <w:bottom w:val="single" w:color="AEB6C6" w:sz="2"/>
          <w:right w:val="single" w:color="AEB6C6" w:sz="2"/>
          <w:insideH w:val="single" w:color="D0D6E2" w:sz="1"/>
          <w:insideV w:val="single" w:color="D0D6E2" w:sz="1"/>
        </w:tblBorders>
      </w:tblPr>
      <w:tblGrid>
        <w:gridCol w:w="500"/>
        <w:gridCol w:w="700"/>
        <w:gridCol w:w="6438"/>
        <w:gridCol w:w="2000"/>
      </w:tblGrid>
      <w:tr>
        <w:trPr>
          <w:cantSplit/>
          <w:tblHeader/>
        </w:trPr>
        <w:tc>
          <w:tcPr>
            <w:tcW w:type="dxa" w:w="5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w:t>
            </w:r>
          </w:p>
        </w:tc>
        <w:tc>
          <w:tcPr>
            <w:tcW w:type="dxa" w:w="7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Réf.</w:t>
            </w:r>
          </w:p>
        </w:tc>
        <w:tc>
          <w:tcPr>
            <w:tcW w:type="dxa" w:w="6438"/>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Pièce</w:t>
            </w:r>
          </w:p>
        </w:tc>
        <w:tc>
          <w:tcPr>
            <w:tcW w:type="dxa" w:w="20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Date de la pièce</w:t>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sz w:val="22"/>
                <w:szCs w:val="22"/>
              </w:rPr>
              <w:t xml:space="preserve">☐</w:t>
            </w:r>
          </w:p>
        </w:tc>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P16</w:t>
            </w:r>
          </w:p>
        </w:tc>
        <w:tc>
          <w:tcPr>
            <w:tcW w:type="dxa" w:w="6438"/>
            <w:tcMar>
              <w:top w:type="dxa" w:w="40"/>
              <w:left w:type="dxa" w:w="80"/>
              <w:bottom w:type="dxa" w:w="40"/>
              <w:right w:type="dxa" w:w="80"/>
            </w:tcMar>
          </w:tcPr>
          <w:p>
            <w:pPr>
              <w:spacing w:after="0" w:line="240"/>
            </w:pPr>
            <w:r>
              <w:rPr>
                <w:rFonts w:ascii="Calibri" w:cs="Calibri" w:eastAsia="Calibri" w:hAnsi="Calibri"/>
                <w:sz w:val="17"/>
                <w:szCs w:val="17"/>
              </w:rPr>
              <w:t xml:space="preserve">Business plan du programme (bilan promoteur) : recettes, coût foncier, travaux, frais, marge, planning</w:t>
            </w:r>
          </w:p>
        </w:tc>
        <w:tc>
          <w:tcPr>
            <w:tcW w:type="dxa" w:w="2000"/>
            <w:tcMar>
              <w:top w:type="dxa" w:w="40"/>
              <w:left w:type="dxa" w:w="80"/>
              <w:bottom w:type="dxa" w:w="40"/>
              <w:right w:type="dxa" w:w="80"/>
            </w:tcMar>
          </w:tcPr>
          <w:p>
            <w:pPr>
              <w:spacing w:after="0" w:line="240"/>
            </w:pPr>
            <w:r>
              <w:rPr>
                <w:rFonts w:ascii="Calibri" w:cs="Calibri" w:eastAsia="Calibri" w:hAnsi="Calibri"/>
                <w:sz w:val="17"/>
                <w:szCs w:val="17"/>
              </w:rPr>
              <w:t xml:space="preserve"/>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sz w:val="22"/>
                <w:szCs w:val="22"/>
              </w:rPr>
              <w:t xml:space="preserve">☐</w:t>
            </w:r>
          </w:p>
        </w:tc>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P17</w:t>
            </w:r>
          </w:p>
        </w:tc>
        <w:tc>
          <w:tcPr>
            <w:tcW w:type="dxa" w:w="64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Plan de trésorerie MENSUEL du programme (encaissements, décaissements, tirages, remboursements)</w:t>
            </w:r>
          </w:p>
        </w:tc>
        <w:tc>
          <w:tcPr>
            <w:tcW w:type="dxa" w:w="20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sz w:val="22"/>
                <w:szCs w:val="22"/>
              </w:rPr>
              <w:t xml:space="preserve">☐</w:t>
            </w:r>
          </w:p>
        </w:tc>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P18</w:t>
            </w:r>
          </w:p>
        </w:tc>
        <w:tc>
          <w:tcPr>
            <w:tcW w:type="dxa" w:w="6438"/>
            <w:tcMar>
              <w:top w:type="dxa" w:w="40"/>
              <w:left w:type="dxa" w:w="80"/>
              <w:bottom w:type="dxa" w:w="40"/>
              <w:right w:type="dxa" w:w="80"/>
            </w:tcMar>
          </w:tcPr>
          <w:p>
            <w:pPr>
              <w:spacing w:after="0" w:line="240"/>
            </w:pPr>
            <w:r>
              <w:rPr>
                <w:rFonts w:ascii="Calibri" w:cs="Calibri" w:eastAsia="Calibri" w:hAnsi="Calibri"/>
                <w:sz w:val="17"/>
                <w:szCs w:val="17"/>
              </w:rPr>
              <w:t xml:space="preserve">Étude de marché, grille de prix et références de transactions comparables</w:t>
            </w:r>
          </w:p>
        </w:tc>
        <w:tc>
          <w:tcPr>
            <w:tcW w:type="dxa" w:w="2000"/>
            <w:tcMar>
              <w:top w:type="dxa" w:w="40"/>
              <w:left w:type="dxa" w:w="80"/>
              <w:bottom w:type="dxa" w:w="40"/>
              <w:right w:type="dxa" w:w="80"/>
            </w:tcMar>
          </w:tcPr>
          <w:p>
            <w:pPr>
              <w:spacing w:after="0" w:line="240"/>
            </w:pPr>
            <w:r>
              <w:rPr>
                <w:rFonts w:ascii="Calibri" w:cs="Calibri" w:eastAsia="Calibri" w:hAnsi="Calibri"/>
                <w:sz w:val="17"/>
                <w:szCs w:val="17"/>
              </w:rPr>
              <w:t xml:space="preserve"/>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sz w:val="22"/>
                <w:szCs w:val="22"/>
              </w:rPr>
              <w:t xml:space="preserve">☐</w:t>
            </w:r>
          </w:p>
        </w:tc>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P19</w:t>
            </w:r>
          </w:p>
        </w:tc>
        <w:tc>
          <w:tcPr>
            <w:tcW w:type="dxa" w:w="64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Dossier technique : plans, CPS, marchés des entreprises (montants, délais, pénalités), note du BET</w:t>
            </w:r>
          </w:p>
        </w:tc>
        <w:tc>
          <w:tcPr>
            <w:tcW w:type="dxa" w:w="20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sz w:val="22"/>
                <w:szCs w:val="22"/>
              </w:rPr>
              <w:t xml:space="preserve">☐</w:t>
            </w:r>
          </w:p>
        </w:tc>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P20</w:t>
            </w:r>
          </w:p>
        </w:tc>
        <w:tc>
          <w:tcPr>
            <w:tcW w:type="dxa" w:w="6438"/>
            <w:tcMar>
              <w:top w:type="dxa" w:w="40"/>
              <w:left w:type="dxa" w:w="80"/>
              <w:bottom w:type="dxa" w:w="40"/>
              <w:right w:type="dxa" w:w="80"/>
            </w:tcMar>
          </w:tcPr>
          <w:p>
            <w:pPr>
              <w:spacing w:after="0" w:line="240"/>
            </w:pPr>
            <w:r>
              <w:rPr>
                <w:rFonts w:ascii="Calibri" w:cs="Calibri" w:eastAsia="Calibri" w:hAnsi="Calibri"/>
                <w:sz w:val="17"/>
                <w:szCs w:val="17"/>
              </w:rPr>
              <w:t xml:space="preserve">Planning contractuel des travaux</w:t>
            </w:r>
          </w:p>
        </w:tc>
        <w:tc>
          <w:tcPr>
            <w:tcW w:type="dxa" w:w="2000"/>
            <w:tcMar>
              <w:top w:type="dxa" w:w="40"/>
              <w:left w:type="dxa" w:w="80"/>
              <w:bottom w:type="dxa" w:w="40"/>
              <w:right w:type="dxa" w:w="80"/>
            </w:tcMar>
          </w:tcPr>
          <w:p>
            <w:pPr>
              <w:spacing w:after="0" w:line="240"/>
            </w:pPr>
            <w:r>
              <w:rPr>
                <w:rFonts w:ascii="Calibri" w:cs="Calibri" w:eastAsia="Calibri" w:hAnsi="Calibri"/>
                <w:sz w:val="17"/>
                <w:szCs w:val="17"/>
              </w:rPr>
              <w:t xml:space="preserve"/>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sz w:val="22"/>
                <w:szCs w:val="22"/>
              </w:rPr>
              <w:t xml:space="preserve">☐</w:t>
            </w:r>
          </w:p>
        </w:tc>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P21</w:t>
            </w:r>
          </w:p>
        </w:tc>
        <w:tc>
          <w:tcPr>
            <w:tcW w:type="dxa" w:w="64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Situations de travaux visées (architecte / BET) et rapports de visite de chantier</w:t>
            </w:r>
          </w:p>
        </w:tc>
        <w:tc>
          <w:tcPr>
            <w:tcW w:type="dxa" w:w="20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
            </w:r>
          </w:p>
        </w:tc>
      </w:tr>
    </w:tbl>
    <w:p>
      <w:pPr>
        <w:pStyle w:val="Heading2"/>
        <w:keepNext/>
      </w:pPr>
      <w:r>
        <w:t xml:space="preserve">D. Commercialisation et acquéreurs</w:t>
      </w:r>
    </w:p>
    <w:tbl>
      <w:tblPr>
        <w:tblW w:type="dxa" w:w="9638"/>
        <w:tblBorders>
          <w:top w:val="single" w:color="AEB6C6" w:sz="2"/>
          <w:left w:val="single" w:color="AEB6C6" w:sz="2"/>
          <w:bottom w:val="single" w:color="AEB6C6" w:sz="2"/>
          <w:right w:val="single" w:color="AEB6C6" w:sz="2"/>
          <w:insideH w:val="single" w:color="D0D6E2" w:sz="1"/>
          <w:insideV w:val="single" w:color="D0D6E2" w:sz="1"/>
        </w:tblBorders>
      </w:tblPr>
      <w:tblGrid>
        <w:gridCol w:w="500"/>
        <w:gridCol w:w="700"/>
        <w:gridCol w:w="6438"/>
        <w:gridCol w:w="2000"/>
      </w:tblGrid>
      <w:tr>
        <w:trPr>
          <w:cantSplit/>
          <w:tblHeader/>
        </w:trPr>
        <w:tc>
          <w:tcPr>
            <w:tcW w:type="dxa" w:w="5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w:t>
            </w:r>
          </w:p>
        </w:tc>
        <w:tc>
          <w:tcPr>
            <w:tcW w:type="dxa" w:w="7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Réf.</w:t>
            </w:r>
          </w:p>
        </w:tc>
        <w:tc>
          <w:tcPr>
            <w:tcW w:type="dxa" w:w="6438"/>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Pièce</w:t>
            </w:r>
          </w:p>
        </w:tc>
        <w:tc>
          <w:tcPr>
            <w:tcW w:type="dxa" w:w="20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Date de la pièce</w:t>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sz w:val="22"/>
                <w:szCs w:val="22"/>
              </w:rPr>
              <w:t xml:space="preserve">☐</w:t>
            </w:r>
          </w:p>
        </w:tc>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P22</w:t>
            </w:r>
          </w:p>
        </w:tc>
        <w:tc>
          <w:tcPr>
            <w:tcW w:type="dxa" w:w="6438"/>
            <w:tcMar>
              <w:top w:type="dxa" w:w="40"/>
              <w:left w:type="dxa" w:w="80"/>
              <w:bottom w:type="dxa" w:w="40"/>
              <w:right w:type="dxa" w:w="80"/>
            </w:tcMar>
          </w:tcPr>
          <w:p>
            <w:pPr>
              <w:spacing w:after="0" w:line="240"/>
            </w:pPr>
            <w:r>
              <w:rPr>
                <w:rFonts w:ascii="Calibri" w:cs="Calibri" w:eastAsia="Calibri" w:hAnsi="Calibri"/>
                <w:sz w:val="17"/>
                <w:szCs w:val="17"/>
              </w:rPr>
              <w:t xml:space="preserve">État des ventes lot par lot : prix, date, statut (réservé, compromis, vendu, livré, désisté), acomptes encaissés</w:t>
            </w:r>
          </w:p>
        </w:tc>
        <w:tc>
          <w:tcPr>
            <w:tcW w:type="dxa" w:w="2000"/>
            <w:tcMar>
              <w:top w:type="dxa" w:w="40"/>
              <w:left w:type="dxa" w:w="80"/>
              <w:bottom w:type="dxa" w:w="40"/>
              <w:right w:type="dxa" w:w="80"/>
            </w:tcMar>
          </w:tcPr>
          <w:p>
            <w:pPr>
              <w:spacing w:after="0" w:line="240"/>
            </w:pPr>
            <w:r>
              <w:rPr>
                <w:rFonts w:ascii="Calibri" w:cs="Calibri" w:eastAsia="Calibri" w:hAnsi="Calibri"/>
                <w:sz w:val="17"/>
                <w:szCs w:val="17"/>
              </w:rPr>
              <w:t xml:space="preserve"/>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sz w:val="22"/>
                <w:szCs w:val="22"/>
              </w:rPr>
              <w:t xml:space="preserve">☐</w:t>
            </w:r>
          </w:p>
        </w:tc>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P23</w:t>
            </w:r>
          </w:p>
        </w:tc>
        <w:tc>
          <w:tcPr>
            <w:tcW w:type="dxa" w:w="64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Contrats de réservation, contrats VEFA (loi 44-00 modifiée par la loi 107-12) et actes de vente</w:t>
            </w:r>
          </w:p>
        </w:tc>
        <w:tc>
          <w:tcPr>
            <w:tcW w:type="dxa" w:w="20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sz w:val="22"/>
                <w:szCs w:val="22"/>
              </w:rPr>
              <w:t xml:space="preserve">☐</w:t>
            </w:r>
          </w:p>
        </w:tc>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P24</w:t>
            </w:r>
          </w:p>
        </w:tc>
        <w:tc>
          <w:tcPr>
            <w:tcW w:type="dxa" w:w="6438"/>
            <w:tcMar>
              <w:top w:type="dxa" w:w="40"/>
              <w:left w:type="dxa" w:w="80"/>
              <w:bottom w:type="dxa" w:w="40"/>
              <w:right w:type="dxa" w:w="80"/>
            </w:tcMar>
          </w:tcPr>
          <w:p>
            <w:pPr>
              <w:spacing w:after="0" w:line="240"/>
            </w:pPr>
            <w:r>
              <w:rPr>
                <w:rFonts w:ascii="Calibri" w:cs="Calibri" w:eastAsia="Calibri" w:hAnsi="Calibri"/>
                <w:sz w:val="17"/>
                <w:szCs w:val="17"/>
              </w:rPr>
              <w:t xml:space="preserve">Financement de chaque acquéreur : attestation de déblocage, offre ou accord de crédit, dépôt de dossier, justificatif d'autofinancement, dispositif d'aide</w:t>
            </w:r>
          </w:p>
        </w:tc>
        <w:tc>
          <w:tcPr>
            <w:tcW w:type="dxa" w:w="2000"/>
            <w:tcMar>
              <w:top w:type="dxa" w:w="40"/>
              <w:left w:type="dxa" w:w="80"/>
              <w:bottom w:type="dxa" w:w="40"/>
              <w:right w:type="dxa" w:w="80"/>
            </w:tcMar>
          </w:tcPr>
          <w:p>
            <w:pPr>
              <w:spacing w:after="0" w:line="240"/>
            </w:pPr>
            <w:r>
              <w:rPr>
                <w:rFonts w:ascii="Calibri" w:cs="Calibri" w:eastAsia="Calibri" w:hAnsi="Calibri"/>
                <w:sz w:val="17"/>
                <w:szCs w:val="17"/>
              </w:rPr>
              <w:t xml:space="preserve"/>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sz w:val="22"/>
                <w:szCs w:val="22"/>
              </w:rPr>
              <w:t xml:space="preserve">☐</w:t>
            </w:r>
          </w:p>
        </w:tc>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P25</w:t>
            </w:r>
          </w:p>
        </w:tc>
        <w:tc>
          <w:tcPr>
            <w:tcW w:type="dxa" w:w="64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État des réclamations clients, désistements et litiges</w:t>
            </w:r>
          </w:p>
        </w:tc>
        <w:tc>
          <w:tcPr>
            <w:tcW w:type="dxa" w:w="20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
            </w:r>
          </w:p>
        </w:tc>
      </w:tr>
    </w:tbl>
    <w:p>
      <w:pPr>
        <w:pStyle w:val="Heading2"/>
        <w:keepNext/>
      </w:pPr>
      <w:r>
        <w:t xml:space="preserve">E. Financement et garanties</w:t>
      </w:r>
    </w:p>
    <w:tbl>
      <w:tblPr>
        <w:tblW w:type="dxa" w:w="9638"/>
        <w:tblBorders>
          <w:top w:val="single" w:color="AEB6C6" w:sz="2"/>
          <w:left w:val="single" w:color="AEB6C6" w:sz="2"/>
          <w:bottom w:val="single" w:color="AEB6C6" w:sz="2"/>
          <w:right w:val="single" w:color="AEB6C6" w:sz="2"/>
          <w:insideH w:val="single" w:color="D0D6E2" w:sz="1"/>
          <w:insideV w:val="single" w:color="D0D6E2" w:sz="1"/>
        </w:tblBorders>
      </w:tblPr>
      <w:tblGrid>
        <w:gridCol w:w="500"/>
        <w:gridCol w:w="700"/>
        <w:gridCol w:w="6438"/>
        <w:gridCol w:w="2000"/>
      </w:tblGrid>
      <w:tr>
        <w:trPr>
          <w:cantSplit/>
          <w:tblHeader/>
        </w:trPr>
        <w:tc>
          <w:tcPr>
            <w:tcW w:type="dxa" w:w="5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w:t>
            </w:r>
          </w:p>
        </w:tc>
        <w:tc>
          <w:tcPr>
            <w:tcW w:type="dxa" w:w="7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Réf.</w:t>
            </w:r>
          </w:p>
        </w:tc>
        <w:tc>
          <w:tcPr>
            <w:tcW w:type="dxa" w:w="6438"/>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Pièce</w:t>
            </w:r>
          </w:p>
        </w:tc>
        <w:tc>
          <w:tcPr>
            <w:tcW w:type="dxa" w:w="20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Date de la pièce</w:t>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sz w:val="22"/>
                <w:szCs w:val="22"/>
              </w:rPr>
              <w:t xml:space="preserve">☐</w:t>
            </w:r>
          </w:p>
        </w:tc>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P26</w:t>
            </w:r>
          </w:p>
        </w:tc>
        <w:tc>
          <w:tcPr>
            <w:tcW w:type="dxa" w:w="6438"/>
            <w:tcMar>
              <w:top w:type="dxa" w:w="40"/>
              <w:left w:type="dxa" w:w="80"/>
              <w:bottom w:type="dxa" w:w="40"/>
              <w:right w:type="dxa" w:w="80"/>
            </w:tcMar>
          </w:tcPr>
          <w:p>
            <w:pPr>
              <w:spacing w:after="0" w:line="240"/>
            </w:pPr>
            <w:r>
              <w:rPr>
                <w:rFonts w:ascii="Calibri" w:cs="Calibri" w:eastAsia="Calibri" w:hAnsi="Calibri"/>
                <w:sz w:val="17"/>
                <w:szCs w:val="17"/>
              </w:rPr>
              <w:t xml:space="preserve">Demande de crédit : montant, natures de concours, échéancier, plan de tirage</w:t>
            </w:r>
          </w:p>
        </w:tc>
        <w:tc>
          <w:tcPr>
            <w:tcW w:type="dxa" w:w="2000"/>
            <w:tcMar>
              <w:top w:type="dxa" w:w="40"/>
              <w:left w:type="dxa" w:w="80"/>
              <w:bottom w:type="dxa" w:w="40"/>
              <w:right w:type="dxa" w:w="80"/>
            </w:tcMar>
          </w:tcPr>
          <w:p>
            <w:pPr>
              <w:spacing w:after="0" w:line="240"/>
            </w:pPr>
            <w:r>
              <w:rPr>
                <w:rFonts w:ascii="Calibri" w:cs="Calibri" w:eastAsia="Calibri" w:hAnsi="Calibri"/>
                <w:sz w:val="17"/>
                <w:szCs w:val="17"/>
              </w:rPr>
              <w:t xml:space="preserve"/>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sz w:val="22"/>
                <w:szCs w:val="22"/>
              </w:rPr>
              <w:t xml:space="preserve">☐</w:t>
            </w:r>
          </w:p>
        </w:tc>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P27</w:t>
            </w:r>
          </w:p>
        </w:tc>
        <w:tc>
          <w:tcPr>
            <w:tcW w:type="dxa" w:w="64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Rapport d'expertise immobilière indépendant (valeur actuelle, valeur à l'achèvement)</w:t>
            </w:r>
          </w:p>
        </w:tc>
        <w:tc>
          <w:tcPr>
            <w:tcW w:type="dxa" w:w="20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sz w:val="22"/>
                <w:szCs w:val="22"/>
              </w:rPr>
              <w:t xml:space="preserve">☐</w:t>
            </w:r>
          </w:p>
        </w:tc>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P28</w:t>
            </w:r>
          </w:p>
        </w:tc>
        <w:tc>
          <w:tcPr>
            <w:tcW w:type="dxa" w:w="6438"/>
            <w:tcMar>
              <w:top w:type="dxa" w:w="40"/>
              <w:left w:type="dxa" w:w="80"/>
              <w:bottom w:type="dxa" w:w="40"/>
              <w:right w:type="dxa" w:w="80"/>
            </w:tcMar>
          </w:tcPr>
          <w:p>
            <w:pPr>
              <w:spacing w:after="0" w:line="240"/>
            </w:pPr>
            <w:r>
              <w:rPr>
                <w:rFonts w:ascii="Calibri" w:cs="Calibri" w:eastAsia="Calibri" w:hAnsi="Calibri"/>
                <w:sz w:val="17"/>
                <w:szCs w:val="17"/>
              </w:rPr>
              <w:t xml:space="preserve">État des garanties proposées (hypothèque, cautions, nantissements, GFA) et projets d'actes</w:t>
            </w:r>
          </w:p>
        </w:tc>
        <w:tc>
          <w:tcPr>
            <w:tcW w:type="dxa" w:w="2000"/>
            <w:tcMar>
              <w:top w:type="dxa" w:w="40"/>
              <w:left w:type="dxa" w:w="80"/>
              <w:bottom w:type="dxa" w:w="40"/>
              <w:right w:type="dxa" w:w="80"/>
            </w:tcMar>
          </w:tcPr>
          <w:p>
            <w:pPr>
              <w:spacing w:after="0" w:line="240"/>
            </w:pPr>
            <w:r>
              <w:rPr>
                <w:rFonts w:ascii="Calibri" w:cs="Calibri" w:eastAsia="Calibri" w:hAnsi="Calibri"/>
                <w:sz w:val="17"/>
                <w:szCs w:val="17"/>
              </w:rPr>
              <w:t xml:space="preserve"/>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sz w:val="22"/>
                <w:szCs w:val="22"/>
              </w:rPr>
              <w:t xml:space="preserve">☐</w:t>
            </w:r>
          </w:p>
        </w:tc>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P29</w:t>
            </w:r>
          </w:p>
        </w:tc>
        <w:tc>
          <w:tcPr>
            <w:tcW w:type="dxa" w:w="64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Convention de crédit : clause de mainlevée partielle (quotité de désengagement par lot)</w:t>
            </w:r>
          </w:p>
        </w:tc>
        <w:tc>
          <w:tcPr>
            <w:tcW w:type="dxa" w:w="20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
            </w:r>
          </w:p>
        </w:tc>
      </w:tr>
    </w:tbl>
    <w:p>
      <w:pPr>
        <w:pStyle w:val="Heading2"/>
        <w:keepNext/>
      </w:pPr>
      <w:r>
        <w:t xml:space="preserve">F. Situation bancaire et réglementaire (dossier en cours)</w:t>
      </w:r>
    </w:p>
    <w:tbl>
      <w:tblPr>
        <w:tblW w:type="dxa" w:w="9638"/>
        <w:tblBorders>
          <w:top w:val="single" w:color="AEB6C6" w:sz="2"/>
          <w:left w:val="single" w:color="AEB6C6" w:sz="2"/>
          <w:bottom w:val="single" w:color="AEB6C6" w:sz="2"/>
          <w:right w:val="single" w:color="AEB6C6" w:sz="2"/>
          <w:insideH w:val="single" w:color="D0D6E2" w:sz="1"/>
          <w:insideV w:val="single" w:color="D0D6E2" w:sz="1"/>
        </w:tblBorders>
      </w:tblPr>
      <w:tblGrid>
        <w:gridCol w:w="500"/>
        <w:gridCol w:w="700"/>
        <w:gridCol w:w="6438"/>
        <w:gridCol w:w="2000"/>
      </w:tblGrid>
      <w:tr>
        <w:trPr>
          <w:cantSplit/>
          <w:tblHeader/>
        </w:trPr>
        <w:tc>
          <w:tcPr>
            <w:tcW w:type="dxa" w:w="5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w:t>
            </w:r>
          </w:p>
        </w:tc>
        <w:tc>
          <w:tcPr>
            <w:tcW w:type="dxa" w:w="7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Réf.</w:t>
            </w:r>
          </w:p>
        </w:tc>
        <w:tc>
          <w:tcPr>
            <w:tcW w:type="dxa" w:w="6438"/>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Pièce</w:t>
            </w:r>
          </w:p>
        </w:tc>
        <w:tc>
          <w:tcPr>
            <w:tcW w:type="dxa" w:w="20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Date de la pièce</w:t>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sz w:val="22"/>
                <w:szCs w:val="22"/>
              </w:rPr>
              <w:t xml:space="preserve">☐</w:t>
            </w:r>
          </w:p>
        </w:tc>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P31</w:t>
            </w:r>
          </w:p>
        </w:tc>
        <w:tc>
          <w:tcPr>
            <w:tcW w:type="dxa" w:w="6438"/>
            <w:tcMar>
              <w:top w:type="dxa" w:w="40"/>
              <w:left w:type="dxa" w:w="80"/>
              <w:bottom w:type="dxa" w:w="40"/>
              <w:right w:type="dxa" w:w="80"/>
            </w:tcMar>
          </w:tcPr>
          <w:p>
            <w:pPr>
              <w:spacing w:after="0" w:line="240"/>
            </w:pPr>
            <w:r>
              <w:rPr>
                <w:rFonts w:ascii="Calibri" w:cs="Calibri" w:eastAsia="Calibri" w:hAnsi="Calibri"/>
                <w:sz w:val="17"/>
                <w:szCs w:val="17"/>
              </w:rPr>
              <w:t xml:space="preserve">Échéancier et état des impayés, dépassements, mouvements du compte</w:t>
            </w:r>
          </w:p>
        </w:tc>
        <w:tc>
          <w:tcPr>
            <w:tcW w:type="dxa" w:w="2000"/>
            <w:tcMar>
              <w:top w:type="dxa" w:w="40"/>
              <w:left w:type="dxa" w:w="80"/>
              <w:bottom w:type="dxa" w:w="40"/>
              <w:right w:type="dxa" w:w="80"/>
            </w:tcMar>
          </w:tcPr>
          <w:p>
            <w:pPr>
              <w:spacing w:after="0" w:line="240"/>
            </w:pPr>
            <w:r>
              <w:rPr>
                <w:rFonts w:ascii="Calibri" w:cs="Calibri" w:eastAsia="Calibri" w:hAnsi="Calibri"/>
                <w:sz w:val="17"/>
                <w:szCs w:val="17"/>
              </w:rPr>
              <w:t xml:space="preserve"/>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sz w:val="22"/>
                <w:szCs w:val="22"/>
              </w:rPr>
              <w:t xml:space="preserve">☐</w:t>
            </w:r>
          </w:p>
        </w:tc>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P32</w:t>
            </w:r>
          </w:p>
        </w:tc>
        <w:tc>
          <w:tcPr>
            <w:tcW w:type="dxa" w:w="64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Avenants, protocoles de restructuration, reprofilage ou consolidation</w:t>
            </w:r>
          </w:p>
        </w:tc>
        <w:tc>
          <w:tcPr>
            <w:tcW w:type="dxa" w:w="20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sz w:val="22"/>
                <w:szCs w:val="22"/>
              </w:rPr>
              <w:t xml:space="preserve">☐</w:t>
            </w:r>
          </w:p>
        </w:tc>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P33</w:t>
            </w:r>
          </w:p>
        </w:tc>
        <w:tc>
          <w:tcPr>
            <w:tcW w:type="dxa" w:w="6438"/>
            <w:tcMar>
              <w:top w:type="dxa" w:w="40"/>
              <w:left w:type="dxa" w:w="80"/>
              <w:bottom w:type="dxa" w:w="40"/>
              <w:right w:type="dxa" w:w="80"/>
            </w:tcMar>
          </w:tcPr>
          <w:p>
            <w:pPr>
              <w:spacing w:after="0" w:line="240"/>
            </w:pPr>
            <w:r>
              <w:rPr>
                <w:rFonts w:ascii="Calibri" w:cs="Calibri" w:eastAsia="Calibri" w:hAnsi="Calibri"/>
                <w:sz w:val="17"/>
                <w:szCs w:val="17"/>
              </w:rPr>
              <w:t xml:space="preserve">Notifications de saisie-arrêt / ATD, assignations, jugements (redressement, liquidation)</w:t>
            </w:r>
          </w:p>
        </w:tc>
        <w:tc>
          <w:tcPr>
            <w:tcW w:type="dxa" w:w="2000"/>
            <w:tcMar>
              <w:top w:type="dxa" w:w="40"/>
              <w:left w:type="dxa" w:w="80"/>
              <w:bottom w:type="dxa" w:w="40"/>
              <w:right w:type="dxa" w:w="80"/>
            </w:tcMar>
          </w:tcPr>
          <w:p>
            <w:pPr>
              <w:spacing w:after="0" w:line="240"/>
            </w:pPr>
            <w:r>
              <w:rPr>
                <w:rFonts w:ascii="Calibri" w:cs="Calibri" w:eastAsia="Calibri" w:hAnsi="Calibri"/>
                <w:sz w:val="17"/>
                <w:szCs w:val="17"/>
              </w:rPr>
              <w:t xml:space="preserve"/>
            </w:r>
          </w:p>
        </w:tc>
      </w:tr>
    </w:tbl>
    <w:p>
      <w:pPr>
        <w:pStyle w:val="Heading1"/>
      </w:pPr>
      <w:r>
        <w:t xml:space="preserve">Annexe B — Glossaire</w:t>
      </w:r>
    </w:p>
    <w:tbl>
      <w:tblPr>
        <w:tblW w:type="dxa" w:w="9638"/>
        <w:tblBorders>
          <w:top w:val="single" w:color="AEB6C6" w:sz="2"/>
          <w:left w:val="single" w:color="AEB6C6" w:sz="2"/>
          <w:bottom w:val="single" w:color="AEB6C6" w:sz="2"/>
          <w:right w:val="single" w:color="AEB6C6" w:sz="2"/>
          <w:insideH w:val="single" w:color="D0D6E2" w:sz="1"/>
          <w:insideV w:val="single" w:color="D0D6E2" w:sz="1"/>
        </w:tblBorders>
      </w:tblPr>
      <w:tblGrid>
        <w:gridCol w:w="3000"/>
        <w:gridCol w:w="6638"/>
      </w:tblGrid>
      <w:tr>
        <w:trPr>
          <w:cantSplit/>
          <w:tblHeader/>
        </w:trPr>
        <w:tc>
          <w:tcPr>
            <w:tcW w:type="dxa" w:w="30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Terme</w:t>
            </w:r>
          </w:p>
        </w:tc>
        <w:tc>
          <w:tcPr>
            <w:tcW w:type="dxa" w:w="6638"/>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Définition</w:t>
            </w:r>
          </w:p>
        </w:tc>
      </w:tr>
      <w:tr>
        <w:trPr>
          <w:cantSplit/>
        </w:trPr>
        <w:tc>
          <w:tcPr>
            <w:tcW w:type="dxa" w:w="3000"/>
            <w:tcMar>
              <w:top w:type="dxa" w:w="40"/>
              <w:left w:type="dxa" w:w="80"/>
              <w:bottom w:type="dxa" w:w="40"/>
              <w:right w:type="dxa" w:w="80"/>
            </w:tcMar>
          </w:tcPr>
          <w:p>
            <w:pPr>
              <w:spacing w:after="0" w:line="240"/>
            </w:pPr>
            <w:r>
              <w:rPr>
                <w:rFonts w:ascii="Calibri" w:cs="Calibri" w:eastAsia="Calibri" w:hAnsi="Calibri"/>
                <w:sz w:val="17"/>
                <w:szCs w:val="17"/>
              </w:rPr>
              <w:t xml:space="preserve">Critère éliminatoire (gate)</w:t>
            </w:r>
          </w:p>
        </w:tc>
        <w:tc>
          <w:tcPr>
            <w:tcW w:type="dxa" w:w="6638"/>
            <w:tcMar>
              <w:top w:type="dxa" w:w="40"/>
              <w:left w:type="dxa" w:w="80"/>
              <w:bottom w:type="dxa" w:w="40"/>
              <w:right w:type="dxa" w:w="80"/>
            </w:tcMar>
          </w:tcPr>
          <w:p>
            <w:pPr>
              <w:spacing w:after="0" w:line="240"/>
            </w:pPr>
            <w:r>
              <w:rPr>
                <w:rFonts w:ascii="Calibri" w:cs="Calibri" w:eastAsia="Calibri" w:hAnsi="Calibri"/>
                <w:sz w:val="17"/>
                <w:szCs w:val="17"/>
              </w:rPr>
              <w:t xml:space="preserve">Critère dont une note plancher bloque la décision favorable tant que la condition n'est pas levée, au jalon indiqué (signature, tirage).</w:t>
            </w:r>
          </w:p>
        </w:tc>
      </w:tr>
      <w:tr>
        <w:trPr>
          <w:cantSplit/>
        </w:trPr>
        <w:tc>
          <w:tcPr>
            <w:tcW w:type="dxa" w:w="30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Donnée décisionnelle</w:t>
            </w:r>
          </w:p>
        </w:tc>
        <w:tc>
          <w:tcPr>
            <w:tcW w:type="dxa" w:w="66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Donnée sans laquelle aucune décision officielle n'est possible (dossier incomplet).</w:t>
            </w:r>
          </w:p>
        </w:tc>
      </w:tr>
      <w:tr>
        <w:trPr>
          <w:cantSplit/>
        </w:trPr>
        <w:tc>
          <w:tcPr>
            <w:tcW w:type="dxa" w:w="3000"/>
            <w:tcMar>
              <w:top w:type="dxa" w:w="40"/>
              <w:left w:type="dxa" w:w="80"/>
              <w:bottom w:type="dxa" w:w="40"/>
              <w:right w:type="dxa" w:w="80"/>
            </w:tcMar>
          </w:tcPr>
          <w:p>
            <w:pPr>
              <w:spacing w:after="0" w:line="240"/>
            </w:pPr>
            <w:r>
              <w:rPr>
                <w:rFonts w:ascii="Calibri" w:cs="Calibri" w:eastAsia="Calibri" w:hAnsi="Calibri"/>
                <w:sz w:val="17"/>
                <w:szCs w:val="17"/>
              </w:rPr>
              <w:t xml:space="preserve">Alerte (red flag)</w:t>
            </w:r>
          </w:p>
        </w:tc>
        <w:tc>
          <w:tcPr>
            <w:tcW w:type="dxa" w:w="6638"/>
            <w:tcMar>
              <w:top w:type="dxa" w:w="40"/>
              <w:left w:type="dxa" w:w="80"/>
              <w:bottom w:type="dxa" w:w="40"/>
              <w:right w:type="dxa" w:w="80"/>
            </w:tcMar>
          </w:tcPr>
          <w:p>
            <w:pPr>
              <w:spacing w:after="0" w:line="240"/>
            </w:pPr>
            <w:r>
              <w:rPr>
                <w:rFonts w:ascii="Calibri" w:cs="Calibri" w:eastAsia="Calibri" w:hAnsi="Calibri"/>
                <w:sz w:val="17"/>
                <w:szCs w:val="17"/>
              </w:rPr>
              <w:t xml:space="preserve">Règle de la couche D5 : malus en points, souffrance automatique (bloquante) ou retour en comité.</w:t>
            </w:r>
          </w:p>
        </w:tc>
      </w:tr>
      <w:tr>
        <w:trPr>
          <w:cantSplit/>
        </w:trPr>
        <w:tc>
          <w:tcPr>
            <w:tcW w:type="dxa" w:w="30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Classe réglementaire BAM</w:t>
            </w:r>
          </w:p>
        </w:tc>
        <w:tc>
          <w:tcPr>
            <w:tcW w:type="dxa" w:w="66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Classement de la créance selon les circulaires de Bank Al-Maghrib (19/G/2002 et 1/W) ; module le score par un coefficient.</w:t>
            </w:r>
          </w:p>
        </w:tc>
      </w:tr>
      <w:tr>
        <w:trPr>
          <w:cantSplit/>
        </w:trPr>
        <w:tc>
          <w:tcPr>
            <w:tcW w:type="dxa" w:w="3000"/>
            <w:tcMar>
              <w:top w:type="dxa" w:w="40"/>
              <w:left w:type="dxa" w:w="80"/>
              <w:bottom w:type="dxa" w:w="40"/>
              <w:right w:type="dxa" w:w="80"/>
            </w:tcMar>
          </w:tcPr>
          <w:p>
            <w:pPr>
              <w:spacing w:after="0" w:line="240"/>
            </w:pPr>
            <w:r>
              <w:rPr>
                <w:rFonts w:ascii="Calibri" w:cs="Calibri" w:eastAsia="Calibri" w:hAnsi="Calibri"/>
                <w:sz w:val="17"/>
                <w:szCs w:val="17"/>
              </w:rPr>
              <w:t xml:space="preserve">Quotité de désengagement</w:t>
            </w:r>
          </w:p>
        </w:tc>
        <w:tc>
          <w:tcPr>
            <w:tcW w:type="dxa" w:w="6638"/>
            <w:tcMar>
              <w:top w:type="dxa" w:w="40"/>
              <w:left w:type="dxa" w:w="80"/>
              <w:bottom w:type="dxa" w:w="40"/>
              <w:right w:type="dxa" w:w="80"/>
            </w:tcMar>
          </w:tcPr>
          <w:p>
            <w:pPr>
              <w:spacing w:after="0" w:line="240"/>
            </w:pPr>
            <w:r>
              <w:rPr>
                <w:rFonts w:ascii="Calibri" w:cs="Calibri" w:eastAsia="Calibri" w:hAnsi="Calibri"/>
                <w:sz w:val="17"/>
                <w:szCs w:val="17"/>
              </w:rPr>
              <w:t xml:space="preserve">Part du prix de vente d'un lot remboursée à la banque en contrepartie de la mainlevée partielle.</w:t>
            </w:r>
          </w:p>
        </w:tc>
      </w:tr>
      <w:tr>
        <w:trPr>
          <w:cantSplit/>
        </w:trPr>
        <w:tc>
          <w:tcPr>
            <w:tcW w:type="dxa" w:w="30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Quotité d'équilibre</w:t>
            </w:r>
          </w:p>
        </w:tc>
        <w:tc>
          <w:tcPr>
            <w:tcW w:type="dxa" w:w="66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Encours / valeur commercialisable totale : quotité minimale qui éteint la dette à la vente du dernier lot.</w:t>
            </w:r>
          </w:p>
        </w:tc>
      </w:tr>
      <w:tr>
        <w:trPr>
          <w:cantSplit/>
        </w:trPr>
        <w:tc>
          <w:tcPr>
            <w:tcW w:type="dxa" w:w="3000"/>
            <w:tcMar>
              <w:top w:type="dxa" w:w="40"/>
              <w:left w:type="dxa" w:w="80"/>
              <w:bottom w:type="dxa" w:w="40"/>
              <w:right w:type="dxa" w:w="80"/>
            </w:tcMar>
          </w:tcPr>
          <w:p>
            <w:pPr>
              <w:spacing w:after="0" w:line="240"/>
            </w:pPr>
            <w:r>
              <w:rPr>
                <w:rFonts w:ascii="Calibri" w:cs="Calibri" w:eastAsia="Calibri" w:hAnsi="Calibri"/>
                <w:sz w:val="17"/>
                <w:szCs w:val="17"/>
              </w:rPr>
              <w:t xml:space="preserve">Ventes sécurisées</w:t>
            </w:r>
          </w:p>
        </w:tc>
        <w:tc>
          <w:tcPr>
            <w:tcW w:type="dxa" w:w="6638"/>
            <w:tcMar>
              <w:top w:type="dxa" w:w="40"/>
              <w:left w:type="dxa" w:w="80"/>
              <w:bottom w:type="dxa" w:w="40"/>
              <w:right w:type="dxa" w:w="80"/>
            </w:tcMar>
          </w:tcPr>
          <w:p>
            <w:pPr>
              <w:spacing w:after="0" w:line="240"/>
            </w:pPr>
            <w:r>
              <w:rPr>
                <w:rFonts w:ascii="Calibri" w:cs="Calibri" w:eastAsia="Calibri" w:hAnsi="Calibri"/>
                <w:sz w:val="17"/>
                <w:szCs w:val="17"/>
              </w:rPr>
              <w:t xml:space="preserve">Ventes pondérées par la solidité du financement de l'acquéreur (débloqué, accordé, en cours, non instruit, refusé).</w:t>
            </w:r>
          </w:p>
        </w:tc>
      </w:tr>
      <w:tr>
        <w:trPr>
          <w:cantSplit/>
        </w:trPr>
        <w:tc>
          <w:tcPr>
            <w:tcW w:type="dxa" w:w="30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Division des risques</w:t>
            </w:r>
          </w:p>
        </w:tc>
        <w:tc>
          <w:tcPr>
            <w:tcW w:type="dxa" w:w="66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Limite d'exposition sur une contrepartie ou un groupe, rapportée aux fonds propres de la banque.</w:t>
            </w:r>
          </w:p>
        </w:tc>
      </w:tr>
      <w:tr>
        <w:trPr>
          <w:cantSplit/>
        </w:trPr>
        <w:tc>
          <w:tcPr>
            <w:tcW w:type="dxa" w:w="3000"/>
            <w:tcMar>
              <w:top w:type="dxa" w:w="40"/>
              <w:left w:type="dxa" w:w="80"/>
              <w:bottom w:type="dxa" w:w="40"/>
              <w:right w:type="dxa" w:w="80"/>
            </w:tcMar>
          </w:tcPr>
          <w:p>
            <w:pPr>
              <w:spacing w:after="0" w:line="240"/>
            </w:pPr>
            <w:r>
              <w:rPr>
                <w:rFonts w:ascii="Calibri" w:cs="Calibri" w:eastAsia="Calibri" w:hAnsi="Calibri"/>
                <w:sz w:val="17"/>
                <w:szCs w:val="17"/>
              </w:rPr>
              <w:t xml:space="preserve">LTC / LTV</w:t>
            </w:r>
          </w:p>
        </w:tc>
        <w:tc>
          <w:tcPr>
            <w:tcW w:type="dxa" w:w="6638"/>
            <w:tcMar>
              <w:top w:type="dxa" w:w="40"/>
              <w:left w:type="dxa" w:w="80"/>
              <w:bottom w:type="dxa" w:w="40"/>
              <w:right w:type="dxa" w:w="80"/>
            </w:tcMar>
          </w:tcPr>
          <w:p>
            <w:pPr>
              <w:spacing w:after="0" w:line="240"/>
            </w:pPr>
            <w:r>
              <w:rPr>
                <w:rFonts w:ascii="Calibri" w:cs="Calibri" w:eastAsia="Calibri" w:hAnsi="Calibri"/>
                <w:sz w:val="17"/>
                <w:szCs w:val="17"/>
              </w:rPr>
              <w:t xml:space="preserve">Crédit rapporté au coût total du programme / à la valeur d'expertise décotée de 10 %.</w:t>
            </w:r>
          </w:p>
        </w:tc>
      </w:tr>
      <w:tr>
        <w:trPr>
          <w:cantSplit/>
        </w:trPr>
        <w:tc>
          <w:tcPr>
            <w:tcW w:type="dxa" w:w="30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Impasse</w:t>
            </w:r>
          </w:p>
        </w:tc>
        <w:tc>
          <w:tcPr>
            <w:tcW w:type="dxa" w:w="66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Besoin de financement non couvert au pire mois du plan de trésorerie.</w:t>
            </w:r>
          </w:p>
        </w:tc>
      </w:tr>
      <w:tr>
        <w:trPr>
          <w:cantSplit/>
        </w:trPr>
        <w:tc>
          <w:tcPr>
            <w:tcW w:type="dxa" w:w="3000"/>
            <w:tcMar>
              <w:top w:type="dxa" w:w="40"/>
              <w:left w:type="dxa" w:w="80"/>
              <w:bottom w:type="dxa" w:w="40"/>
              <w:right w:type="dxa" w:w="80"/>
            </w:tcMar>
          </w:tcPr>
          <w:p>
            <w:pPr>
              <w:spacing w:after="0" w:line="240"/>
            </w:pPr>
            <w:r>
              <w:rPr>
                <w:rFonts w:ascii="Calibri" w:cs="Calibri" w:eastAsia="Calibri" w:hAnsi="Calibri"/>
                <w:sz w:val="17"/>
                <w:szCs w:val="17"/>
              </w:rPr>
              <w:t xml:space="preserve">PD indicative</w:t>
            </w:r>
          </w:p>
        </w:tc>
        <w:tc>
          <w:tcPr>
            <w:tcW w:type="dxa" w:w="6638"/>
            <w:tcMar>
              <w:top w:type="dxa" w:w="40"/>
              <w:left w:type="dxa" w:w="80"/>
              <w:bottom w:type="dxa" w:w="40"/>
              <w:right w:type="dxa" w:w="80"/>
            </w:tcMar>
          </w:tcPr>
          <w:p>
            <w:pPr>
              <w:spacing w:after="0" w:line="240"/>
            </w:pPr>
            <w:r>
              <w:rPr>
                <w:rFonts w:ascii="Calibri" w:cs="Calibri" w:eastAsia="Calibri" w:hAnsi="Calibri"/>
                <w:sz w:val="17"/>
                <w:szCs w:val="17"/>
              </w:rPr>
              <w:t xml:space="preserve">Probabilité de défaut déduite du score par une formule non calibrée : à titre indicatif.</w:t>
            </w:r>
          </w:p>
        </w:tc>
      </w:tr>
      <w:tr>
        <w:trPr>
          <w:cantSplit/>
        </w:trPr>
        <w:tc>
          <w:tcPr>
            <w:tcW w:type="dxa" w:w="30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Synchroniser vers le scoring</w:t>
            </w:r>
          </w:p>
        </w:tc>
        <w:tc>
          <w:tcPr>
            <w:tcW w:type="dxa" w:w="6638"/>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Bouton qui reporte dans la saisie les données calculées à partir du suivi (lots, autorisations, facilités, événements).</w:t>
            </w:r>
          </w:p>
        </w:tc>
      </w:tr>
    </w:tbl>
    <w:sectPr>
      <w:headerReference w:type="default" r:id="rId11"/>
      <w:footerReference w:type="default" r:id="rId12"/>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F2" w:sz="4" w:space="4"/>
      </w:pBdr>
      <w:spacing w:after="0"/>
      <w:jc w:val="right"/>
    </w:pPr>
    <w:r>
      <w:rPr>
        <w:rFonts w:ascii="Calibri" w:cs="Calibri" w:eastAsia="Calibri" w:hAnsi="Calibri"/>
        <w:color w:val="595959"/>
        <w:sz w:val="15"/>
        <w:szCs w:val="15"/>
      </w:rPr>
      <w:t xml:space="preserve">Guide du chargé d'affaires — promotion immobilière · modèle v4.0.0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F2" w:sz="4" w:space="4"/>
      </w:pBdr>
      <w:spacing w:after="0"/>
      <w:jc w:val="right"/>
    </w:pPr>
    <w:r>
      <w:rPr>
        <w:rFonts w:ascii="Calibri" w:cs="Calibri" w:eastAsia="Calibri" w:hAnsi="Calibri"/>
        <w:color w:val="595959"/>
        <w:sz w:val="15"/>
        <w:szCs w:val="15"/>
      </w:rPr>
      <w:t xml:space="preserve">Guide du chargé d'affaires — promotion immobilière · modèle v4.0.0</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F2" w:sz="4" w:space="4"/>
      </w:pBdr>
      <w:spacing w:after="0"/>
      <w:jc w:val="right"/>
    </w:pPr>
    <w:r>
      <w:rPr>
        <w:rFonts w:ascii="Calibri" w:cs="Calibri" w:eastAsia="Calibri" w:hAnsi="Calibri"/>
        <w:color w:val="595959"/>
        <w:sz w:val="15"/>
        <w:szCs w:val="15"/>
      </w:rPr>
      <w:t xml:space="preserve">Guide du chargé d'affaires — promotion immobilière · modèle v4.0.0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20"/>
      </w:pPr>
    </w:lvl>
  </w:abstractNum>
  <w:abstractNum w:abstractNumId="4" w15:restartNumberingAfterBreak="0">
    <w:multiLevelType w:val="hybridMultilevel"/>
    <w:lvl w:ilvl="0" w15:tentative="1">
      <w:start w:val="1"/>
      <w:numFmt w:val="decimal"/>
      <w:lvlText w:val="%1."/>
      <w:lvlJc w:val="left"/>
      <w:pPr>
        <w:ind w:left="460" w:hanging="320"/>
      </w:pPr>
    </w:lvl>
  </w:abstractNum>
  <w:abstractNum w:abstractNumId="5" w15:restartNumberingAfterBreak="0">
    <w:multiLevelType w:val="hybridMultilevel"/>
    <w:lvl w:ilvl="0" w15:tentative="1">
      <w:start w:val="1"/>
      <w:numFmt w:val="decimal"/>
      <w:lvlText w:val="%1."/>
      <w:lvlJc w:val="left"/>
      <w:pPr>
        <w:ind w:left="46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E1F2" w:sz="6" w:space="4"/>
      </w:pBdr>
      <w:spacing w:after="140" w:before="24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E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 chargé d'affaires — crédit à la promotion immobilière</dc:title>
  <dc:creator>Outil de scoring PI</dc:creator>
  <cp:lastModifiedBy>Un-named</cp:lastModifiedBy>
  <cp:revision>1</cp:revision>
  <dcterms:created xsi:type="dcterms:W3CDTF">2026-09-30T06:55:07.545Z</dcterms:created>
  <dcterms:modified xsi:type="dcterms:W3CDTF">2026-09-30T06:55:07.545Z</dcterms:modified>
</cp:coreProperties>
</file>

<file path=docProps/custom.xml><?xml version="1.0" encoding="utf-8"?>
<Properties xmlns="http://schemas.openxmlformats.org/officeDocument/2006/custom-properties" xmlns:vt="http://schemas.openxmlformats.org/officeDocument/2006/docPropsVTypes"/>
</file>