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1F3864"/>
          <w:sz w:val="54"/>
          <w:szCs w:val="54"/>
        </w:rPr>
        <w:t xml:space="preserve">MODÈLE DE SCORING</w:t>
      </w:r>
    </w:p>
    <w:p>
      <w:pPr>
        <w:spacing w:before="60"/>
        <w:jc w:val="center"/>
      </w:pPr>
      <w:r>
        <w:rPr>
          <w:rFonts w:ascii="Calibri" w:cs="Calibri" w:eastAsia="Calibri" w:hAnsi="Calibri"/>
          <w:b/>
          <w:bCs/>
          <w:color w:val="2E5496"/>
          <w:sz w:val="54"/>
          <w:szCs w:val="54"/>
        </w:rPr>
        <w:t xml:space="preserve">PROMOTION IMMOBILIÈRE — v3.0.0</w:t>
      </w:r>
    </w:p>
    <w:p>
      <w:pPr>
        <w:pBdr>
          <w:top w:val="single" w:color="D9E1F2" w:sz="12" w:space="8"/>
        </w:pBdr>
        <w:spacing w:before="240"/>
        <w:jc w:val="center"/>
      </w:pPr>
      <w:r>
        <w:rPr>
          <w:sz w:val="2"/>
          <w:szCs w:val="2"/>
        </w:rPr>
        <w:t xml:space="preserve"/>
      </w:r>
    </w:p>
    <w:p>
      <w:pPr>
        <w:spacing w:before="300"/>
        <w:jc w:val="center"/>
      </w:pPr>
      <w:r>
        <w:rPr>
          <w:rFonts w:ascii="Calibri" w:cs="Calibri" w:eastAsia="Calibri" w:hAnsi="Calibri"/>
          <w:i/>
          <w:iCs/>
          <w:color w:val="595959"/>
          <w:sz w:val="26"/>
          <w:szCs w:val="26"/>
        </w:rPr>
        <w:t xml:space="preserve">Nouveau modèle intégrant la remédiation du diagnostic</w:t>
      </w:r>
    </w:p>
    <w:p>
      <w:pPr>
        <w:spacing w:before="40"/>
        <w:jc w:val="center"/>
      </w:pPr>
      <w:r>
        <w:rPr>
          <w:rFonts w:ascii="Calibri" w:cs="Calibri" w:eastAsia="Calibri" w:hAnsi="Calibri"/>
          <w:color w:val="595959"/>
          <w:sz w:val="20"/>
          <w:szCs w:val="20"/>
        </w:rPr>
        <w:t xml:space="preserve">Constats F01 à F18 · Vision lotissement · Événements → comité &amp; reprofilage</w:t>
      </w:r>
    </w:p>
    <w:p>
      <w:pPr>
        <w:spacing w:before="1400"/>
        <w:jc w:val="center"/>
      </w:pPr>
      <w:r>
        <w:rPr>
          <w:rFonts w:ascii="Calibri" w:cs="Calibri" w:eastAsia="Calibri" w:hAnsi="Calibri"/>
          <w:b/>
          <w:bCs/>
          <w:color w:val="1F3864"/>
          <w:sz w:val="24"/>
          <w:szCs w:val="24"/>
        </w:rPr>
        <w:t xml:space="preserve">PI_PROMOTION v3.0.0 — publiée en production</w:t>
      </w:r>
    </w:p>
    <w:p>
      <w:pPr>
        <w:spacing w:before="40"/>
        <w:jc w:val="center"/>
      </w:pPr>
      <w:r>
        <w:rPr>
          <w:rFonts w:ascii="Calibri" w:cs="Calibri" w:eastAsia="Calibri" w:hAnsi="Calibri"/>
          <w:color w:val="595959"/>
          <w:sz w:val="20"/>
          <w:szCs w:val="20"/>
        </w:rPr>
        <w:t xml:space="preserve">Date d'édition : 20 septembre 2026</w:t>
      </w:r>
    </w:p>
    <w:p>
      <w:r>
        <w:br w:type="page"/>
      </w:r>
    </w:p>
    <w:p>
      <w:pPr>
        <w:pStyle w:val="Heading1"/>
        <w:spacing w:after="120" w:before="0" w:line="276"/>
      </w:pPr>
      <w:r>
        <w:rPr>
          <w:rFonts w:ascii="Calibri" w:cs="Calibri" w:eastAsia="Calibri" w:hAnsi="Calibri"/>
          <w:sz w:val="21"/>
          <w:szCs w:val="21"/>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0" w:line="276"/>
      </w:pPr>
      <w:r>
        <w:rPr>
          <w:rFonts w:ascii="Calibri" w:cs="Calibri" w:eastAsia="Calibri" w:hAnsi="Calibri"/>
          <w:sz w:val="21"/>
          <w:szCs w:val="21"/>
        </w:rPr>
        <w:t xml:space="preserve">1. Ce qui change dans le nouveau modèle</w:t>
      </w:r>
    </w:p>
    <w:p>
      <w:pPr>
        <w:spacing w:after="120" w:before="0" w:line="276"/>
      </w:pPr>
      <w:r>
        <w:rPr>
          <w:rFonts w:ascii="Calibri" w:cs="Calibri" w:eastAsia="Calibri" w:hAnsi="Calibri"/>
          <w:sz w:val="21"/>
          <w:szCs w:val="21"/>
        </w:rPr>
        <w:t xml:space="preserve">Le modèle v3.0.0 conserve le socle éprouvé de la v2.0.0 (4 domaines pondérés D1–D4, échelle critère 1–10, overlay D5 d'alertes, ajustements segment/zone, coefficients BAM, seuils 75/65/50) et y intègre la remédiation demandée : des invariants de décision qui empêchent une donnée manquante d'améliorer un résultat, la séparation du défaut et de la perte, un stress conforme aux identités comptables, la vision lotissement et le déclenchement systématique d'un comité et d'un nouveau scoring à chaque événement structurant.</w:t>
      </w:r>
    </w:p>
    <w:p>
      <w:pPr>
        <w:pStyle w:val="Heading2"/>
        <w:spacing w:after="120" w:before="0" w:line="276"/>
      </w:pPr>
      <w:r>
        <w:rPr>
          <w:rFonts w:ascii="Calibri" w:cs="Calibri" w:eastAsia="Calibri" w:hAnsi="Calibri"/>
          <w:sz w:val="21"/>
          <w:szCs w:val="21"/>
        </w:rPr>
        <w:t xml:space="preserve">Les cinq apports majeurs</w:t>
      </w:r>
    </w:p>
    <w:p>
      <w:pPr>
        <w:pStyle w:val="ListParagraph"/>
        <w:numPr>
          <w:ilvl w:val="0"/>
          <w:numId w:val="2"/>
        </w:numPr>
        <w:spacing w:after="60" w:line="276"/>
      </w:pPr>
      <w:r>
        <w:rPr>
          <w:rFonts w:ascii="Calibri" w:cs="Calibri" w:eastAsia="Calibri" w:hAnsi="Calibri"/>
          <w:b/>
          <w:bCs/>
          <w:sz w:val="21"/>
          <w:szCs w:val="21"/>
        </w:rPr>
        <w:t xml:space="preserve">Sécurité des décisions : </w:t>
      </w:r>
      <w:r>
        <w:rPr>
          <w:rFonts w:ascii="Calibri" w:cs="Calibri" w:eastAsia="Calibri" w:hAnsi="Calibri"/>
          <w:sz w:val="21"/>
          <w:szCs w:val="21"/>
        </w:rPr>
        <w:t xml:space="preserve">une donnée critique absente produit « Dossier incomplet » (nouvelle décision), jamais un meilleur score ; un défaut avéré ne peut plus produire une décision performante.</w:t>
      </w:r>
    </w:p>
    <w:p>
      <w:pPr>
        <w:pStyle w:val="ListParagraph"/>
        <w:numPr>
          <w:ilvl w:val="0"/>
          <w:numId w:val="2"/>
        </w:numPr>
        <w:spacing w:after="60" w:line="276"/>
      </w:pPr>
      <w:r>
        <w:rPr>
          <w:rFonts w:ascii="Calibri" w:cs="Calibri" w:eastAsia="Calibri" w:hAnsi="Calibri"/>
          <w:b/>
          <w:bCs/>
          <w:sz w:val="21"/>
          <w:szCs w:val="21"/>
        </w:rPr>
        <w:t xml:space="preserve">Stress réaliste : </w:t>
      </w:r>
      <w:r>
        <w:rPr>
          <w:rFonts w:ascii="Calibri" w:cs="Calibri" w:eastAsia="Calibri" w:hAnsi="Calibri"/>
          <w:sz w:val="21"/>
          <w:szCs w:val="21"/>
        </w:rPr>
        <w:t xml:space="preserve">les marges, la LTV et la LTC sont recalculées par identité comptable (les pertes négatives ne sont plus masquées).</w:t>
      </w:r>
    </w:p>
    <w:p>
      <w:pPr>
        <w:pStyle w:val="ListParagraph"/>
        <w:numPr>
          <w:ilvl w:val="0"/>
          <w:numId w:val="2"/>
        </w:numPr>
        <w:spacing w:after="60" w:line="276"/>
      </w:pPr>
      <w:r>
        <w:rPr>
          <w:rFonts w:ascii="Calibri" w:cs="Calibri" w:eastAsia="Calibri" w:hAnsi="Calibri"/>
          <w:b/>
          <w:bCs/>
          <w:sz w:val="21"/>
          <w:szCs w:val="21"/>
        </w:rPr>
        <w:t xml:space="preserve">Séparation des objets : </w:t>
      </w:r>
      <w:r>
        <w:rPr>
          <w:rFonts w:ascii="Calibri" w:cs="Calibri" w:eastAsia="Calibri" w:hAnsi="Calibri"/>
          <w:sz w:val="21"/>
          <w:szCs w:val="21"/>
        </w:rPr>
        <w:t xml:space="preserve">note économique (capacité de remboursement) distincte de la note de sûretés (LGD) ; PD signalée indicative.</w:t>
      </w:r>
    </w:p>
    <w:p>
      <w:pPr>
        <w:pStyle w:val="ListParagraph"/>
        <w:numPr>
          <w:ilvl w:val="0"/>
          <w:numId w:val="2"/>
        </w:numPr>
        <w:spacing w:after="60" w:line="276"/>
      </w:pPr>
      <w:r>
        <w:rPr>
          <w:rFonts w:ascii="Calibri" w:cs="Calibri" w:eastAsia="Calibri" w:hAnsi="Calibri"/>
          <w:b/>
          <w:bCs/>
          <w:sz w:val="21"/>
          <w:szCs w:val="21"/>
        </w:rPr>
        <w:t xml:space="preserve">Vision lotissement : </w:t>
      </w:r>
      <w:r>
        <w:rPr>
          <w:rFonts w:ascii="Calibri" w:cs="Calibri" w:eastAsia="Calibri" w:hAnsi="Calibri"/>
          <w:sz w:val="21"/>
          <w:szCs w:val="21"/>
        </w:rPr>
        <w:t xml:space="preserve">suivi lot par lot des déblocages et de la commercialisation, avec alerte de décaissement en avance de phase.</w:t>
      </w:r>
    </w:p>
    <w:p>
      <w:pPr>
        <w:pStyle w:val="ListParagraph"/>
        <w:numPr>
          <w:ilvl w:val="0"/>
          <w:numId w:val="2"/>
        </w:numPr>
        <w:spacing w:after="60" w:line="276"/>
      </w:pPr>
      <w:r>
        <w:rPr>
          <w:rFonts w:ascii="Calibri" w:cs="Calibri" w:eastAsia="Calibri" w:hAnsi="Calibri"/>
          <w:b/>
          <w:bCs/>
          <w:sz w:val="21"/>
          <w:szCs w:val="21"/>
        </w:rPr>
        <w:t xml:space="preserve">Gouvernance événementielle : </w:t>
      </w:r>
      <w:r>
        <w:rPr>
          <w:rFonts w:ascii="Calibri" w:cs="Calibri" w:eastAsia="Calibri" w:hAnsi="Calibri"/>
          <w:sz w:val="21"/>
          <w:szCs w:val="21"/>
        </w:rPr>
        <w:t xml:space="preserve">restructuration, consolidation, reprofilage et modification de lot imposent un retour en comité et un nouveau scoring.</w:t>
      </w:r>
    </w:p>
    <w:p>
      <w:r>
        <w:br w:type="page"/>
      </w:r>
    </w:p>
    <w:p>
      <w:pPr>
        <w:pStyle w:val="Heading1"/>
        <w:spacing w:after="120" w:before="0" w:line="276"/>
      </w:pPr>
      <w:r>
        <w:rPr>
          <w:rFonts w:ascii="Calibri" w:cs="Calibri" w:eastAsia="Calibri" w:hAnsi="Calibri"/>
          <w:sz w:val="21"/>
          <w:szCs w:val="21"/>
        </w:rPr>
        <w:t xml:space="preserve">2. Traitement des 18 constats du diagnostic</w:t>
      </w:r>
    </w:p>
    <w:p>
      <w:pPr>
        <w:spacing w:after="120" w:before="0" w:line="276"/>
      </w:pPr>
      <w:r>
        <w:rPr>
          <w:rFonts w:ascii="Calibri" w:cs="Calibri" w:eastAsia="Calibri" w:hAnsi="Calibri"/>
          <w:sz w:val="21"/>
          <w:szCs w:val="21"/>
        </w:rPr>
        <w:t xml:space="preserve">Chaque constat du diagnostic est traité ci-dessous. « Intégré » : la correction est en production dans le moteur ou le modèle v3.0.0. « Structuré » : le mécanisme est en place dans l'outil mais son achèvement dépend de données historiques (calibration, backtesting) relevant du programme de validation, comme le préconise le diagnostic lui-même.</w:t>
      </w:r>
    </w:p>
    <w:tbl>
      <w:tblPr>
        <w:tblW w:type="dxa" w:w="9076"/>
        <w:tblBorders>
          <w:top w:val="single" w:color="AEB6C6" w:sz="2"/>
          <w:left w:val="single" w:color="AEB6C6" w:sz="2"/>
          <w:bottom w:val="single" w:color="AEB6C6" w:sz="2"/>
          <w:right w:val="single" w:color="AEB6C6" w:sz="2"/>
          <w:insideH w:val="single" w:color="D0D6E2" w:sz="1"/>
          <w:insideV w:val="single" w:color="D0D6E2" w:sz="1"/>
        </w:tblBorders>
      </w:tblPr>
      <w:tblGrid>
        <w:gridCol w:w="650"/>
        <w:gridCol w:w="2900"/>
        <w:gridCol w:w="4626"/>
        <w:gridCol w:w="900"/>
      </w:tblGrid>
      <w:tr>
        <w:trPr>
          <w:tblHeader/>
        </w:trPr>
        <w:tc>
          <w:tcPr>
            <w:tcW w:type="dxa" w:w="65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w:t>
            </w:r>
          </w:p>
        </w:tc>
        <w:tc>
          <w:tcPr>
            <w:tcW w:type="dxa" w:w="29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Constat</w:t>
            </w:r>
          </w:p>
        </w:tc>
        <w:tc>
          <w:tcPr>
            <w:tcW w:type="dxa" w:w="4626"/>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Traitement dans v3.0.0</w:t>
            </w:r>
          </w:p>
        </w:tc>
        <w:tc>
          <w:tcPr>
            <w:tcW w:type="dxa" w:w="9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État</w:t>
            </w:r>
          </w:p>
        </w:tc>
      </w:tr>
      <w:tr>
        <w:tc>
          <w:tcPr>
            <w:tcW w:type="dxa" w:w="650"/>
            <w:tcMar>
              <w:top w:type="dxa" w:w="40"/>
              <w:left w:type="dxa" w:w="90"/>
              <w:bottom w:type="dxa" w:w="40"/>
              <w:right w:type="dxa" w:w="90"/>
            </w:tcMar>
          </w:tcPr>
          <w:p>
            <w:pPr>
              <w:spacing w:after="0" w:line="252"/>
              <w:jc w:val="center"/>
            </w:pPr>
            <w:r>
              <w:rPr>
                <w:rFonts w:ascii="Calibri" w:cs="Calibri" w:eastAsia="Calibri" w:hAnsi="Calibri"/>
                <w:b/>
                <w:bCs/>
                <w:sz w:val="18"/>
                <w:szCs w:val="18"/>
              </w:rPr>
              <w:t xml:space="preserve">F01</w:t>
            </w:r>
          </w:p>
        </w:tc>
        <w:tc>
          <w:tcPr>
            <w:tcW w:type="dxa" w:w="2900"/>
            <w:tcMar>
              <w:top w:type="dxa" w:w="40"/>
              <w:left w:type="dxa" w:w="90"/>
              <w:bottom w:type="dxa" w:w="40"/>
              <w:right w:type="dxa" w:w="90"/>
            </w:tcMar>
          </w:tcPr>
          <w:p>
            <w:pPr>
              <w:spacing w:after="0" w:line="252"/>
              <w:jc w:val="left"/>
            </w:pPr>
            <w:r>
              <w:rPr>
                <w:rFonts w:ascii="Calibri" w:cs="Calibri" w:eastAsia="Calibri" w:hAnsi="Calibri"/>
                <w:sz w:val="18"/>
                <w:szCs w:val="18"/>
              </w:rPr>
              <w:t xml:space="preserve">Une donnée manquante améliorait la décision</w:t>
            </w:r>
          </w:p>
        </w:tc>
        <w:tc>
          <w:tcPr>
            <w:tcW w:type="dxa" w:w="4626"/>
            <w:tcMar>
              <w:top w:type="dxa" w:w="40"/>
              <w:left w:type="dxa" w:w="90"/>
              <w:bottom w:type="dxa" w:w="40"/>
              <w:right w:type="dxa" w:w="90"/>
            </w:tcMar>
          </w:tcPr>
          <w:p>
            <w:pPr>
              <w:spacing w:after="0" w:line="252"/>
              <w:jc w:val="left"/>
            </w:pPr>
            <w:r>
              <w:rPr>
                <w:rFonts w:ascii="Calibri" w:cs="Calibri" w:eastAsia="Calibri" w:hAnsi="Calibri"/>
                <w:sz w:val="18"/>
                <w:szCs w:val="18"/>
              </w:rPr>
              <w:t xml:space="preserve">Note plancher pour une valeur absente ; alerte « non exclue » si sa clé numérique manque ; clés décisionnelles absentes → dossier incomplet.</w:t>
            </w:r>
          </w:p>
        </w:tc>
        <w:tc>
          <w:tcPr>
            <w:tcW w:type="dxa" w:w="900"/>
            <w:tcMar>
              <w:top w:type="dxa" w:w="40"/>
              <w:left w:type="dxa" w:w="90"/>
              <w:bottom w:type="dxa" w:w="40"/>
              <w:right w:type="dxa" w:w="90"/>
            </w:tcMar>
          </w:tcPr>
          <w:p>
            <w:pPr>
              <w:spacing w:after="0" w:line="252"/>
              <w:jc w:val="center"/>
            </w:pPr>
            <w:r>
              <w:rPr>
                <w:rFonts w:ascii="Calibri" w:cs="Calibri" w:eastAsia="Calibri" w:hAnsi="Calibri"/>
                <w:b/>
                <w:bCs/>
                <w:color w:val="548235"/>
                <w:sz w:val="17"/>
                <w:szCs w:val="17"/>
              </w:rPr>
              <w:t xml:space="preserve">Intégré</w:t>
            </w:r>
          </w:p>
        </w:tc>
      </w:tr>
      <w:tr>
        <w:tc>
          <w:tcPr>
            <w:tcW w:type="dxa" w:w="650"/>
            <w:shd w:fill="F2F5FB" w:color="auto" w:val="clear"/>
            <w:tcMar>
              <w:top w:type="dxa" w:w="40"/>
              <w:left w:type="dxa" w:w="90"/>
              <w:bottom w:type="dxa" w:w="40"/>
              <w:right w:type="dxa" w:w="90"/>
            </w:tcMar>
          </w:tcPr>
          <w:p>
            <w:pPr>
              <w:spacing w:after="0" w:line="252"/>
              <w:jc w:val="center"/>
            </w:pPr>
            <w:r>
              <w:rPr>
                <w:rFonts w:ascii="Calibri" w:cs="Calibri" w:eastAsia="Calibri" w:hAnsi="Calibri"/>
                <w:b/>
                <w:bCs/>
                <w:sz w:val="18"/>
                <w:szCs w:val="18"/>
              </w:rPr>
              <w:t xml:space="preserve">F02</w:t>
            </w:r>
          </w:p>
        </w:tc>
        <w:tc>
          <w:tcPr>
            <w:tcW w:type="dxa" w:w="29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Le blocage de qualité restait informatif</w:t>
            </w:r>
          </w:p>
        </w:tc>
        <w:tc>
          <w:tcPr>
            <w:tcW w:type="dxa" w:w="46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Qualité bloquante / clé critique absente → décision DOSSIER_INCOMPLET, verrou de la décision officielle.</w:t>
            </w:r>
          </w:p>
        </w:tc>
        <w:tc>
          <w:tcPr>
            <w:tcW w:type="dxa" w:w="900"/>
            <w:shd w:fill="F2F5FB" w:color="auto" w:val="clear"/>
            <w:tcMar>
              <w:top w:type="dxa" w:w="40"/>
              <w:left w:type="dxa" w:w="90"/>
              <w:bottom w:type="dxa" w:w="40"/>
              <w:right w:type="dxa" w:w="90"/>
            </w:tcMar>
          </w:tcPr>
          <w:p>
            <w:pPr>
              <w:spacing w:after="0" w:line="252"/>
              <w:jc w:val="center"/>
            </w:pPr>
            <w:r>
              <w:rPr>
                <w:rFonts w:ascii="Calibri" w:cs="Calibri" w:eastAsia="Calibri" w:hAnsi="Calibri"/>
                <w:b/>
                <w:bCs/>
                <w:color w:val="548235"/>
                <w:sz w:val="17"/>
                <w:szCs w:val="17"/>
              </w:rPr>
              <w:t xml:space="preserve">Intégré</w:t>
            </w:r>
          </w:p>
        </w:tc>
      </w:tr>
      <w:tr>
        <w:tc>
          <w:tcPr>
            <w:tcW w:type="dxa" w:w="650"/>
            <w:tcMar>
              <w:top w:type="dxa" w:w="40"/>
              <w:left w:type="dxa" w:w="90"/>
              <w:bottom w:type="dxa" w:w="40"/>
              <w:right w:type="dxa" w:w="90"/>
            </w:tcMar>
          </w:tcPr>
          <w:p>
            <w:pPr>
              <w:spacing w:after="0" w:line="252"/>
              <w:jc w:val="center"/>
            </w:pPr>
            <w:r>
              <w:rPr>
                <w:rFonts w:ascii="Calibri" w:cs="Calibri" w:eastAsia="Calibri" w:hAnsi="Calibri"/>
                <w:b/>
                <w:bCs/>
                <w:sz w:val="18"/>
                <w:szCs w:val="18"/>
              </w:rPr>
              <w:t xml:space="preserve">F03</w:t>
            </w:r>
          </w:p>
        </w:tc>
        <w:tc>
          <w:tcPr>
            <w:tcW w:type="dxa" w:w="2900"/>
            <w:tcMar>
              <w:top w:type="dxa" w:w="40"/>
              <w:left w:type="dxa" w:w="90"/>
              <w:bottom w:type="dxa" w:w="40"/>
              <w:right w:type="dxa" w:w="90"/>
            </w:tcMar>
          </w:tcPr>
          <w:p>
            <w:pPr>
              <w:spacing w:after="0" w:line="252"/>
              <w:jc w:val="left"/>
            </w:pPr>
            <w:r>
              <w:rPr>
                <w:rFonts w:ascii="Calibri" w:cs="Calibri" w:eastAsia="Calibri" w:hAnsi="Calibri"/>
                <w:sz w:val="18"/>
                <w:szCs w:val="18"/>
              </w:rPr>
              <w:t xml:space="preserve">Le défaut ne pilotait pas la décision/PD</w:t>
            </w:r>
          </w:p>
        </w:tc>
        <w:tc>
          <w:tcPr>
            <w:tcW w:type="dxa" w:w="4626"/>
            <w:tcMar>
              <w:top w:type="dxa" w:w="40"/>
              <w:left w:type="dxa" w:w="90"/>
              <w:bottom w:type="dxa" w:w="40"/>
              <w:right w:type="dxa" w:w="90"/>
            </w:tcMar>
          </w:tcPr>
          <w:p>
            <w:pPr>
              <w:spacing w:after="0" w:line="252"/>
              <w:jc w:val="left"/>
            </w:pPr>
            <w:r>
              <w:rPr>
                <w:rFonts w:ascii="Calibri" w:cs="Calibri" w:eastAsia="Calibri" w:hAnsi="Calibri"/>
                <w:sz w:val="18"/>
                <w:szCs w:val="18"/>
              </w:rPr>
              <w:t xml:space="preserve">Classe en défaut propagée → NO_GO « Défaut avéré » ; PD signalée indicative.</w:t>
            </w:r>
          </w:p>
        </w:tc>
        <w:tc>
          <w:tcPr>
            <w:tcW w:type="dxa" w:w="900"/>
            <w:tcMar>
              <w:top w:type="dxa" w:w="40"/>
              <w:left w:type="dxa" w:w="90"/>
              <w:bottom w:type="dxa" w:w="40"/>
              <w:right w:type="dxa" w:w="90"/>
            </w:tcMar>
          </w:tcPr>
          <w:p>
            <w:pPr>
              <w:spacing w:after="0" w:line="252"/>
              <w:jc w:val="center"/>
            </w:pPr>
            <w:r>
              <w:rPr>
                <w:rFonts w:ascii="Calibri" w:cs="Calibri" w:eastAsia="Calibri" w:hAnsi="Calibri"/>
                <w:b/>
                <w:bCs/>
                <w:color w:val="548235"/>
                <w:sz w:val="17"/>
                <w:szCs w:val="17"/>
              </w:rPr>
              <w:t xml:space="preserve">Intégré</w:t>
            </w:r>
          </w:p>
        </w:tc>
      </w:tr>
      <w:tr>
        <w:tc>
          <w:tcPr>
            <w:tcW w:type="dxa" w:w="650"/>
            <w:shd w:fill="F2F5FB" w:color="auto" w:val="clear"/>
            <w:tcMar>
              <w:top w:type="dxa" w:w="40"/>
              <w:left w:type="dxa" w:w="90"/>
              <w:bottom w:type="dxa" w:w="40"/>
              <w:right w:type="dxa" w:w="90"/>
            </w:tcMar>
          </w:tcPr>
          <w:p>
            <w:pPr>
              <w:spacing w:after="0" w:line="252"/>
              <w:jc w:val="center"/>
            </w:pPr>
            <w:r>
              <w:rPr>
                <w:rFonts w:ascii="Calibri" w:cs="Calibri" w:eastAsia="Calibri" w:hAnsi="Calibri"/>
                <w:b/>
                <w:bCs/>
                <w:sz w:val="18"/>
                <w:szCs w:val="18"/>
              </w:rPr>
              <w:t xml:space="preserve">F04</w:t>
            </w:r>
          </w:p>
        </w:tc>
        <w:tc>
          <w:tcPr>
            <w:tcW w:type="dxa" w:w="29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Deux champs pour le même fait</w:t>
            </w:r>
          </w:p>
        </w:tc>
        <w:tc>
          <w:tcPr>
            <w:tcW w:type="dxa" w:w="46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Faits dérivés d'une source unique (dates primitives) ; divergence avec un booléen importé → blocage.</w:t>
            </w:r>
          </w:p>
        </w:tc>
        <w:tc>
          <w:tcPr>
            <w:tcW w:type="dxa" w:w="900"/>
            <w:shd w:fill="F2F5FB" w:color="auto" w:val="clear"/>
            <w:tcMar>
              <w:top w:type="dxa" w:w="40"/>
              <w:left w:type="dxa" w:w="90"/>
              <w:bottom w:type="dxa" w:w="40"/>
              <w:right w:type="dxa" w:w="90"/>
            </w:tcMar>
          </w:tcPr>
          <w:p>
            <w:pPr>
              <w:spacing w:after="0" w:line="252"/>
              <w:jc w:val="center"/>
            </w:pPr>
            <w:r>
              <w:rPr>
                <w:rFonts w:ascii="Calibri" w:cs="Calibri" w:eastAsia="Calibri" w:hAnsi="Calibri"/>
                <w:b/>
                <w:bCs/>
                <w:color w:val="548235"/>
                <w:sz w:val="17"/>
                <w:szCs w:val="17"/>
              </w:rPr>
              <w:t xml:space="preserve">Intégré</w:t>
            </w:r>
          </w:p>
        </w:tc>
      </w:tr>
      <w:tr>
        <w:tc>
          <w:tcPr>
            <w:tcW w:type="dxa" w:w="650"/>
            <w:tcMar>
              <w:top w:type="dxa" w:w="40"/>
              <w:left w:type="dxa" w:w="90"/>
              <w:bottom w:type="dxa" w:w="40"/>
              <w:right w:type="dxa" w:w="90"/>
            </w:tcMar>
          </w:tcPr>
          <w:p>
            <w:pPr>
              <w:spacing w:after="0" w:line="252"/>
              <w:jc w:val="center"/>
            </w:pPr>
            <w:r>
              <w:rPr>
                <w:rFonts w:ascii="Calibri" w:cs="Calibri" w:eastAsia="Calibri" w:hAnsi="Calibri"/>
                <w:b/>
                <w:bCs/>
                <w:sz w:val="18"/>
                <w:szCs w:val="18"/>
              </w:rPr>
              <w:t xml:space="preserve">F05</w:t>
            </w:r>
          </w:p>
        </w:tc>
        <w:tc>
          <w:tcPr>
            <w:tcW w:type="dxa" w:w="2900"/>
            <w:tcMar>
              <w:top w:type="dxa" w:w="40"/>
              <w:left w:type="dxa" w:w="90"/>
              <w:bottom w:type="dxa" w:w="40"/>
              <w:right w:type="dxa" w:w="90"/>
            </w:tcMar>
          </w:tcPr>
          <w:p>
            <w:pPr>
              <w:spacing w:after="0" w:line="252"/>
              <w:jc w:val="left"/>
            </w:pPr>
            <w:r>
              <w:rPr>
                <w:rFonts w:ascii="Calibri" w:cs="Calibri" w:eastAsia="Calibri" w:hAnsi="Calibri"/>
                <w:sz w:val="18"/>
                <w:szCs w:val="18"/>
              </w:rPr>
              <w:t xml:space="preserve">Dérogations insuffisamment bornées</w:t>
            </w:r>
          </w:p>
        </w:tc>
        <w:tc>
          <w:tcPr>
            <w:tcW w:type="dxa" w:w="4626"/>
            <w:tcMar>
              <w:top w:type="dxa" w:w="40"/>
              <w:left w:type="dxa" w:w="90"/>
              <w:bottom w:type="dxa" w:w="40"/>
              <w:right w:type="dxa" w:w="90"/>
            </w:tcMar>
          </w:tcPr>
          <w:p>
            <w:pPr>
              <w:spacing w:after="0" w:line="252"/>
              <w:jc w:val="left"/>
            </w:pPr>
            <w:r>
              <w:rPr>
                <w:rFonts w:ascii="Calibri" w:cs="Calibri" w:eastAsia="Calibri" w:hAnsi="Calibri"/>
                <w:sz w:val="18"/>
                <w:szCs w:val="18"/>
              </w:rPr>
              <w:t xml:space="preserve">Séparation demandeur/approbateur ; plancher non dérogeable (un défaut ne peut pas devenir performant).</w:t>
            </w:r>
          </w:p>
        </w:tc>
        <w:tc>
          <w:tcPr>
            <w:tcW w:type="dxa" w:w="900"/>
            <w:tcMar>
              <w:top w:type="dxa" w:w="40"/>
              <w:left w:type="dxa" w:w="90"/>
              <w:bottom w:type="dxa" w:w="40"/>
              <w:right w:type="dxa" w:w="90"/>
            </w:tcMar>
          </w:tcPr>
          <w:p>
            <w:pPr>
              <w:spacing w:after="0" w:line="252"/>
              <w:jc w:val="center"/>
            </w:pPr>
            <w:r>
              <w:rPr>
                <w:rFonts w:ascii="Calibri" w:cs="Calibri" w:eastAsia="Calibri" w:hAnsi="Calibri"/>
                <w:b/>
                <w:bCs/>
                <w:color w:val="548235"/>
                <w:sz w:val="17"/>
                <w:szCs w:val="17"/>
              </w:rPr>
              <w:t xml:space="preserve">Intégré</w:t>
            </w:r>
          </w:p>
        </w:tc>
      </w:tr>
      <w:tr>
        <w:tc>
          <w:tcPr>
            <w:tcW w:type="dxa" w:w="650"/>
            <w:shd w:fill="F2F5FB" w:color="auto" w:val="clear"/>
            <w:tcMar>
              <w:top w:type="dxa" w:w="40"/>
              <w:left w:type="dxa" w:w="90"/>
              <w:bottom w:type="dxa" w:w="40"/>
              <w:right w:type="dxa" w:w="90"/>
            </w:tcMar>
          </w:tcPr>
          <w:p>
            <w:pPr>
              <w:spacing w:after="0" w:line="252"/>
              <w:jc w:val="center"/>
            </w:pPr>
            <w:r>
              <w:rPr>
                <w:rFonts w:ascii="Calibri" w:cs="Calibri" w:eastAsia="Calibri" w:hAnsi="Calibri"/>
                <w:b/>
                <w:bCs/>
                <w:sz w:val="18"/>
                <w:szCs w:val="18"/>
              </w:rPr>
              <w:t xml:space="preserve">F06</w:t>
            </w:r>
          </w:p>
        </w:tc>
        <w:tc>
          <w:tcPr>
            <w:tcW w:type="dxa" w:w="29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Régime/fraîcheur de classe non verrouillés</w:t>
            </w:r>
          </w:p>
        </w:tc>
        <w:tc>
          <w:tcPr>
            <w:tcW w:type="dxa" w:w="46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À défaut de classification fraîche, plus de présomption SAIN ; sélection de régime par date d'effet.</w:t>
            </w:r>
          </w:p>
        </w:tc>
        <w:tc>
          <w:tcPr>
            <w:tcW w:type="dxa" w:w="900"/>
            <w:shd w:fill="F2F5FB" w:color="auto" w:val="clear"/>
            <w:tcMar>
              <w:top w:type="dxa" w:w="40"/>
              <w:left w:type="dxa" w:w="90"/>
              <w:bottom w:type="dxa" w:w="40"/>
              <w:right w:type="dxa" w:w="90"/>
            </w:tcMar>
          </w:tcPr>
          <w:p>
            <w:pPr>
              <w:spacing w:after="0" w:line="252"/>
              <w:jc w:val="center"/>
            </w:pPr>
            <w:r>
              <w:rPr>
                <w:rFonts w:ascii="Calibri" w:cs="Calibri" w:eastAsia="Calibri" w:hAnsi="Calibri"/>
                <w:b/>
                <w:bCs/>
                <w:color w:val="548235"/>
                <w:sz w:val="17"/>
                <w:szCs w:val="17"/>
              </w:rPr>
              <w:t xml:space="preserve">Intégré</w:t>
            </w:r>
          </w:p>
        </w:tc>
      </w:tr>
      <w:tr>
        <w:tc>
          <w:tcPr>
            <w:tcW w:type="dxa" w:w="650"/>
            <w:tcMar>
              <w:top w:type="dxa" w:w="40"/>
              <w:left w:type="dxa" w:w="90"/>
              <w:bottom w:type="dxa" w:w="40"/>
              <w:right w:type="dxa" w:w="90"/>
            </w:tcMar>
          </w:tcPr>
          <w:p>
            <w:pPr>
              <w:spacing w:after="0" w:line="252"/>
              <w:jc w:val="center"/>
            </w:pPr>
            <w:r>
              <w:rPr>
                <w:rFonts w:ascii="Calibri" w:cs="Calibri" w:eastAsia="Calibri" w:hAnsi="Calibri"/>
                <w:b/>
                <w:bCs/>
                <w:sz w:val="18"/>
                <w:szCs w:val="18"/>
              </w:rPr>
              <w:t xml:space="preserve">F07</w:t>
            </w:r>
          </w:p>
        </w:tc>
        <w:tc>
          <w:tcPr>
            <w:tcW w:type="dxa" w:w="2900"/>
            <w:tcMar>
              <w:top w:type="dxa" w:w="40"/>
              <w:left w:type="dxa" w:w="90"/>
              <w:bottom w:type="dxa" w:w="40"/>
              <w:right w:type="dxa" w:w="90"/>
            </w:tcMar>
          </w:tcPr>
          <w:p>
            <w:pPr>
              <w:spacing w:after="0" w:line="252"/>
              <w:jc w:val="left"/>
            </w:pPr>
            <w:r>
              <w:rPr>
                <w:rFonts w:ascii="Calibri" w:cs="Calibri" w:eastAsia="Calibri" w:hAnsi="Calibri"/>
                <w:sz w:val="18"/>
                <w:szCs w:val="18"/>
              </w:rPr>
              <w:t xml:space="preserve">Les ratios ne prouvent pas le remboursement</w:t>
            </w:r>
          </w:p>
        </w:tc>
        <w:tc>
          <w:tcPr>
            <w:tcW w:type="dxa" w:w="4626"/>
            <w:tcMar>
              <w:top w:type="dxa" w:w="40"/>
              <w:left w:type="dxa" w:w="90"/>
              <w:bottom w:type="dxa" w:w="40"/>
              <w:right w:type="dxa" w:w="90"/>
            </w:tcMar>
          </w:tcPr>
          <w:p>
            <w:pPr>
              <w:spacing w:after="0" w:line="252"/>
              <w:jc w:val="left"/>
            </w:pPr>
            <w:r>
              <w:rPr>
                <w:rFonts w:ascii="Calibri" w:cs="Calibri" w:eastAsia="Calibri" w:hAnsi="Calibri"/>
                <w:sz w:val="18"/>
                <w:szCs w:val="18"/>
              </w:rPr>
              <w:t xml:space="preserve">Dictionnaire de calcul (unités/définitions) porté par le modèle ; budget mensuel de trésorerie à alimenter.</w:t>
            </w:r>
          </w:p>
        </w:tc>
        <w:tc>
          <w:tcPr>
            <w:tcW w:type="dxa" w:w="900"/>
            <w:tcMar>
              <w:top w:type="dxa" w:w="40"/>
              <w:left w:type="dxa" w:w="90"/>
              <w:bottom w:type="dxa" w:w="40"/>
              <w:right w:type="dxa" w:w="90"/>
            </w:tcMar>
          </w:tcPr>
          <w:p>
            <w:pPr>
              <w:spacing w:after="0" w:line="252"/>
              <w:jc w:val="center"/>
            </w:pPr>
            <w:r>
              <w:rPr>
                <w:rFonts w:ascii="Calibri" w:cs="Calibri" w:eastAsia="Calibri" w:hAnsi="Calibri"/>
                <w:b/>
                <w:bCs/>
                <w:color w:val="BF8F00"/>
                <w:sz w:val="17"/>
                <w:szCs w:val="17"/>
              </w:rPr>
              <w:t xml:space="preserve">Structuré</w:t>
            </w:r>
          </w:p>
        </w:tc>
      </w:tr>
      <w:tr>
        <w:tc>
          <w:tcPr>
            <w:tcW w:type="dxa" w:w="650"/>
            <w:shd w:fill="F2F5FB" w:color="auto" w:val="clear"/>
            <w:tcMar>
              <w:top w:type="dxa" w:w="40"/>
              <w:left w:type="dxa" w:w="90"/>
              <w:bottom w:type="dxa" w:w="40"/>
              <w:right w:type="dxa" w:w="90"/>
            </w:tcMar>
          </w:tcPr>
          <w:p>
            <w:pPr>
              <w:spacing w:after="0" w:line="252"/>
              <w:jc w:val="center"/>
            </w:pPr>
            <w:r>
              <w:rPr>
                <w:rFonts w:ascii="Calibri" w:cs="Calibri" w:eastAsia="Calibri" w:hAnsi="Calibri"/>
                <w:b/>
                <w:bCs/>
                <w:sz w:val="18"/>
                <w:szCs w:val="18"/>
              </w:rPr>
              <w:t xml:space="preserve">F08</w:t>
            </w:r>
          </w:p>
        </w:tc>
        <w:tc>
          <w:tcPr>
            <w:tcW w:type="dxa" w:w="29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Le stress ne respectait pas les identités</w:t>
            </w:r>
          </w:p>
        </w:tc>
        <w:tc>
          <w:tcPr>
            <w:tcW w:type="dxa" w:w="46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Stress recalculé par identités comptables (marge, LTV, LTC) ; marges négatives conservées.</w:t>
            </w:r>
          </w:p>
        </w:tc>
        <w:tc>
          <w:tcPr>
            <w:tcW w:type="dxa" w:w="900"/>
            <w:shd w:fill="F2F5FB" w:color="auto" w:val="clear"/>
            <w:tcMar>
              <w:top w:type="dxa" w:w="40"/>
              <w:left w:type="dxa" w:w="90"/>
              <w:bottom w:type="dxa" w:w="40"/>
              <w:right w:type="dxa" w:w="90"/>
            </w:tcMar>
          </w:tcPr>
          <w:p>
            <w:pPr>
              <w:spacing w:after="0" w:line="252"/>
              <w:jc w:val="center"/>
            </w:pPr>
            <w:r>
              <w:rPr>
                <w:rFonts w:ascii="Calibri" w:cs="Calibri" w:eastAsia="Calibri" w:hAnsi="Calibri"/>
                <w:b/>
                <w:bCs/>
                <w:color w:val="548235"/>
                <w:sz w:val="17"/>
                <w:szCs w:val="17"/>
              </w:rPr>
              <w:t xml:space="preserve">Intégré</w:t>
            </w:r>
          </w:p>
        </w:tc>
      </w:tr>
      <w:tr>
        <w:tc>
          <w:tcPr>
            <w:tcW w:type="dxa" w:w="650"/>
            <w:tcMar>
              <w:top w:type="dxa" w:w="40"/>
              <w:left w:type="dxa" w:w="90"/>
              <w:bottom w:type="dxa" w:w="40"/>
              <w:right w:type="dxa" w:w="90"/>
            </w:tcMar>
          </w:tcPr>
          <w:p>
            <w:pPr>
              <w:spacing w:after="0" w:line="252"/>
              <w:jc w:val="center"/>
            </w:pPr>
            <w:r>
              <w:rPr>
                <w:rFonts w:ascii="Calibri" w:cs="Calibri" w:eastAsia="Calibri" w:hAnsi="Calibri"/>
                <w:b/>
                <w:bCs/>
                <w:sz w:val="18"/>
                <w:szCs w:val="18"/>
              </w:rPr>
              <w:t xml:space="preserve">F09</w:t>
            </w:r>
          </w:p>
        </w:tc>
        <w:tc>
          <w:tcPr>
            <w:tcW w:type="dxa" w:w="2900"/>
            <w:tcMar>
              <w:top w:type="dxa" w:w="40"/>
              <w:left w:type="dxa" w:w="90"/>
              <w:bottom w:type="dxa" w:w="40"/>
              <w:right w:type="dxa" w:w="90"/>
            </w:tcMar>
          </w:tcPr>
          <w:p>
            <w:pPr>
              <w:spacing w:after="0" w:line="252"/>
              <w:jc w:val="left"/>
            </w:pPr>
            <w:r>
              <w:rPr>
                <w:rFonts w:ascii="Calibri" w:cs="Calibri" w:eastAsia="Calibri" w:hAnsi="Calibri"/>
                <w:sz w:val="18"/>
                <w:szCs w:val="18"/>
              </w:rPr>
              <w:t xml:space="preserve">La note mêlait défaut et perte</w:t>
            </w:r>
          </w:p>
        </w:tc>
        <w:tc>
          <w:tcPr>
            <w:tcW w:type="dxa" w:w="4626"/>
            <w:tcMar>
              <w:top w:type="dxa" w:w="40"/>
              <w:left w:type="dxa" w:w="90"/>
              <w:bottom w:type="dxa" w:w="40"/>
              <w:right w:type="dxa" w:w="90"/>
            </w:tcMar>
          </w:tcPr>
          <w:p>
            <w:pPr>
              <w:spacing w:after="0" w:line="252"/>
              <w:jc w:val="left"/>
            </w:pPr>
            <w:r>
              <w:rPr>
                <w:rFonts w:ascii="Calibri" w:cs="Calibri" w:eastAsia="Calibri" w:hAnsi="Calibri"/>
                <w:sz w:val="18"/>
                <w:szCs w:val="18"/>
              </w:rPr>
              <w:t xml:space="preserve">Note économique et note de sûretés désormais distinctes (familles de critères).</w:t>
            </w:r>
          </w:p>
        </w:tc>
        <w:tc>
          <w:tcPr>
            <w:tcW w:type="dxa" w:w="900"/>
            <w:tcMar>
              <w:top w:type="dxa" w:w="40"/>
              <w:left w:type="dxa" w:w="90"/>
              <w:bottom w:type="dxa" w:w="40"/>
              <w:right w:type="dxa" w:w="90"/>
            </w:tcMar>
          </w:tcPr>
          <w:p>
            <w:pPr>
              <w:spacing w:after="0" w:line="252"/>
              <w:jc w:val="center"/>
            </w:pPr>
            <w:r>
              <w:rPr>
                <w:rFonts w:ascii="Calibri" w:cs="Calibri" w:eastAsia="Calibri" w:hAnsi="Calibri"/>
                <w:b/>
                <w:bCs/>
                <w:color w:val="548235"/>
                <w:sz w:val="17"/>
                <w:szCs w:val="17"/>
              </w:rPr>
              <w:t xml:space="preserve">Intégré</w:t>
            </w:r>
          </w:p>
        </w:tc>
      </w:tr>
      <w:tr>
        <w:tc>
          <w:tcPr>
            <w:tcW w:type="dxa" w:w="650"/>
            <w:shd w:fill="F2F5FB" w:color="auto" w:val="clear"/>
            <w:tcMar>
              <w:top w:type="dxa" w:w="40"/>
              <w:left w:type="dxa" w:w="90"/>
              <w:bottom w:type="dxa" w:w="40"/>
              <w:right w:type="dxa" w:w="90"/>
            </w:tcMar>
          </w:tcPr>
          <w:p>
            <w:pPr>
              <w:spacing w:after="0" w:line="252"/>
              <w:jc w:val="center"/>
            </w:pPr>
            <w:r>
              <w:rPr>
                <w:rFonts w:ascii="Calibri" w:cs="Calibri" w:eastAsia="Calibri" w:hAnsi="Calibri"/>
                <w:b/>
                <w:bCs/>
                <w:sz w:val="18"/>
                <w:szCs w:val="18"/>
              </w:rPr>
              <w:t xml:space="preserve">F10</w:t>
            </w:r>
          </w:p>
        </w:tc>
        <w:tc>
          <w:tcPr>
            <w:tcW w:type="dxa" w:w="29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Bornes et effets de seuil mal maîtrisés</w:t>
            </w:r>
          </w:p>
        </w:tc>
        <w:tc>
          <w:tcPr>
            <w:tcW w:type="dxa" w:w="46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Libellés régénérés depuis les intervalles exécutés ; tolérance d'impasse corrigée.</w:t>
            </w:r>
          </w:p>
        </w:tc>
        <w:tc>
          <w:tcPr>
            <w:tcW w:type="dxa" w:w="900"/>
            <w:shd w:fill="F2F5FB" w:color="auto" w:val="clear"/>
            <w:tcMar>
              <w:top w:type="dxa" w:w="40"/>
              <w:left w:type="dxa" w:w="90"/>
              <w:bottom w:type="dxa" w:w="40"/>
              <w:right w:type="dxa" w:w="90"/>
            </w:tcMar>
          </w:tcPr>
          <w:p>
            <w:pPr>
              <w:spacing w:after="0" w:line="252"/>
              <w:jc w:val="center"/>
            </w:pPr>
            <w:r>
              <w:rPr>
                <w:rFonts w:ascii="Calibri" w:cs="Calibri" w:eastAsia="Calibri" w:hAnsi="Calibri"/>
                <w:b/>
                <w:bCs/>
                <w:color w:val="548235"/>
                <w:sz w:val="17"/>
                <w:szCs w:val="17"/>
              </w:rPr>
              <w:t xml:space="preserve">Intégré</w:t>
            </w:r>
          </w:p>
        </w:tc>
      </w:tr>
      <w:tr>
        <w:tc>
          <w:tcPr>
            <w:tcW w:type="dxa" w:w="650"/>
            <w:tcMar>
              <w:top w:type="dxa" w:w="40"/>
              <w:left w:type="dxa" w:w="90"/>
              <w:bottom w:type="dxa" w:w="40"/>
              <w:right w:type="dxa" w:w="90"/>
            </w:tcMar>
          </w:tcPr>
          <w:p>
            <w:pPr>
              <w:spacing w:after="0" w:line="252"/>
              <w:jc w:val="center"/>
            </w:pPr>
            <w:r>
              <w:rPr>
                <w:rFonts w:ascii="Calibri" w:cs="Calibri" w:eastAsia="Calibri" w:hAnsi="Calibri"/>
                <w:b/>
                <w:bCs/>
                <w:sz w:val="18"/>
                <w:szCs w:val="18"/>
              </w:rPr>
              <w:t xml:space="preserve">F11</w:t>
            </w:r>
          </w:p>
        </w:tc>
        <w:tc>
          <w:tcPr>
            <w:tcW w:type="dxa" w:w="2900"/>
            <w:tcMar>
              <w:top w:type="dxa" w:w="40"/>
              <w:left w:type="dxa" w:w="90"/>
              <w:bottom w:type="dxa" w:w="40"/>
              <w:right w:type="dxa" w:w="90"/>
            </w:tcMar>
          </w:tcPr>
          <w:p>
            <w:pPr>
              <w:spacing w:after="0" w:line="252"/>
              <w:jc w:val="left"/>
            </w:pPr>
            <w:r>
              <w:rPr>
                <w:rFonts w:ascii="Calibri" w:cs="Calibri" w:eastAsia="Calibri" w:hAnsi="Calibri"/>
                <w:sz w:val="18"/>
                <w:szCs w:val="18"/>
              </w:rPr>
              <w:t xml:space="preserve">Les phases appellent des lectures différentes</w:t>
            </w:r>
          </w:p>
        </w:tc>
        <w:tc>
          <w:tcPr>
            <w:tcW w:type="dxa" w:w="4626"/>
            <w:tcMar>
              <w:top w:type="dxa" w:w="40"/>
              <w:left w:type="dxa" w:w="90"/>
              <w:bottom w:type="dxa" w:w="40"/>
              <w:right w:type="dxa" w:w="90"/>
            </w:tcMar>
          </w:tcPr>
          <w:p>
            <w:pPr>
              <w:spacing w:after="0" w:line="252"/>
              <w:jc w:val="left"/>
            </w:pPr>
            <w:r>
              <w:rPr>
                <w:rFonts w:ascii="Calibri" w:cs="Calibri" w:eastAsia="Calibri" w:hAnsi="Calibri"/>
                <w:sz w:val="18"/>
                <w:szCs w:val="18"/>
              </w:rPr>
              <w:t xml:space="preserve">Métadonnées de phase et dictionnaire posés ; grilles par phase à activer après pilote.</w:t>
            </w:r>
          </w:p>
        </w:tc>
        <w:tc>
          <w:tcPr>
            <w:tcW w:type="dxa" w:w="900"/>
            <w:tcMar>
              <w:top w:type="dxa" w:w="40"/>
              <w:left w:type="dxa" w:w="90"/>
              <w:bottom w:type="dxa" w:w="40"/>
              <w:right w:type="dxa" w:w="90"/>
            </w:tcMar>
          </w:tcPr>
          <w:p>
            <w:pPr>
              <w:spacing w:after="0" w:line="252"/>
              <w:jc w:val="center"/>
            </w:pPr>
            <w:r>
              <w:rPr>
                <w:rFonts w:ascii="Calibri" w:cs="Calibri" w:eastAsia="Calibri" w:hAnsi="Calibri"/>
                <w:b/>
                <w:bCs/>
                <w:color w:val="BF8F00"/>
                <w:sz w:val="17"/>
                <w:szCs w:val="17"/>
              </w:rPr>
              <w:t xml:space="preserve">Structuré</w:t>
            </w:r>
          </w:p>
        </w:tc>
      </w:tr>
      <w:tr>
        <w:tc>
          <w:tcPr>
            <w:tcW w:type="dxa" w:w="650"/>
            <w:shd w:fill="F2F5FB" w:color="auto" w:val="clear"/>
            <w:tcMar>
              <w:top w:type="dxa" w:w="40"/>
              <w:left w:type="dxa" w:w="90"/>
              <w:bottom w:type="dxa" w:w="40"/>
              <w:right w:type="dxa" w:w="90"/>
            </w:tcMar>
          </w:tcPr>
          <w:p>
            <w:pPr>
              <w:spacing w:after="0" w:line="252"/>
              <w:jc w:val="center"/>
            </w:pPr>
            <w:r>
              <w:rPr>
                <w:rFonts w:ascii="Calibri" w:cs="Calibri" w:eastAsia="Calibri" w:hAnsi="Calibri"/>
                <w:b/>
                <w:bCs/>
                <w:sz w:val="18"/>
                <w:szCs w:val="18"/>
              </w:rPr>
              <w:t xml:space="preserve">F12</w:t>
            </w:r>
          </w:p>
        </w:tc>
        <w:tc>
          <w:tcPr>
            <w:tcW w:type="dxa" w:w="29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Capacité de soutien du sponsor incomplète</w:t>
            </w:r>
          </w:p>
        </w:tc>
        <w:tc>
          <w:tcPr>
            <w:tcW w:type="dxa" w:w="46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Dictionnaire (FP tangibles, liquidité, engagements) posé ; mesure à instruire au dossier.</w:t>
            </w:r>
          </w:p>
        </w:tc>
        <w:tc>
          <w:tcPr>
            <w:tcW w:type="dxa" w:w="900"/>
            <w:shd w:fill="F2F5FB" w:color="auto" w:val="clear"/>
            <w:tcMar>
              <w:top w:type="dxa" w:w="40"/>
              <w:left w:type="dxa" w:w="90"/>
              <w:bottom w:type="dxa" w:w="40"/>
              <w:right w:type="dxa" w:w="90"/>
            </w:tcMar>
          </w:tcPr>
          <w:p>
            <w:pPr>
              <w:spacing w:after="0" w:line="252"/>
              <w:jc w:val="center"/>
            </w:pPr>
            <w:r>
              <w:rPr>
                <w:rFonts w:ascii="Calibri" w:cs="Calibri" w:eastAsia="Calibri" w:hAnsi="Calibri"/>
                <w:b/>
                <w:bCs/>
                <w:color w:val="BF8F00"/>
                <w:sz w:val="17"/>
                <w:szCs w:val="17"/>
              </w:rPr>
              <w:t xml:space="preserve">Structuré</w:t>
            </w:r>
          </w:p>
        </w:tc>
      </w:tr>
      <w:tr>
        <w:tc>
          <w:tcPr>
            <w:tcW w:type="dxa" w:w="650"/>
            <w:tcMar>
              <w:top w:type="dxa" w:w="40"/>
              <w:left w:type="dxa" w:w="90"/>
              <w:bottom w:type="dxa" w:w="40"/>
              <w:right w:type="dxa" w:w="90"/>
            </w:tcMar>
          </w:tcPr>
          <w:p>
            <w:pPr>
              <w:spacing w:after="0" w:line="252"/>
              <w:jc w:val="center"/>
            </w:pPr>
            <w:r>
              <w:rPr>
                <w:rFonts w:ascii="Calibri" w:cs="Calibri" w:eastAsia="Calibri" w:hAnsi="Calibri"/>
                <w:b/>
                <w:bCs/>
                <w:sz w:val="18"/>
                <w:szCs w:val="18"/>
              </w:rPr>
              <w:t xml:space="preserve">F13</w:t>
            </w:r>
          </w:p>
        </w:tc>
        <w:tc>
          <w:tcPr>
            <w:tcW w:type="dxa" w:w="2900"/>
            <w:tcMar>
              <w:top w:type="dxa" w:w="40"/>
              <w:left w:type="dxa" w:w="90"/>
              <w:bottom w:type="dxa" w:w="40"/>
              <w:right w:type="dxa" w:w="90"/>
            </w:tcMar>
          </w:tcPr>
          <w:p>
            <w:pPr>
              <w:spacing w:after="0" w:line="252"/>
              <w:jc w:val="left"/>
            </w:pPr>
            <w:r>
              <w:rPr>
                <w:rFonts w:ascii="Calibri" w:cs="Calibri" w:eastAsia="Calibri" w:hAnsi="Calibri"/>
                <w:sz w:val="18"/>
                <w:szCs w:val="18"/>
              </w:rPr>
              <w:t xml:space="preserve">Ajustements territoriaux non étayés</w:t>
            </w:r>
          </w:p>
        </w:tc>
        <w:tc>
          <w:tcPr>
            <w:tcW w:type="dxa" w:w="4626"/>
            <w:tcMar>
              <w:top w:type="dxa" w:w="40"/>
              <w:left w:type="dxa" w:w="90"/>
              <w:bottom w:type="dxa" w:w="40"/>
              <w:right w:type="dxa" w:w="90"/>
            </w:tcMar>
          </w:tcPr>
          <w:p>
            <w:pPr>
              <w:spacing w:after="0" w:line="252"/>
              <w:jc w:val="left"/>
            </w:pPr>
            <w:r>
              <w:rPr>
                <w:rFonts w:ascii="Calibri" w:cs="Calibri" w:eastAsia="Calibri" w:hAnsi="Calibri"/>
                <w:sz w:val="18"/>
                <w:szCs w:val="18"/>
              </w:rPr>
              <w:t xml:space="preserve">Coefficients tracés/paramétrables ; à neutraliser/étayer par micro-marché (analyse experte).</w:t>
            </w:r>
          </w:p>
        </w:tc>
        <w:tc>
          <w:tcPr>
            <w:tcW w:type="dxa" w:w="900"/>
            <w:tcMar>
              <w:top w:type="dxa" w:w="40"/>
              <w:left w:type="dxa" w:w="90"/>
              <w:bottom w:type="dxa" w:w="40"/>
              <w:right w:type="dxa" w:w="90"/>
            </w:tcMar>
          </w:tcPr>
          <w:p>
            <w:pPr>
              <w:spacing w:after="0" w:line="252"/>
              <w:jc w:val="center"/>
            </w:pPr>
            <w:r>
              <w:rPr>
                <w:rFonts w:ascii="Calibri" w:cs="Calibri" w:eastAsia="Calibri" w:hAnsi="Calibri"/>
                <w:b/>
                <w:bCs/>
                <w:color w:val="BF8F00"/>
                <w:sz w:val="17"/>
                <w:szCs w:val="17"/>
              </w:rPr>
              <w:t xml:space="preserve">Structuré</w:t>
            </w:r>
          </w:p>
        </w:tc>
      </w:tr>
      <w:tr>
        <w:tc>
          <w:tcPr>
            <w:tcW w:type="dxa" w:w="650"/>
            <w:shd w:fill="F2F5FB" w:color="auto" w:val="clear"/>
            <w:tcMar>
              <w:top w:type="dxa" w:w="40"/>
              <w:left w:type="dxa" w:w="90"/>
              <w:bottom w:type="dxa" w:w="40"/>
              <w:right w:type="dxa" w:w="90"/>
            </w:tcMar>
          </w:tcPr>
          <w:p>
            <w:pPr>
              <w:spacing w:after="0" w:line="252"/>
              <w:jc w:val="center"/>
            </w:pPr>
            <w:r>
              <w:rPr>
                <w:rFonts w:ascii="Calibri" w:cs="Calibri" w:eastAsia="Calibri" w:hAnsi="Calibri"/>
                <w:b/>
                <w:bCs/>
                <w:sz w:val="18"/>
                <w:szCs w:val="18"/>
              </w:rPr>
              <w:t xml:space="preserve">F14</w:t>
            </w:r>
          </w:p>
        </w:tc>
        <w:tc>
          <w:tcPr>
            <w:tcW w:type="dxa" w:w="29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La couverture de garantie n'est pas une LGD</w:t>
            </w:r>
          </w:p>
        </w:tc>
        <w:tc>
          <w:tcPr>
            <w:tcW w:type="dxa" w:w="46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Note de sûretés séparée de la note économique ; waterfall de recouvrement à instruire.</w:t>
            </w:r>
          </w:p>
        </w:tc>
        <w:tc>
          <w:tcPr>
            <w:tcW w:type="dxa" w:w="900"/>
            <w:shd w:fill="F2F5FB" w:color="auto" w:val="clear"/>
            <w:tcMar>
              <w:top w:type="dxa" w:w="40"/>
              <w:left w:type="dxa" w:w="90"/>
              <w:bottom w:type="dxa" w:w="40"/>
              <w:right w:type="dxa" w:w="90"/>
            </w:tcMar>
          </w:tcPr>
          <w:p>
            <w:pPr>
              <w:spacing w:after="0" w:line="252"/>
              <w:jc w:val="center"/>
            </w:pPr>
            <w:r>
              <w:rPr>
                <w:rFonts w:ascii="Calibri" w:cs="Calibri" w:eastAsia="Calibri" w:hAnsi="Calibri"/>
                <w:b/>
                <w:bCs/>
                <w:color w:val="BF8F00"/>
                <w:sz w:val="17"/>
                <w:szCs w:val="17"/>
              </w:rPr>
              <w:t xml:space="preserve">Structuré</w:t>
            </w:r>
          </w:p>
        </w:tc>
      </w:tr>
      <w:tr>
        <w:tc>
          <w:tcPr>
            <w:tcW w:type="dxa" w:w="650"/>
            <w:tcMar>
              <w:top w:type="dxa" w:w="40"/>
              <w:left w:type="dxa" w:w="90"/>
              <w:bottom w:type="dxa" w:w="40"/>
              <w:right w:type="dxa" w:w="90"/>
            </w:tcMar>
          </w:tcPr>
          <w:p>
            <w:pPr>
              <w:spacing w:after="0" w:line="252"/>
              <w:jc w:val="center"/>
            </w:pPr>
            <w:r>
              <w:rPr>
                <w:rFonts w:ascii="Calibri" w:cs="Calibri" w:eastAsia="Calibri" w:hAnsi="Calibri"/>
                <w:b/>
                <w:bCs/>
                <w:sz w:val="18"/>
                <w:szCs w:val="18"/>
              </w:rPr>
              <w:t xml:space="preserve">F15</w:t>
            </w:r>
          </w:p>
        </w:tc>
        <w:tc>
          <w:tcPr>
            <w:tcW w:type="dxa" w:w="2900"/>
            <w:tcMar>
              <w:top w:type="dxa" w:w="40"/>
              <w:left w:type="dxa" w:w="90"/>
              <w:bottom w:type="dxa" w:w="40"/>
              <w:right w:type="dxa" w:w="90"/>
            </w:tcMar>
          </w:tcPr>
          <w:p>
            <w:pPr>
              <w:spacing w:after="0" w:line="252"/>
              <w:jc w:val="left"/>
            </w:pPr>
            <w:r>
              <w:rPr>
                <w:rFonts w:ascii="Calibri" w:cs="Calibri" w:eastAsia="Calibri" w:hAnsi="Calibri"/>
                <w:sz w:val="18"/>
                <w:szCs w:val="18"/>
              </w:rPr>
              <w:t xml:space="preserve">Gates et conditions trop génériques</w:t>
            </w:r>
          </w:p>
        </w:tc>
        <w:tc>
          <w:tcPr>
            <w:tcW w:type="dxa" w:w="4626"/>
            <w:tcMar>
              <w:top w:type="dxa" w:w="40"/>
              <w:left w:type="dxa" w:w="90"/>
              <w:bottom w:type="dxa" w:w="40"/>
              <w:right w:type="dxa" w:w="90"/>
            </w:tcMar>
          </w:tcPr>
          <w:p>
            <w:pPr>
              <w:spacing w:after="0" w:line="252"/>
              <w:jc w:val="left"/>
            </w:pPr>
            <w:r>
              <w:rPr>
                <w:rFonts w:ascii="Calibri" w:cs="Calibri" w:eastAsia="Calibri" w:hAnsi="Calibri"/>
                <w:sz w:val="18"/>
                <w:szCs w:val="18"/>
              </w:rPr>
              <w:t xml:space="preserve">Gates typés par jalon (étude/octroi/signature/tirage) ; obligations nommées par condition.</w:t>
            </w:r>
          </w:p>
        </w:tc>
        <w:tc>
          <w:tcPr>
            <w:tcW w:type="dxa" w:w="900"/>
            <w:tcMar>
              <w:top w:type="dxa" w:w="40"/>
              <w:left w:type="dxa" w:w="90"/>
              <w:bottom w:type="dxa" w:w="40"/>
              <w:right w:type="dxa" w:w="90"/>
            </w:tcMar>
          </w:tcPr>
          <w:p>
            <w:pPr>
              <w:spacing w:after="0" w:line="252"/>
              <w:jc w:val="center"/>
            </w:pPr>
            <w:r>
              <w:rPr>
                <w:rFonts w:ascii="Calibri" w:cs="Calibri" w:eastAsia="Calibri" w:hAnsi="Calibri"/>
                <w:b/>
                <w:bCs/>
                <w:color w:val="548235"/>
                <w:sz w:val="17"/>
                <w:szCs w:val="17"/>
              </w:rPr>
              <w:t xml:space="preserve">Intégré</w:t>
            </w:r>
          </w:p>
        </w:tc>
      </w:tr>
      <w:tr>
        <w:tc>
          <w:tcPr>
            <w:tcW w:type="dxa" w:w="650"/>
            <w:shd w:fill="F2F5FB" w:color="auto" w:val="clear"/>
            <w:tcMar>
              <w:top w:type="dxa" w:w="40"/>
              <w:left w:type="dxa" w:w="90"/>
              <w:bottom w:type="dxa" w:w="40"/>
              <w:right w:type="dxa" w:w="90"/>
            </w:tcMar>
          </w:tcPr>
          <w:p>
            <w:pPr>
              <w:spacing w:after="0" w:line="252"/>
              <w:jc w:val="center"/>
            </w:pPr>
            <w:r>
              <w:rPr>
                <w:rFonts w:ascii="Calibri" w:cs="Calibri" w:eastAsia="Calibri" w:hAnsi="Calibri"/>
                <w:b/>
                <w:bCs/>
                <w:sz w:val="18"/>
                <w:szCs w:val="18"/>
              </w:rPr>
              <w:t xml:space="preserve">F16</w:t>
            </w:r>
          </w:p>
        </w:tc>
        <w:tc>
          <w:tcPr>
            <w:tcW w:type="dxa" w:w="29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Calibration de PD non établie</w:t>
            </w:r>
          </w:p>
        </w:tc>
        <w:tc>
          <w:tcPr>
            <w:tcW w:type="dxa" w:w="46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PD marquée indicative en sortie ; calibration/backtesting = programme de validation.</w:t>
            </w:r>
          </w:p>
        </w:tc>
        <w:tc>
          <w:tcPr>
            <w:tcW w:type="dxa" w:w="900"/>
            <w:shd w:fill="F2F5FB" w:color="auto" w:val="clear"/>
            <w:tcMar>
              <w:top w:type="dxa" w:w="40"/>
              <w:left w:type="dxa" w:w="90"/>
              <w:bottom w:type="dxa" w:w="40"/>
              <w:right w:type="dxa" w:w="90"/>
            </w:tcMar>
          </w:tcPr>
          <w:p>
            <w:pPr>
              <w:spacing w:after="0" w:line="252"/>
              <w:jc w:val="center"/>
            </w:pPr>
            <w:r>
              <w:rPr>
                <w:rFonts w:ascii="Calibri" w:cs="Calibri" w:eastAsia="Calibri" w:hAnsi="Calibri"/>
                <w:b/>
                <w:bCs/>
                <w:color w:val="BF8F00"/>
                <w:sz w:val="17"/>
                <w:szCs w:val="17"/>
              </w:rPr>
              <w:t xml:space="preserve">Structuré</w:t>
            </w:r>
          </w:p>
        </w:tc>
      </w:tr>
      <w:tr>
        <w:tc>
          <w:tcPr>
            <w:tcW w:type="dxa" w:w="650"/>
            <w:tcMar>
              <w:top w:type="dxa" w:w="40"/>
              <w:left w:type="dxa" w:w="90"/>
              <w:bottom w:type="dxa" w:w="40"/>
              <w:right w:type="dxa" w:w="90"/>
            </w:tcMar>
          </w:tcPr>
          <w:p>
            <w:pPr>
              <w:spacing w:after="0" w:line="252"/>
              <w:jc w:val="center"/>
            </w:pPr>
            <w:r>
              <w:rPr>
                <w:rFonts w:ascii="Calibri" w:cs="Calibri" w:eastAsia="Calibri" w:hAnsi="Calibri"/>
                <w:b/>
                <w:bCs/>
                <w:sz w:val="18"/>
                <w:szCs w:val="18"/>
              </w:rPr>
              <w:t xml:space="preserve">F17</w:t>
            </w:r>
          </w:p>
        </w:tc>
        <w:tc>
          <w:tcPr>
            <w:tcW w:type="dxa" w:w="2900"/>
            <w:tcMar>
              <w:top w:type="dxa" w:w="40"/>
              <w:left w:type="dxa" w:w="90"/>
              <w:bottom w:type="dxa" w:w="40"/>
              <w:right w:type="dxa" w:w="90"/>
            </w:tcMar>
          </w:tcPr>
          <w:p>
            <w:pPr>
              <w:spacing w:after="0" w:line="252"/>
              <w:jc w:val="left"/>
            </w:pPr>
            <w:r>
              <w:rPr>
                <w:rFonts w:ascii="Calibri" w:cs="Calibri" w:eastAsia="Calibri" w:hAnsi="Calibri"/>
                <w:sz w:val="18"/>
                <w:szCs w:val="18"/>
              </w:rPr>
              <w:t xml:space="preserve">Publication/paramétrabilité au-delà des contrôles</w:t>
            </w:r>
          </w:p>
        </w:tc>
        <w:tc>
          <w:tcPr>
            <w:tcW w:type="dxa" w:w="4626"/>
            <w:tcMar>
              <w:top w:type="dxa" w:w="40"/>
              <w:left w:type="dxa" w:w="90"/>
              <w:bottom w:type="dxa" w:w="40"/>
              <w:right w:type="dxa" w:w="90"/>
            </w:tcMar>
          </w:tcPr>
          <w:p>
            <w:pPr>
              <w:spacing w:after="0" w:line="252"/>
              <w:jc w:val="left"/>
            </w:pPr>
            <w:r>
              <w:rPr>
                <w:rFonts w:ascii="Calibri" w:cs="Calibri" w:eastAsia="Calibri" w:hAnsi="Calibri"/>
                <w:sz w:val="18"/>
                <w:szCs w:val="18"/>
              </w:rPr>
              <w:t xml:space="preserve">Métadonnées versionnées en base (familles, criticité, effets D5) ; contrôles sémantiques à renforcer.</w:t>
            </w:r>
          </w:p>
        </w:tc>
        <w:tc>
          <w:tcPr>
            <w:tcW w:type="dxa" w:w="900"/>
            <w:tcMar>
              <w:top w:type="dxa" w:w="40"/>
              <w:left w:type="dxa" w:w="90"/>
              <w:bottom w:type="dxa" w:w="40"/>
              <w:right w:type="dxa" w:w="90"/>
            </w:tcMar>
          </w:tcPr>
          <w:p>
            <w:pPr>
              <w:spacing w:after="0" w:line="252"/>
              <w:jc w:val="center"/>
            </w:pPr>
            <w:r>
              <w:rPr>
                <w:rFonts w:ascii="Calibri" w:cs="Calibri" w:eastAsia="Calibri" w:hAnsi="Calibri"/>
                <w:b/>
                <w:bCs/>
                <w:color w:val="548235"/>
                <w:sz w:val="17"/>
                <w:szCs w:val="17"/>
              </w:rPr>
              <w:t xml:space="preserve">Intégré</w:t>
            </w:r>
          </w:p>
        </w:tc>
      </w:tr>
      <w:tr>
        <w:tc>
          <w:tcPr>
            <w:tcW w:type="dxa" w:w="650"/>
            <w:shd w:fill="F2F5FB" w:color="auto" w:val="clear"/>
            <w:tcMar>
              <w:top w:type="dxa" w:w="40"/>
              <w:left w:type="dxa" w:w="90"/>
              <w:bottom w:type="dxa" w:w="40"/>
              <w:right w:type="dxa" w:w="90"/>
            </w:tcMar>
          </w:tcPr>
          <w:p>
            <w:pPr>
              <w:spacing w:after="0" w:line="252"/>
              <w:jc w:val="center"/>
            </w:pPr>
            <w:r>
              <w:rPr>
                <w:rFonts w:ascii="Calibri" w:cs="Calibri" w:eastAsia="Calibri" w:hAnsi="Calibri"/>
                <w:b/>
                <w:bCs/>
                <w:sz w:val="18"/>
                <w:szCs w:val="18"/>
              </w:rPr>
              <w:t xml:space="preserve">F18</w:t>
            </w:r>
          </w:p>
        </w:tc>
        <w:tc>
          <w:tcPr>
            <w:tcW w:type="dxa" w:w="29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Risques climatiques/techniques non traduits</w:t>
            </w:r>
          </w:p>
        </w:tc>
        <w:tc>
          <w:tcPr>
            <w:tcW w:type="dxa" w:w="46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Rattachement d'événements et de références posé ; canaux économiques à modéliser par géolocalisation.</w:t>
            </w:r>
          </w:p>
        </w:tc>
        <w:tc>
          <w:tcPr>
            <w:tcW w:type="dxa" w:w="900"/>
            <w:shd w:fill="F2F5FB" w:color="auto" w:val="clear"/>
            <w:tcMar>
              <w:top w:type="dxa" w:w="40"/>
              <w:left w:type="dxa" w:w="90"/>
              <w:bottom w:type="dxa" w:w="40"/>
              <w:right w:type="dxa" w:w="90"/>
            </w:tcMar>
          </w:tcPr>
          <w:p>
            <w:pPr>
              <w:spacing w:after="0" w:line="252"/>
              <w:jc w:val="center"/>
            </w:pPr>
            <w:r>
              <w:rPr>
                <w:rFonts w:ascii="Calibri" w:cs="Calibri" w:eastAsia="Calibri" w:hAnsi="Calibri"/>
                <w:b/>
                <w:bCs/>
                <w:color w:val="BF8F00"/>
                <w:sz w:val="17"/>
                <w:szCs w:val="17"/>
              </w:rPr>
              <w:t xml:space="preserve">Structuré</w:t>
            </w:r>
          </w:p>
        </w:tc>
      </w:tr>
    </w:tbl>
    <w:p>
      <w:r>
        <w:br w:type="page"/>
      </w:r>
    </w:p>
    <w:p>
      <w:pPr>
        <w:pStyle w:val="Heading1"/>
        <w:spacing w:after="120" w:before="0" w:line="276"/>
      </w:pPr>
      <w:r>
        <w:rPr>
          <w:rFonts w:ascii="Calibri" w:cs="Calibri" w:eastAsia="Calibri" w:hAnsi="Calibri"/>
          <w:sz w:val="21"/>
          <w:szCs w:val="21"/>
        </w:rPr>
        <w:t xml:space="preserve">3. Les invariants de décision (P0)</w:t>
      </w:r>
    </w:p>
    <w:p>
      <w:pPr>
        <w:spacing w:after="120" w:before="0" w:line="276"/>
      </w:pPr>
      <w:r>
        <w:rPr>
          <w:rFonts w:ascii="Calibri" w:cs="Calibri" w:eastAsia="Calibri" w:hAnsi="Calibri"/>
          <w:sz w:val="21"/>
          <w:szCs w:val="21"/>
        </w:rPr>
        <w:t xml:space="preserve">La décision finale est désormais gouvernée par une hiérarchie de verrous, dans l'ordre de priorité suivant :</w:t>
      </w:r>
    </w:p>
    <w:tbl>
      <w:tblPr>
        <w:tblW w:type="dxa" w:w="9076"/>
        <w:tblBorders>
          <w:top w:val="single" w:color="AEB6C6" w:sz="2"/>
          <w:left w:val="single" w:color="AEB6C6" w:sz="2"/>
          <w:bottom w:val="single" w:color="AEB6C6" w:sz="2"/>
          <w:right w:val="single" w:color="AEB6C6" w:sz="2"/>
          <w:insideH w:val="single" w:color="D0D6E2" w:sz="1"/>
          <w:insideV w:val="single" w:color="D0D6E2" w:sz="1"/>
        </w:tblBorders>
      </w:tblPr>
      <w:tblGrid>
        <w:gridCol w:w="1100"/>
        <w:gridCol w:w="4176"/>
        <w:gridCol w:w="3800"/>
      </w:tblGrid>
      <w:tr>
        <w:trPr>
          <w:tblHeader/>
        </w:trPr>
        <w:tc>
          <w:tcPr>
            <w:tcW w:type="dxa" w:w="11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Priorité</w:t>
            </w:r>
          </w:p>
        </w:tc>
        <w:tc>
          <w:tcPr>
            <w:tcW w:type="dxa" w:w="4176"/>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Situation</w:t>
            </w:r>
          </w:p>
        </w:tc>
        <w:tc>
          <w:tcPr>
            <w:tcW w:type="dxa" w:w="38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Décision imposée</w:t>
            </w:r>
          </w:p>
        </w:tc>
      </w:tr>
      <w:tr>
        <w:tc>
          <w:tcPr>
            <w:tcW w:type="dxa" w:w="1100"/>
            <w:tcMar>
              <w:top w:type="dxa" w:w="40"/>
              <w:left w:type="dxa" w:w="90"/>
              <w:bottom w:type="dxa" w:w="40"/>
              <w:right w:type="dxa" w:w="90"/>
            </w:tcMar>
          </w:tcPr>
          <w:p>
            <w:pPr>
              <w:spacing w:after="0" w:line="252"/>
              <w:jc w:val="center"/>
            </w:pPr>
            <w:r>
              <w:rPr>
                <w:rFonts w:ascii="Calibri" w:cs="Calibri" w:eastAsia="Calibri" w:hAnsi="Calibri"/>
                <w:sz w:val="18"/>
                <w:szCs w:val="18"/>
              </w:rPr>
              <w:t xml:space="preserve">1</w:t>
            </w:r>
          </w:p>
        </w:tc>
        <w:tc>
          <w:tcPr>
            <w:tcW w:type="dxa" w:w="4176"/>
            <w:tcMar>
              <w:top w:type="dxa" w:w="40"/>
              <w:left w:type="dxa" w:w="90"/>
              <w:bottom w:type="dxa" w:w="40"/>
              <w:right w:type="dxa" w:w="90"/>
            </w:tcMar>
          </w:tcPr>
          <w:p>
            <w:pPr>
              <w:spacing w:after="0" w:line="252"/>
              <w:jc w:val="left"/>
            </w:pPr>
            <w:r>
              <w:rPr>
                <w:rFonts w:ascii="Calibri" w:cs="Calibri" w:eastAsia="Calibri" w:hAnsi="Calibri"/>
                <w:sz w:val="18"/>
                <w:szCs w:val="18"/>
              </w:rPr>
              <w:t xml:space="preserve">Contentieux / CTX</w:t>
            </w:r>
          </w:p>
        </w:tc>
        <w:tc>
          <w:tcPr>
            <w:tcW w:type="dxa" w:w="3800"/>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NO_GO — score 0, « Souffrance »</w:t>
            </w:r>
          </w:p>
        </w:tc>
      </w:tr>
      <w:tr>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sz w:val="18"/>
                <w:szCs w:val="18"/>
              </w:rPr>
              <w:t xml:space="preserve">2</w:t>
            </w:r>
          </w:p>
        </w:tc>
        <w:tc>
          <w:tcPr>
            <w:tcW w:type="dxa" w:w="417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Alerte bloquante (souffrance automatique)</w:t>
            </w:r>
          </w:p>
        </w:tc>
        <w:tc>
          <w:tcPr>
            <w:tcW w:type="dxa" w:w="3800"/>
            <w:shd w:fill="F2F5FB" w:color="auto" w:val="clear"/>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NO_GO — « Souffrance »</w:t>
            </w:r>
          </w:p>
        </w:tc>
      </w:tr>
      <w:tr>
        <w:tc>
          <w:tcPr>
            <w:tcW w:type="dxa" w:w="1100"/>
            <w:tcMar>
              <w:top w:type="dxa" w:w="40"/>
              <w:left w:type="dxa" w:w="90"/>
              <w:bottom w:type="dxa" w:w="40"/>
              <w:right w:type="dxa" w:w="90"/>
            </w:tcMar>
          </w:tcPr>
          <w:p>
            <w:pPr>
              <w:spacing w:after="0" w:line="252"/>
              <w:jc w:val="center"/>
            </w:pPr>
            <w:r>
              <w:rPr>
                <w:rFonts w:ascii="Calibri" w:cs="Calibri" w:eastAsia="Calibri" w:hAnsi="Calibri"/>
                <w:sz w:val="18"/>
                <w:szCs w:val="18"/>
              </w:rPr>
              <w:t xml:space="preserve">3</w:t>
            </w:r>
          </w:p>
        </w:tc>
        <w:tc>
          <w:tcPr>
            <w:tcW w:type="dxa" w:w="4176"/>
            <w:tcMar>
              <w:top w:type="dxa" w:w="40"/>
              <w:left w:type="dxa" w:w="90"/>
              <w:bottom w:type="dxa" w:w="40"/>
              <w:right w:type="dxa" w:w="90"/>
            </w:tcMar>
          </w:tcPr>
          <w:p>
            <w:pPr>
              <w:spacing w:after="0" w:line="252"/>
              <w:jc w:val="left"/>
            </w:pPr>
            <w:r>
              <w:rPr>
                <w:rFonts w:ascii="Calibri" w:cs="Calibri" w:eastAsia="Calibri" w:hAnsi="Calibri"/>
                <w:sz w:val="18"/>
                <w:szCs w:val="18"/>
              </w:rPr>
              <w:t xml:space="preserve">Défaut avéré (classe réglementaire)</w:t>
            </w:r>
          </w:p>
        </w:tc>
        <w:tc>
          <w:tcPr>
            <w:tcW w:type="dxa" w:w="3800"/>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NO_GO — « Défaut avéré »</w:t>
            </w:r>
          </w:p>
        </w:tc>
      </w:tr>
      <w:tr>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sz w:val="18"/>
                <w:szCs w:val="18"/>
              </w:rPr>
              <w:t xml:space="preserve">4</w:t>
            </w:r>
          </w:p>
        </w:tc>
        <w:tc>
          <w:tcPr>
            <w:tcW w:type="dxa" w:w="417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Donnée critique absente / qualité bloquante</w:t>
            </w:r>
          </w:p>
        </w:tc>
        <w:tc>
          <w:tcPr>
            <w:tcW w:type="dxa" w:w="3800"/>
            <w:shd w:fill="F2F5FB" w:color="auto" w:val="clear"/>
            <w:tcMar>
              <w:top w:type="dxa" w:w="40"/>
              <w:left w:type="dxa" w:w="90"/>
              <w:bottom w:type="dxa" w:w="40"/>
              <w:right w:type="dxa" w:w="90"/>
            </w:tcMar>
          </w:tcPr>
          <w:p>
            <w:pPr>
              <w:spacing w:after="0" w:line="252"/>
            </w:pPr>
            <w:r>
              <w:rPr>
                <w:rFonts w:ascii="Calibri" w:cs="Calibri" w:eastAsia="Calibri" w:hAnsi="Calibri"/>
                <w:b/>
                <w:bCs/>
                <w:color w:val="595959"/>
                <w:sz w:val="18"/>
                <w:szCs w:val="18"/>
              </w:rPr>
              <w:t xml:space="preserve">DOSSIER_INCOMPLET</w:t>
            </w:r>
          </w:p>
        </w:tc>
      </w:tr>
      <w:tr>
        <w:tc>
          <w:tcPr>
            <w:tcW w:type="dxa" w:w="1100"/>
            <w:tcMar>
              <w:top w:type="dxa" w:w="40"/>
              <w:left w:type="dxa" w:w="90"/>
              <w:bottom w:type="dxa" w:w="40"/>
              <w:right w:type="dxa" w:w="90"/>
            </w:tcMar>
          </w:tcPr>
          <w:p>
            <w:pPr>
              <w:spacing w:after="0" w:line="252"/>
              <w:jc w:val="center"/>
            </w:pPr>
            <w:r>
              <w:rPr>
                <w:rFonts w:ascii="Calibri" w:cs="Calibri" w:eastAsia="Calibri" w:hAnsi="Calibri"/>
                <w:sz w:val="18"/>
                <w:szCs w:val="18"/>
              </w:rPr>
              <w:t xml:space="preserve">5</w:t>
            </w:r>
          </w:p>
        </w:tc>
        <w:tc>
          <w:tcPr>
            <w:tcW w:type="dxa" w:w="4176"/>
            <w:tcMar>
              <w:top w:type="dxa" w:w="40"/>
              <w:left w:type="dxa" w:w="90"/>
              <w:bottom w:type="dxa" w:w="40"/>
              <w:right w:type="dxa" w:w="90"/>
            </w:tcMar>
          </w:tcPr>
          <w:p>
            <w:pPr>
              <w:spacing w:after="0" w:line="252"/>
              <w:jc w:val="left"/>
            </w:pPr>
            <w:r>
              <w:rPr>
                <w:rFonts w:ascii="Calibri" w:cs="Calibri" w:eastAsia="Calibri" w:hAnsi="Calibri"/>
                <w:sz w:val="18"/>
                <w:szCs w:val="18"/>
              </w:rPr>
              <w:t xml:space="preserve">Gate franchi (jalon)</w:t>
            </w:r>
          </w:p>
        </w:tc>
        <w:tc>
          <w:tcPr>
            <w:tcW w:type="dxa" w:w="3800"/>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NO_GO + conditions nommées</w:t>
            </w:r>
          </w:p>
        </w:tc>
      </w:tr>
      <w:tr>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sz w:val="18"/>
                <w:szCs w:val="18"/>
              </w:rPr>
              <w:t xml:space="preserve">6</w:t>
            </w:r>
          </w:p>
        </w:tc>
        <w:tc>
          <w:tcPr>
            <w:tcW w:type="dxa" w:w="417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Sinon</w:t>
            </w:r>
          </w:p>
        </w:tc>
        <w:tc>
          <w:tcPr>
            <w:tcW w:type="dxa" w:w="38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Seuils 75 / 65 / 50</w:t>
            </w:r>
          </w:p>
        </w:tc>
      </w:tr>
    </w:tbl>
    <w:p>
      <w:pPr>
        <w:pStyle w:val="Heading2"/>
        <w:spacing w:after="120" w:before="0" w:line="276"/>
      </w:pPr>
      <w:r>
        <w:rPr>
          <w:rFonts w:ascii="Calibri" w:cs="Calibri" w:eastAsia="Calibri" w:hAnsi="Calibri"/>
          <w:sz w:val="21"/>
          <w:szCs w:val="21"/>
        </w:rPr>
        <w:t xml:space="preserve">Principe invariant</w:t>
      </w:r>
    </w:p>
    <w:p>
      <w:pPr>
        <w:spacing w:after="120" w:before="0" w:line="276"/>
      </w:pPr>
      <w:r>
        <w:rPr>
          <w:rFonts w:ascii="Calibri" w:cs="Calibri" w:eastAsia="Calibri" w:hAnsi="Calibri"/>
          <w:b/>
          <w:bCs/>
          <w:i/>
          <w:iCs/>
          <w:sz w:val="21"/>
          <w:szCs w:val="21"/>
        </w:rPr>
        <w:t xml:space="preserve">« Supprimer une information défavorable ne peut jamais améliorer la décision. » </w:t>
      </w:r>
      <w:r>
        <w:rPr>
          <w:rFonts w:ascii="Calibri" w:cs="Calibri" w:eastAsia="Calibri" w:hAnsi="Calibri"/>
          <w:sz w:val="21"/>
          <w:szCs w:val="21"/>
        </w:rPr>
        <w:t xml:space="preserve">Une valeur absente reçoit la note plancher (pire cas) et, si elle est décisionnelle, verrouille le dossier en « incomplet » ; une alerte non bloquante dont la donnée numérique manque n'est pas « exclue » à bon compte — son malus s'applique par prudence.</w:t>
      </w:r>
    </w:p>
    <w:p>
      <w:r>
        <w:br w:type="page"/>
      </w:r>
    </w:p>
    <w:p>
      <w:pPr>
        <w:pStyle w:val="Heading1"/>
        <w:spacing w:after="120" w:before="0" w:line="276"/>
      </w:pPr>
      <w:r>
        <w:rPr>
          <w:rFonts w:ascii="Calibri" w:cs="Calibri" w:eastAsia="Calibri" w:hAnsi="Calibri"/>
          <w:sz w:val="21"/>
          <w:szCs w:val="21"/>
        </w:rPr>
        <w:t xml:space="preserve">4. Vision lotissement (suivi lot par lot)</w:t>
      </w:r>
    </w:p>
    <w:p>
      <w:pPr>
        <w:spacing w:after="120" w:before="0" w:line="276"/>
      </w:pPr>
      <w:r>
        <w:rPr>
          <w:rFonts w:ascii="Calibri" w:cs="Calibri" w:eastAsia="Calibri" w:hAnsi="Calibri"/>
          <w:sz w:val="21"/>
          <w:szCs w:val="21"/>
        </w:rPr>
        <w:t xml:space="preserve">Un projet de promotion peut comporter plusieurs lots (tranches). Le suivi est désormais conduit lot par lot. Pour chaque lot, l'outil calcule et surveille :</w:t>
      </w:r>
    </w:p>
    <w:p>
      <w:pPr>
        <w:pStyle w:val="ListParagraph"/>
        <w:numPr>
          <w:ilvl w:val="0"/>
          <w:numId w:val="2"/>
        </w:numPr>
        <w:spacing w:after="60" w:line="276"/>
      </w:pPr>
      <w:r>
        <w:rPr>
          <w:rFonts w:ascii="Calibri" w:cs="Calibri" w:eastAsia="Calibri" w:hAnsi="Calibri"/>
          <w:b/>
          <w:bCs/>
          <w:sz w:val="21"/>
          <w:szCs w:val="21"/>
        </w:rPr>
        <w:t xml:space="preserve">Commercialisation du lot : </w:t>
      </w:r>
      <w:r>
        <w:rPr>
          <w:rFonts w:ascii="Calibri" w:cs="Calibri" w:eastAsia="Calibri" w:hAnsi="Calibri"/>
          <w:sz w:val="21"/>
          <w:szCs w:val="21"/>
        </w:rPr>
        <w:t xml:space="preserve">unités réservées et vendues, taux de commercialisation, chiffre d'affaires sécurisé — rattachés au lot concerné.</w:t>
      </w:r>
    </w:p>
    <w:p>
      <w:pPr>
        <w:pStyle w:val="ListParagraph"/>
        <w:numPr>
          <w:ilvl w:val="0"/>
          <w:numId w:val="2"/>
        </w:numPr>
        <w:spacing w:after="60" w:line="276"/>
      </w:pPr>
      <w:r>
        <w:rPr>
          <w:rFonts w:ascii="Calibri" w:cs="Calibri" w:eastAsia="Calibri" w:hAnsi="Calibri"/>
          <w:b/>
          <w:bCs/>
          <w:sz w:val="21"/>
          <w:szCs w:val="21"/>
        </w:rPr>
        <w:t xml:space="preserve">Déblocages du lot : </w:t>
      </w:r>
      <w:r>
        <w:rPr>
          <w:rFonts w:ascii="Calibri" w:cs="Calibri" w:eastAsia="Calibri" w:hAnsi="Calibri"/>
          <w:sz w:val="21"/>
          <w:szCs w:val="21"/>
        </w:rPr>
        <w:t xml:space="preserve">déblocages rattachés à la tranche, montant débloqué vs prévu, et alerte de décaissement en avance de phase (déblocage % nettement supérieur à l'avancement physique).</w:t>
      </w:r>
    </w:p>
    <w:p>
      <w:pPr>
        <w:pStyle w:val="ListParagraph"/>
        <w:numPr>
          <w:ilvl w:val="0"/>
          <w:numId w:val="2"/>
        </w:numPr>
        <w:spacing w:after="60" w:line="276"/>
      </w:pPr>
      <w:r>
        <w:rPr>
          <w:rFonts w:ascii="Calibri" w:cs="Calibri" w:eastAsia="Calibri" w:hAnsi="Calibri"/>
          <w:b/>
          <w:bCs/>
          <w:sz w:val="21"/>
          <w:szCs w:val="21"/>
        </w:rPr>
        <w:t xml:space="preserve">Modification de lot : </w:t>
      </w:r>
      <w:r>
        <w:rPr>
          <w:rFonts w:ascii="Calibri" w:cs="Calibri" w:eastAsia="Calibri" w:hAnsi="Calibri"/>
          <w:sz w:val="21"/>
          <w:szCs w:val="21"/>
        </w:rPr>
        <w:t xml:space="preserve">toute modification (programme, prix, phasage) est un événement structurant qui impose un retour en comité et un reprofilage du financement.</w:t>
      </w:r>
    </w:p>
    <w:p>
      <w:pPr>
        <w:spacing w:after="120" w:before="0" w:line="276"/>
      </w:pPr>
      <w:r>
        <w:rPr>
          <w:rFonts w:ascii="Calibri" w:cs="Calibri" w:eastAsia="Calibri" w:hAnsi="Calibri"/>
          <w:sz w:val="21"/>
          <w:szCs w:val="21"/>
        </w:rPr>
        <w:t xml:space="preserve">Une synthèse programme agrège les lots : nombre de lots, lots en attente de comité, lots en décaissement avancé, commercialisation et déblocages consolidés.</w:t>
      </w:r>
    </w:p>
    <w:p>
      <w:pPr>
        <w:pStyle w:val="Heading1"/>
        <w:spacing w:after="120" w:before="0" w:line="276"/>
      </w:pPr>
      <w:r>
        <w:rPr>
          <w:rFonts w:ascii="Calibri" w:cs="Calibri" w:eastAsia="Calibri" w:hAnsi="Calibri"/>
          <w:sz w:val="21"/>
          <w:szCs w:val="21"/>
        </w:rPr>
        <w:t xml:space="preserve">5. Événements → comité + nouveau scoring</w:t>
      </w:r>
    </w:p>
    <w:p>
      <w:pPr>
        <w:spacing w:after="120" w:before="0" w:line="276"/>
      </w:pPr>
      <w:r>
        <w:rPr>
          <w:rFonts w:ascii="Calibri" w:cs="Calibri" w:eastAsia="Calibri" w:hAnsi="Calibri"/>
          <w:sz w:val="21"/>
          <w:szCs w:val="21"/>
        </w:rPr>
        <w:t xml:space="preserve">Le scoring est une appréciation du risque : tout événement structurant doit pouvoir la remettre en cause à tout moment. Le catalogue d'événements est enrichi et rattaché aux circulaires BAM (19/G/2002 et 1/W/2025). Les événements suivants imposent un retour en comité et un nouveau scoring :</w:t>
      </w:r>
    </w:p>
    <w:tbl>
      <w:tblPr>
        <w:tblW w:type="dxa" w:w="9076"/>
        <w:tblBorders>
          <w:top w:val="single" w:color="AEB6C6" w:sz="2"/>
          <w:left w:val="single" w:color="AEB6C6" w:sz="2"/>
          <w:bottom w:val="single" w:color="AEB6C6" w:sz="2"/>
          <w:right w:val="single" w:color="AEB6C6" w:sz="2"/>
          <w:insideH w:val="single" w:color="D0D6E2" w:sz="1"/>
          <w:insideV w:val="single" w:color="D0D6E2" w:sz="1"/>
        </w:tblBorders>
      </w:tblPr>
      <w:tblGrid>
        <w:gridCol w:w="3900"/>
        <w:gridCol w:w="3376"/>
        <w:gridCol w:w="1800"/>
      </w:tblGrid>
      <w:tr>
        <w:trPr>
          <w:tblHeader/>
        </w:trPr>
        <w:tc>
          <w:tcPr>
            <w:tcW w:type="dxa" w:w="39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Événement</w:t>
            </w:r>
          </w:p>
        </w:tc>
        <w:tc>
          <w:tcPr>
            <w:tcW w:type="dxa" w:w="3376"/>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Effet</w:t>
            </w:r>
          </w:p>
        </w:tc>
        <w:tc>
          <w:tcPr>
            <w:tcW w:type="dxa" w:w="18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Référence</w:t>
            </w:r>
          </w:p>
        </w:tc>
      </w:tr>
      <w:tr>
        <w:tc>
          <w:tcPr>
            <w:tcW w:type="dxa" w:w="3900"/>
            <w:tcMar>
              <w:top w:type="dxa" w:w="40"/>
              <w:left w:type="dxa" w:w="90"/>
              <w:bottom w:type="dxa" w:w="40"/>
              <w:right w:type="dxa" w:w="90"/>
            </w:tcMar>
          </w:tcPr>
          <w:p>
            <w:pPr>
              <w:spacing w:after="0" w:line="252"/>
              <w:jc w:val="left"/>
            </w:pPr>
            <w:r>
              <w:rPr>
                <w:rFonts w:ascii="Calibri" w:cs="Calibri" w:eastAsia="Calibri" w:hAnsi="Calibri"/>
                <w:sz w:val="18"/>
                <w:szCs w:val="18"/>
              </w:rPr>
              <w:t xml:space="preserve">Restructuration de la créance</w:t>
            </w:r>
          </w:p>
        </w:tc>
        <w:tc>
          <w:tcPr>
            <w:tcW w:type="dxa" w:w="3376"/>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Comité + créance restructurée</w:t>
            </w:r>
          </w:p>
        </w:tc>
        <w:tc>
          <w:tcPr>
            <w:tcW w:type="dxa" w:w="1800"/>
            <w:tcMar>
              <w:top w:type="dxa" w:w="40"/>
              <w:left w:type="dxa" w:w="90"/>
              <w:bottom w:type="dxa" w:w="40"/>
              <w:right w:type="dxa" w:w="90"/>
            </w:tcMar>
          </w:tcPr>
          <w:p>
            <w:pPr>
              <w:spacing w:after="0" w:line="252"/>
              <w:jc w:val="left"/>
            </w:pPr>
            <w:r>
              <w:rPr>
                <w:rFonts w:ascii="Calibri" w:cs="Calibri" w:eastAsia="Calibri" w:hAnsi="Calibri"/>
                <w:sz w:val="18"/>
                <w:szCs w:val="18"/>
              </w:rPr>
              <w:t xml:space="preserve">1/W art.17-31</w:t>
            </w:r>
          </w:p>
        </w:tc>
      </w:tr>
      <w:tr>
        <w:tc>
          <w:tcPr>
            <w:tcW w:type="dxa" w:w="39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Consolidation de dettes</w:t>
            </w:r>
          </w:p>
        </w:tc>
        <w:tc>
          <w:tcPr>
            <w:tcW w:type="dxa" w:w="3376"/>
            <w:shd w:fill="F2F5FB" w:color="auto" w:val="clear"/>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Comité + créance restructurée</w:t>
            </w:r>
          </w:p>
        </w:tc>
        <w:tc>
          <w:tcPr>
            <w:tcW w:type="dxa" w:w="18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1/W art.17-31</w:t>
            </w:r>
          </w:p>
        </w:tc>
      </w:tr>
      <w:tr>
        <w:tc>
          <w:tcPr>
            <w:tcW w:type="dxa" w:w="3900"/>
            <w:tcMar>
              <w:top w:type="dxa" w:w="40"/>
              <w:left w:type="dxa" w:w="90"/>
              <w:bottom w:type="dxa" w:w="40"/>
              <w:right w:type="dxa" w:w="90"/>
            </w:tcMar>
          </w:tcPr>
          <w:p>
            <w:pPr>
              <w:spacing w:after="0" w:line="252"/>
              <w:jc w:val="left"/>
            </w:pPr>
            <w:r>
              <w:rPr>
                <w:rFonts w:ascii="Calibri" w:cs="Calibri" w:eastAsia="Calibri" w:hAnsi="Calibri"/>
                <w:sz w:val="18"/>
                <w:szCs w:val="18"/>
              </w:rPr>
              <w:t xml:space="preserve">Reprofilage / rééchelonnement</w:t>
            </w:r>
          </w:p>
        </w:tc>
        <w:tc>
          <w:tcPr>
            <w:tcW w:type="dxa" w:w="3376"/>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Comité + créance restructurée</w:t>
            </w:r>
          </w:p>
        </w:tc>
        <w:tc>
          <w:tcPr>
            <w:tcW w:type="dxa" w:w="1800"/>
            <w:tcMar>
              <w:top w:type="dxa" w:w="40"/>
              <w:left w:type="dxa" w:w="90"/>
              <w:bottom w:type="dxa" w:w="40"/>
              <w:right w:type="dxa" w:w="90"/>
            </w:tcMar>
          </w:tcPr>
          <w:p>
            <w:pPr>
              <w:spacing w:after="0" w:line="252"/>
              <w:jc w:val="left"/>
            </w:pPr>
            <w:r>
              <w:rPr>
                <w:rFonts w:ascii="Calibri" w:cs="Calibri" w:eastAsia="Calibri" w:hAnsi="Calibri"/>
                <w:sz w:val="18"/>
                <w:szCs w:val="18"/>
              </w:rPr>
              <w:t xml:space="preserve">1/W art.17-31</w:t>
            </w:r>
          </w:p>
        </w:tc>
      </w:tr>
      <w:tr>
        <w:tc>
          <w:tcPr>
            <w:tcW w:type="dxa" w:w="39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Modification d'un lot / d'une tranche</w:t>
            </w:r>
          </w:p>
        </w:tc>
        <w:tc>
          <w:tcPr>
            <w:tcW w:type="dxa" w:w="3376"/>
            <w:shd w:fill="F2F5FB" w:color="auto" w:val="clear"/>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Comité + reprofilage du financement</w:t>
            </w:r>
          </w:p>
        </w:tc>
        <w:tc>
          <w:tcPr>
            <w:tcW w:type="dxa" w:w="18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Politique interne</w:t>
            </w:r>
          </w:p>
        </w:tc>
      </w:tr>
      <w:tr>
        <w:tc>
          <w:tcPr>
            <w:tcW w:type="dxa" w:w="3900"/>
            <w:tcMar>
              <w:top w:type="dxa" w:w="40"/>
              <w:left w:type="dxa" w:w="90"/>
              <w:bottom w:type="dxa" w:w="40"/>
              <w:right w:type="dxa" w:w="90"/>
            </w:tcMar>
          </w:tcPr>
          <w:p>
            <w:pPr>
              <w:spacing w:after="0" w:line="252"/>
              <w:jc w:val="left"/>
            </w:pPr>
            <w:r>
              <w:rPr>
                <w:rFonts w:ascii="Calibri" w:cs="Calibri" w:eastAsia="Calibri" w:hAnsi="Calibri"/>
                <w:sz w:val="18"/>
                <w:szCs w:val="18"/>
              </w:rPr>
              <w:t xml:space="preserve">Arrêt de chantier</w:t>
            </w:r>
          </w:p>
        </w:tc>
        <w:tc>
          <w:tcPr>
            <w:tcW w:type="dxa" w:w="3376"/>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Comité + surveillance</w:t>
            </w:r>
          </w:p>
        </w:tc>
        <w:tc>
          <w:tcPr>
            <w:tcW w:type="dxa" w:w="1800"/>
            <w:tcMar>
              <w:top w:type="dxa" w:w="40"/>
              <w:left w:type="dxa" w:w="90"/>
              <w:bottom w:type="dxa" w:w="40"/>
              <w:right w:type="dxa" w:w="90"/>
            </w:tcMar>
          </w:tcPr>
          <w:p>
            <w:pPr>
              <w:spacing w:after="0" w:line="252"/>
              <w:jc w:val="left"/>
            </w:pPr>
            <w:r>
              <w:rPr>
                <w:rFonts w:ascii="Calibri" w:cs="Calibri" w:eastAsia="Calibri" w:hAnsi="Calibri"/>
                <w:sz w:val="18"/>
                <w:szCs w:val="18"/>
              </w:rPr>
              <w:t xml:space="preserve">1/W art.12.7</w:t>
            </w:r>
          </w:p>
        </w:tc>
      </w:tr>
      <w:tr>
        <w:tc>
          <w:tcPr>
            <w:tcW w:type="dxa" w:w="39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Changement de garantie / d'actionnariat</w:t>
            </w:r>
          </w:p>
        </w:tc>
        <w:tc>
          <w:tcPr>
            <w:tcW w:type="dxa" w:w="3376"/>
            <w:shd w:fill="F2F5FB" w:color="auto" w:val="clear"/>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Comité</w:t>
            </w:r>
          </w:p>
        </w:tc>
        <w:tc>
          <w:tcPr>
            <w:tcW w:type="dxa" w:w="18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Politique interne</w:t>
            </w:r>
          </w:p>
        </w:tc>
      </w:tr>
      <w:tr>
        <w:tc>
          <w:tcPr>
            <w:tcW w:type="dxa" w:w="3900"/>
            <w:tcMar>
              <w:top w:type="dxa" w:w="40"/>
              <w:left w:type="dxa" w:w="90"/>
              <w:bottom w:type="dxa" w:w="40"/>
              <w:right w:type="dxa" w:w="90"/>
            </w:tcMar>
          </w:tcPr>
          <w:p>
            <w:pPr>
              <w:spacing w:after="0" w:line="252"/>
              <w:jc w:val="left"/>
            </w:pPr>
            <w:r>
              <w:rPr>
                <w:rFonts w:ascii="Calibri" w:cs="Calibri" w:eastAsia="Calibri" w:hAnsi="Calibri"/>
                <w:sz w:val="18"/>
                <w:szCs w:val="18"/>
              </w:rPr>
              <w:t xml:space="preserve">Avenant au crédit</w:t>
            </w:r>
          </w:p>
        </w:tc>
        <w:tc>
          <w:tcPr>
            <w:tcW w:type="dxa" w:w="3376"/>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Comité</w:t>
            </w:r>
          </w:p>
        </w:tc>
        <w:tc>
          <w:tcPr>
            <w:tcW w:type="dxa" w:w="1800"/>
            <w:tcMar>
              <w:top w:type="dxa" w:w="40"/>
              <w:left w:type="dxa" w:w="90"/>
              <w:bottom w:type="dxa" w:w="40"/>
              <w:right w:type="dxa" w:w="90"/>
            </w:tcMar>
          </w:tcPr>
          <w:p>
            <w:pPr>
              <w:spacing w:after="0" w:line="252"/>
              <w:jc w:val="left"/>
            </w:pPr>
            <w:r>
              <w:rPr>
                <w:rFonts w:ascii="Calibri" w:cs="Calibri" w:eastAsia="Calibri" w:hAnsi="Calibri"/>
                <w:sz w:val="18"/>
                <w:szCs w:val="18"/>
              </w:rPr>
              <w:t xml:space="preserve">—</w:t>
            </w:r>
          </w:p>
        </w:tc>
      </w:tr>
    </w:tbl>
    <w:p>
      <w:pPr>
        <w:spacing w:after="120" w:before="0" w:line="276"/>
      </w:pPr>
      <w:r>
        <w:rPr>
          <w:rFonts w:ascii="Calibri" w:cs="Calibri" w:eastAsia="Calibri" w:hAnsi="Calibri"/>
          <w:b/>
          <w:bCs/>
          <w:sz w:val="21"/>
          <w:szCs w:val="21"/>
        </w:rPr>
        <w:t xml:space="preserve">Reprofilage / consolidation / restructuration : </w:t>
      </w:r>
      <w:r>
        <w:rPr>
          <w:rFonts w:ascii="Calibri" w:cs="Calibri" w:eastAsia="Calibri" w:hAnsi="Calibri"/>
          <w:sz w:val="21"/>
          <w:szCs w:val="21"/>
        </w:rPr>
        <w:t xml:space="preserve">ces trois formes de réaménagement de la dette sont traitées comme une créance restructurée au sens du régime (plancher de classe applicable), tracées dans le journal, et déclenchent le régime de restructuration (art.17-31) avec impact sur le score.</w:t>
      </w:r>
    </w:p>
    <w:p>
      <w:r>
        <w:br w:type="page"/>
      </w:r>
    </w:p>
    <w:p>
      <w:pPr>
        <w:pStyle w:val="Heading1"/>
        <w:spacing w:after="120" w:before="0" w:line="276"/>
      </w:pPr>
      <w:r>
        <w:rPr>
          <w:rFonts w:ascii="Calibri" w:cs="Calibri" w:eastAsia="Calibri" w:hAnsi="Calibri"/>
          <w:sz w:val="21"/>
          <w:szCs w:val="21"/>
        </w:rPr>
        <w:t xml:space="preserve">6. Périmètre restant (programme de validation)</w:t>
      </w:r>
    </w:p>
    <w:p>
      <w:pPr>
        <w:spacing w:after="120" w:before="0" w:line="276"/>
      </w:pPr>
      <w:r>
        <w:rPr>
          <w:rFonts w:ascii="Calibri" w:cs="Calibri" w:eastAsia="Calibri" w:hAnsi="Calibri"/>
          <w:sz w:val="21"/>
          <w:szCs w:val="21"/>
        </w:rPr>
        <w:t xml:space="preserve">Conformément au diagnostic, certains chantiers ne peuvent pas être « calibrés » par l'outil seul : ils requièrent un historique de défauts et de recouvrements et une validation indépendante. Ils sont structurés dans le modèle (sorties séparées, PD indicative, dictionnaire, familles, métadonnées versionnées) mais leur achèvement relève d'un programme dédié :</w:t>
      </w:r>
    </w:p>
    <w:p>
      <w:pPr>
        <w:pStyle w:val="ListParagraph"/>
        <w:numPr>
          <w:ilvl w:val="0"/>
          <w:numId w:val="2"/>
        </w:numPr>
        <w:spacing w:after="60" w:line="276"/>
      </w:pPr>
      <w:r>
        <w:rPr>
          <w:rFonts w:ascii="Calibri" w:cs="Calibri" w:eastAsia="Calibri" w:hAnsi="Calibri"/>
          <w:b/>
          <w:bCs/>
          <w:sz w:val="21"/>
          <w:szCs w:val="21"/>
        </w:rPr>
        <w:t xml:space="preserve">Calibration statistique de la PD et de la LGD </w:t>
      </w:r>
      <w:r>
        <w:rPr>
          <w:rFonts w:ascii="Calibri" w:cs="Calibri" w:eastAsia="Calibri" w:hAnsi="Calibri"/>
          <w:sz w:val="21"/>
          <w:szCs w:val="21"/>
        </w:rPr>
        <w:t xml:space="preserve">(horizon, événement de défaut, population, backtesting hors période) — F16, F14.</w:t>
      </w:r>
    </w:p>
    <w:p>
      <w:pPr>
        <w:pStyle w:val="ListParagraph"/>
        <w:numPr>
          <w:ilvl w:val="0"/>
          <w:numId w:val="2"/>
        </w:numPr>
        <w:spacing w:after="60" w:line="276"/>
      </w:pPr>
      <w:r>
        <w:rPr>
          <w:rFonts w:ascii="Calibri" w:cs="Calibri" w:eastAsia="Calibri" w:hAnsi="Calibri"/>
          <w:b/>
          <w:bCs/>
          <w:sz w:val="21"/>
          <w:szCs w:val="21"/>
        </w:rPr>
        <w:t xml:space="preserve">Reconstruction du budget mensuel de trésorerie </w:t>
      </w:r>
      <w:r>
        <w:rPr>
          <w:rFonts w:ascii="Calibri" w:cs="Calibri" w:eastAsia="Calibri" w:hAnsi="Calibri"/>
          <w:sz w:val="21"/>
          <w:szCs w:val="21"/>
        </w:rPr>
        <w:t xml:space="preserve">et de l'impasse par lot, à partir des contrats et de l'échéancier — F07.</w:t>
      </w:r>
    </w:p>
    <w:p>
      <w:pPr>
        <w:pStyle w:val="ListParagraph"/>
        <w:numPr>
          <w:ilvl w:val="0"/>
          <w:numId w:val="2"/>
        </w:numPr>
        <w:spacing w:after="60" w:line="276"/>
      </w:pPr>
      <w:r>
        <w:rPr>
          <w:rFonts w:ascii="Calibri" w:cs="Calibri" w:eastAsia="Calibri" w:hAnsi="Calibri"/>
          <w:b/>
          <w:bCs/>
          <w:sz w:val="21"/>
          <w:szCs w:val="21"/>
        </w:rPr>
        <w:t xml:space="preserve">Grilles par phase </w:t>
      </w:r>
      <w:r>
        <w:rPr>
          <w:rFonts w:ascii="Calibri" w:cs="Calibri" w:eastAsia="Calibri" w:hAnsi="Calibri"/>
          <w:sz w:val="21"/>
          <w:szCs w:val="21"/>
        </w:rPr>
        <w:t xml:space="preserve">(pré-développement / construction / écoulement) à activer après pilote sur dossiers marocains représentatifs — F11.</w:t>
      </w:r>
    </w:p>
    <w:p>
      <w:pPr>
        <w:pStyle w:val="ListParagraph"/>
        <w:numPr>
          <w:ilvl w:val="0"/>
          <w:numId w:val="2"/>
        </w:numPr>
        <w:spacing w:after="60" w:line="276"/>
      </w:pPr>
      <w:r>
        <w:rPr>
          <w:rFonts w:ascii="Calibri" w:cs="Calibri" w:eastAsia="Calibri" w:hAnsi="Calibri"/>
          <w:b/>
          <w:bCs/>
          <w:sz w:val="21"/>
          <w:szCs w:val="21"/>
        </w:rPr>
        <w:t xml:space="preserve">Micro-marchés et scénarios locaux / climatiques </w:t>
      </w:r>
      <w:r>
        <w:rPr>
          <w:rFonts w:ascii="Calibri" w:cs="Calibri" w:eastAsia="Calibri" w:hAnsi="Calibri"/>
          <w:sz w:val="21"/>
          <w:szCs w:val="21"/>
        </w:rPr>
        <w:t xml:space="preserve">(prix réalisables, rythme net, eau, raccordements) à documenter — F13, F18.</w:t>
      </w:r>
    </w:p>
    <w:p>
      <w:pPr>
        <w:spacing w:after="120" w:before="0" w:line="276"/>
      </w:pPr>
      <w:r>
        <w:rPr>
          <w:rFonts w:ascii="Calibri" w:cs="Calibri" w:eastAsia="Calibri" w:hAnsi="Calibri"/>
          <w:b/>
          <w:bCs/>
          <w:i/>
          <w:iCs/>
          <w:sz w:val="21"/>
          <w:szCs w:val="21"/>
        </w:rPr>
        <w:t xml:space="preserve">Note : </w:t>
      </w:r>
      <w:r>
        <w:rPr>
          <w:rFonts w:ascii="Calibri" w:cs="Calibri" w:eastAsia="Calibri" w:hAnsi="Calibri"/>
          <w:i/>
          <w:iCs/>
          <w:color w:val="595959"/>
          <w:sz w:val="21"/>
          <w:szCs w:val="21"/>
        </w:rPr>
        <w:t xml:space="preserve">la PD reste signalée indicative en sortie tant que sa calibration n'est pas validée ; elle ne doit pas fonder un calcul de pertes attendues ou de capital.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F2" w:sz="4" w:space="4"/>
      </w:pBdr>
      <w:spacing w:after="0"/>
      <w:jc w:val="right"/>
    </w:pPr>
    <w:r>
      <w:rPr>
        <w:rFonts w:ascii="Calibri" w:cs="Calibri" w:eastAsia="Calibri" w:hAnsi="Calibri"/>
        <w:color w:val="595959"/>
        <w:sz w:val="15"/>
        <w:szCs w:val="15"/>
      </w:rPr>
      <w:t xml:space="preserve">Modèle de scoring Promotion Immobilière · PI_PROMOTION v3.0.0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1F2" w:sz="6" w:space="4"/>
      </w:pBdr>
      <w:spacing w:after="140" w:before="2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scoring Promotion Immobilière v3.0.0 — remédiation diagnostic</dc:title>
  <dc:creator>Outil de scoring PI</dc:creator>
  <dc:description>Nouveau modèle v3.0.0 intégrant les recommandations du diagnostic, la vision lotissement et la gouvernance événementielle</dc:description>
  <cp:lastModifiedBy>Un-named</cp:lastModifiedBy>
  <cp:revision>1</cp:revision>
  <dcterms:created xsi:type="dcterms:W3CDTF">2026-09-20T09:46:03.426Z</dcterms:created>
  <dcterms:modified xsi:type="dcterms:W3CDTF">2026-09-20T09:46:03.426Z</dcterms:modified>
</cp:coreProperties>
</file>

<file path=docProps/custom.xml><?xml version="1.0" encoding="utf-8"?>
<Properties xmlns="http://schemas.openxmlformats.org/officeDocument/2006/custom-properties" xmlns:vt="http://schemas.openxmlformats.org/officeDocument/2006/docPropsVTypes"/>
</file>