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300"/>
        <w:jc w:val="center"/>
      </w:pPr>
      <w:r>
        <w:rPr>
          <w:rFonts w:ascii="Calibri" w:cs="Calibri" w:eastAsia="Calibri" w:hAnsi="Calibri"/>
          <w:b/>
          <w:bCs/>
          <w:color w:val="1F3864"/>
          <w:sz w:val="52"/>
          <w:szCs w:val="52"/>
        </w:rPr>
        <w:t xml:space="preserve">GUIDE DE SAISIE</w:t>
      </w:r>
    </w:p>
    <w:p>
      <w:pPr>
        <w:spacing w:before="60"/>
        <w:jc w:val="center"/>
      </w:pPr>
      <w:r>
        <w:rPr>
          <w:rFonts w:ascii="Calibri" w:cs="Calibri" w:eastAsia="Calibri" w:hAnsi="Calibri"/>
          <w:b/>
          <w:bCs/>
          <w:color w:val="2E5496"/>
          <w:sz w:val="44"/>
          <w:szCs w:val="44"/>
        </w:rPr>
        <w:t xml:space="preserve">et de paramétrage</w:t>
      </w:r>
    </w:p>
    <w:p>
      <w:pPr>
        <w:pBdr>
          <w:top w:val="single" w:color="D9E1F2" w:sz="12" w:space="8"/>
        </w:pBdr>
        <w:spacing w:before="240"/>
        <w:jc w:val="center"/>
      </w:pPr>
      <w:r>
        <w:rPr>
          <w:sz w:val="2"/>
          <w:szCs w:val="2"/>
        </w:rPr>
        <w:t xml:space="preserve"/>
      </w:r>
    </w:p>
    <w:p>
      <w:pPr>
        <w:spacing w:before="300"/>
        <w:jc w:val="center"/>
      </w:pPr>
      <w:r>
        <w:rPr>
          <w:rFonts w:ascii="Calibri" w:cs="Calibri" w:eastAsia="Calibri" w:hAnsi="Calibri"/>
          <w:i/>
          <w:iCs/>
          <w:color w:val="595959"/>
          <w:sz w:val="24"/>
          <w:szCs w:val="24"/>
        </w:rPr>
        <w:t xml:space="preserve">Autorisations · Financement des acquéreurs · Désengagement</w:t>
      </w:r>
    </w:p>
    <w:p>
      <w:pPr>
        <w:spacing w:before="1400"/>
        <w:jc w:val="center"/>
      </w:pPr>
      <w:r>
        <w:rPr>
          <w:rFonts w:ascii="Calibri" w:cs="Calibri" w:eastAsia="Calibri" w:hAnsi="Calibri"/>
          <w:b/>
          <w:bCs/>
          <w:color w:val="1F3864"/>
          <w:sz w:val="22"/>
          <w:szCs w:val="22"/>
        </w:rPr>
        <w:t xml:space="preserve">PI_PROMOTION v4.0.0 — en production</w:t>
      </w:r>
    </w:p>
    <w:p>
      <w:pPr>
        <w:spacing w:before="40"/>
        <w:jc w:val="center"/>
      </w:pPr>
      <w:r>
        <w:rPr>
          <w:rFonts w:ascii="Calibri" w:cs="Calibri" w:eastAsia="Calibri" w:hAnsi="Calibri"/>
          <w:color w:val="595959"/>
          <w:sz w:val="20"/>
          <w:szCs w:val="20"/>
        </w:rPr>
        <w:t xml:space="preserve">28 septembre 2026</w:t>
      </w:r>
    </w:p>
    <w:p>
      <w:r>
        <w:br w:type="page"/>
      </w:r>
    </w:p>
    <w:p>
      <w:pPr>
        <w:pStyle w:val="Heading1"/>
        <w:spacing w:after="120" w:before="0" w:line="276"/>
      </w:pPr>
      <w:r>
        <w:rPr>
          <w:rFonts w:ascii="Calibri" w:cs="Calibri" w:eastAsia="Calibri" w:hAnsi="Calibri"/>
          <w:sz w:val="21"/>
          <w:szCs w:val="21"/>
        </w:rPr>
        <w:t xml:space="preserve">1. Où saisir quoi</w:t>
      </w:r>
    </w:p>
    <w:p>
      <w:pPr>
        <w:spacing w:after="120" w:before="0" w:line="276"/>
      </w:pPr>
      <w:r>
        <w:rPr>
          <w:rFonts w:ascii="Calibri" w:cs="Calibri" w:eastAsia="Calibri" w:hAnsi="Calibri"/>
          <w:sz w:val="21"/>
          <w:szCs w:val="21"/>
        </w:rPr>
        <w:t xml:space="preserve">Trois écrans couvrent les données introduites par l'alignement sur les pratiques marocaines. Un quatrième, réservé à l'administration, permet de faire évoluer les listes sans redéploiement.</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2900"/>
        <w:gridCol w:w="2500"/>
        <w:gridCol w:w="2726"/>
        <w:gridCol w:w="900"/>
      </w:tblGrid>
      <w:tr>
        <w:trPr>
          <w:tblHeader/>
        </w:trPr>
        <w:tc>
          <w:tcPr>
            <w:tcW w:type="dxa" w:w="29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Écran</w:t>
            </w:r>
          </w:p>
        </w:tc>
        <w:tc>
          <w:tcPr>
            <w:tcW w:type="dxa" w:w="25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Emplacement</w:t>
            </w:r>
          </w:p>
        </w:tc>
        <w:tc>
          <w:tcPr>
            <w:tcW w:type="dxa" w:w="2726"/>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Ce qu'on y saisit</w:t>
            </w:r>
          </w:p>
        </w:tc>
        <w:tc>
          <w:tcPr>
            <w:tcW w:type="dxa" w:w="9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Qui</w:t>
            </w:r>
          </w:p>
        </w:tc>
      </w:tr>
      <w:tr>
        <w:tc>
          <w:tcPr>
            <w:tcW w:type="dxa" w:w="2900"/>
            <w:tcMar>
              <w:top w:type="dxa" w:w="40"/>
              <w:left w:type="dxa" w:w="90"/>
              <w:bottom w:type="dxa" w:w="40"/>
              <w:right w:type="dxa" w:w="90"/>
            </w:tcMar>
          </w:tcPr>
          <w:p>
            <w:pPr>
              <w:spacing w:after="0" w:line="252"/>
              <w:jc w:val="left"/>
            </w:pPr>
            <w:r>
              <w:rPr>
                <w:rFonts w:ascii="Calibri" w:cs="Calibri" w:eastAsia="Calibri" w:hAnsi="Calibri"/>
                <w:sz w:val="18"/>
                <w:szCs w:val="18"/>
              </w:rPr>
              <w:t xml:space="preserve">Foncier, autorisations &amp; désengagement</w:t>
            </w:r>
          </w:p>
        </w:tc>
        <w:tc>
          <w:tcPr>
            <w:tcW w:type="dxa" w:w="2500"/>
            <w:tcMar>
              <w:top w:type="dxa" w:w="40"/>
              <w:left w:type="dxa" w:w="90"/>
              <w:bottom w:type="dxa" w:w="40"/>
              <w:right w:type="dxa" w:w="90"/>
            </w:tcMar>
          </w:tcPr>
          <w:p>
            <w:pPr>
              <w:spacing w:after="0" w:line="252"/>
              <w:jc w:val="left"/>
            </w:pPr>
            <w:r>
              <w:rPr>
                <w:rFonts w:ascii="Calibri" w:cs="Calibri" w:eastAsia="Calibri" w:hAnsi="Calibri"/>
                <w:sz w:val="18"/>
                <w:szCs w:val="18"/>
              </w:rPr>
              <w:t xml:space="preserve">Fiche projet → onglet Garanties</w:t>
            </w:r>
          </w:p>
        </w:tc>
        <w:tc>
          <w:tcPr>
            <w:tcW w:type="dxa" w:w="2726"/>
            <w:tcMar>
              <w:top w:type="dxa" w:w="40"/>
              <w:left w:type="dxa" w:w="90"/>
              <w:bottom w:type="dxa" w:w="40"/>
              <w:right w:type="dxa" w:w="90"/>
            </w:tcMar>
          </w:tcPr>
          <w:p>
            <w:pPr>
              <w:spacing w:after="0" w:line="252"/>
              <w:jc w:val="left"/>
            </w:pPr>
            <w:r>
              <w:rPr>
                <w:rFonts w:ascii="Calibri" w:cs="Calibri" w:eastAsia="Calibri" w:hAnsi="Calibri"/>
                <w:sz w:val="18"/>
                <w:szCs w:val="18"/>
              </w:rPr>
              <w:t xml:space="preserve">Nature du programme, quotité de désengagement, chaîne d'autorisations pièce par pièce (obtenue, date, référence).</w:t>
            </w:r>
          </w:p>
        </w:tc>
        <w:tc>
          <w:tcPr>
            <w:tcW w:type="dxa" w:w="900"/>
            <w:tcMar>
              <w:top w:type="dxa" w:w="40"/>
              <w:left w:type="dxa" w:w="90"/>
              <w:bottom w:type="dxa" w:w="40"/>
              <w:right w:type="dxa" w:w="90"/>
            </w:tcMar>
          </w:tcPr>
          <w:p>
            <w:pPr>
              <w:spacing w:after="0" w:line="252"/>
              <w:jc w:val="left"/>
            </w:pPr>
            <w:r>
              <w:rPr>
                <w:rFonts w:ascii="Calibri" w:cs="Calibri" w:eastAsia="Calibri" w:hAnsi="Calibri"/>
                <w:sz w:val="18"/>
                <w:szCs w:val="18"/>
              </w:rPr>
              <w:t xml:space="preserve">Chargé d'affaires</w:t>
            </w:r>
          </w:p>
        </w:tc>
      </w:tr>
      <w:tr>
        <w:tc>
          <w:tcPr>
            <w:tcW w:type="dxa" w:w="29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Financement des acquéreurs</w:t>
            </w:r>
          </w:p>
        </w:tc>
        <w:tc>
          <w:tcPr>
            <w:tcW w:type="dxa" w:w="25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Fiche projet → Suivi &amp; événements</w:t>
            </w:r>
          </w:p>
        </w:tc>
        <w:tc>
          <w:tcPr>
            <w:tcW w:type="dxa" w:w="27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Statut de financement et dispositif d'aide, lot par lot.</w:t>
            </w:r>
          </w:p>
        </w:tc>
        <w:tc>
          <w:tcPr>
            <w:tcW w:type="dxa" w:w="9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Chargé d'affaires</w:t>
            </w:r>
          </w:p>
        </w:tc>
      </w:tr>
      <w:tr>
        <w:tc>
          <w:tcPr>
            <w:tcW w:type="dxa" w:w="2900"/>
            <w:tcMar>
              <w:top w:type="dxa" w:w="40"/>
              <w:left w:type="dxa" w:w="90"/>
              <w:bottom w:type="dxa" w:w="40"/>
              <w:right w:type="dxa" w:w="90"/>
            </w:tcMar>
          </w:tcPr>
          <w:p>
            <w:pPr>
              <w:spacing w:after="0" w:line="252"/>
              <w:jc w:val="left"/>
            </w:pPr>
            <w:r>
              <w:rPr>
                <w:rFonts w:ascii="Calibri" w:cs="Calibri" w:eastAsia="Calibri" w:hAnsi="Calibri"/>
                <w:sz w:val="18"/>
                <w:szCs w:val="18"/>
              </w:rPr>
              <w:t xml:space="preserve">Référentiels métier</w:t>
            </w:r>
          </w:p>
        </w:tc>
        <w:tc>
          <w:tcPr>
            <w:tcW w:type="dxa" w:w="2500"/>
            <w:tcMar>
              <w:top w:type="dxa" w:w="40"/>
              <w:left w:type="dxa" w:w="90"/>
              <w:bottom w:type="dxa" w:w="40"/>
              <w:right w:type="dxa" w:w="90"/>
            </w:tcMar>
          </w:tcPr>
          <w:p>
            <w:pPr>
              <w:spacing w:after="0" w:line="252"/>
              <w:jc w:val="left"/>
            </w:pPr>
            <w:r>
              <w:rPr>
                <w:rFonts w:ascii="Calibri" w:cs="Calibri" w:eastAsia="Calibri" w:hAnsi="Calibri"/>
                <w:sz w:val="18"/>
                <w:szCs w:val="18"/>
              </w:rPr>
              <w:t xml:space="preserve">Administration → Référentiels métier</w:t>
            </w:r>
          </w:p>
        </w:tc>
        <w:tc>
          <w:tcPr>
            <w:tcW w:type="dxa" w:w="2726"/>
            <w:tcMar>
              <w:top w:type="dxa" w:w="40"/>
              <w:left w:type="dxa" w:w="90"/>
              <w:bottom w:type="dxa" w:w="40"/>
              <w:right w:type="dxa" w:w="90"/>
            </w:tcMar>
          </w:tcPr>
          <w:p>
            <w:pPr>
              <w:spacing w:after="0" w:line="252"/>
              <w:jc w:val="left"/>
            </w:pPr>
            <w:r>
              <w:rPr>
                <w:rFonts w:ascii="Calibri" w:cs="Calibri" w:eastAsia="Calibri" w:hAnsi="Calibri"/>
                <w:sz w:val="18"/>
                <w:szCs w:val="18"/>
              </w:rPr>
              <w:t xml:space="preserve">Les quatre listes qui pilotent les écrans ci-dessus.</w:t>
            </w:r>
          </w:p>
        </w:tc>
        <w:tc>
          <w:tcPr>
            <w:tcW w:type="dxa" w:w="900"/>
            <w:tcMar>
              <w:top w:type="dxa" w:w="40"/>
              <w:left w:type="dxa" w:w="90"/>
              <w:bottom w:type="dxa" w:w="40"/>
              <w:right w:type="dxa" w:w="90"/>
            </w:tcMar>
          </w:tcPr>
          <w:p>
            <w:pPr>
              <w:spacing w:after="0" w:line="252"/>
              <w:jc w:val="left"/>
            </w:pPr>
            <w:r>
              <w:rPr>
                <w:rFonts w:ascii="Calibri" w:cs="Calibri" w:eastAsia="Calibri" w:hAnsi="Calibri"/>
                <w:sz w:val="18"/>
                <w:szCs w:val="18"/>
              </w:rPr>
              <w:t xml:space="preserve">Administrateur du modèle</w:t>
            </w:r>
          </w:p>
        </w:tc>
      </w:tr>
    </w:tbl>
    <w:p>
      <w:pPr>
        <w:pStyle w:val="Heading1"/>
        <w:spacing w:after="120" w:before="0" w:line="276"/>
      </w:pPr>
      <w:r>
        <w:rPr>
          <w:rFonts w:ascii="Calibri" w:cs="Calibri" w:eastAsia="Calibri" w:hAnsi="Calibri"/>
          <w:sz w:val="21"/>
          <w:szCs w:val="21"/>
        </w:rPr>
        <w:t xml:space="preserve">2. Chaîne d'autorisations</w:t>
      </w:r>
    </w:p>
    <w:p>
      <w:pPr>
        <w:spacing w:after="120" w:before="0" w:line="276"/>
      </w:pPr>
      <w:r>
        <w:rPr>
          <w:rFonts w:ascii="Calibri" w:cs="Calibri" w:eastAsia="Calibri" w:hAnsi="Calibri"/>
          <w:sz w:val="21"/>
          <w:szCs w:val="21"/>
        </w:rPr>
        <w:t xml:space="preserve">Commencez par fixer la nature du programme : elle détermine les pièces exigibles. Un lotissement appelle l'autorisation de lotir et le morcellement du titre ; une construction appelle le permis de construire et le permis d'habiter ; un programme mixte appelle les deux.</w:t>
      </w:r>
    </w:p>
    <w:p>
      <w:pPr>
        <w:spacing w:after="120" w:before="0" w:line="276"/>
      </w:pPr>
      <w:r>
        <w:rPr>
          <w:rFonts w:ascii="Calibri" w:cs="Calibri" w:eastAsia="Calibri" w:hAnsi="Calibri"/>
          <w:sz w:val="21"/>
          <w:szCs w:val="21"/>
        </w:rPr>
        <w:t xml:space="preserve">Cochez chaque pièce obtenue et renseignez sa date et sa référence. L'écran restitue immédiatement deux informations de crédit :</w:t>
      </w:r>
    </w:p>
    <w:p>
      <w:pPr>
        <w:pStyle w:val="ListParagraph"/>
        <w:numPr>
          <w:ilvl w:val="0"/>
          <w:numId w:val="2"/>
        </w:numPr>
        <w:spacing w:after="60" w:line="276"/>
      </w:pPr>
      <w:r>
        <w:rPr>
          <w:rFonts w:ascii="Calibri" w:cs="Calibri" w:eastAsia="Calibri" w:hAnsi="Calibri"/>
          <w:b/>
          <w:bCs/>
          <w:color w:val="C00000"/>
          <w:sz w:val="21"/>
          <w:szCs w:val="21"/>
        </w:rPr>
        <w:t xml:space="preserve">Verrou de travaux (rouge) : </w:t>
      </w:r>
      <w:r>
        <w:rPr>
          <w:rFonts w:ascii="Calibri" w:cs="Calibri" w:eastAsia="Calibri" w:hAnsi="Calibri"/>
          <w:sz w:val="21"/>
          <w:szCs w:val="21"/>
        </w:rPr>
        <w:t xml:space="preserve">une pièce indispensable au démarrage des travaux financés manque. Aucun décaissement de travaux ne doit être autorisé tant qu'elle n'est pas levée. Ce n'est PAS un défaut bancaire : c'est une condition de tirage.</w:t>
      </w:r>
    </w:p>
    <w:p>
      <w:pPr>
        <w:pStyle w:val="ListParagraph"/>
        <w:numPr>
          <w:ilvl w:val="0"/>
          <w:numId w:val="2"/>
        </w:numPr>
        <w:spacing w:after="60" w:line="276"/>
      </w:pPr>
      <w:r>
        <w:rPr>
          <w:rFonts w:ascii="Calibri" w:cs="Calibri" w:eastAsia="Calibri" w:hAnsi="Calibri"/>
          <w:b/>
          <w:bCs/>
          <w:sz w:val="21"/>
          <w:szCs w:val="21"/>
        </w:rPr>
        <w:t xml:space="preserve">Conditions de livraison (orange) : </w:t>
      </w:r>
      <w:r>
        <w:rPr>
          <w:rFonts w:ascii="Calibri" w:cs="Calibri" w:eastAsia="Calibri" w:hAnsi="Calibri"/>
          <w:sz w:val="21"/>
          <w:szCs w:val="21"/>
        </w:rPr>
        <w:t xml:space="preserve">les pièces qui conditionnent la livraison et l'encaissement final restent à obtenir.</w:t>
      </w:r>
    </w:p>
    <w:p>
      <w:pPr>
        <w:spacing w:after="120" w:before="0" w:line="276"/>
      </w:pPr>
      <w:r>
        <w:rPr>
          <w:rFonts w:ascii="Calibri" w:cs="Calibri" w:eastAsia="Calibri" w:hAnsi="Calibri"/>
          <w:b/>
          <w:bCs/>
          <w:sz w:val="21"/>
          <w:szCs w:val="21"/>
        </w:rPr>
        <w:t xml:space="preserve">Effet sur le scoring. </w:t>
      </w:r>
      <w:r>
        <w:rPr>
          <w:rFonts w:ascii="Calibri" w:cs="Calibri" w:eastAsia="Calibri" w:hAnsi="Calibri"/>
          <w:sz w:val="21"/>
          <w:szCs w:val="21"/>
        </w:rPr>
        <w:t xml:space="preserve">La complétude de la chaîne alimente le critère D2C8 après synchronisation. Une chaîne incomplète pèse sur le score du domaine « qualité du projet » sans bloquer le dossier.</w:t>
      </w:r>
    </w:p>
    <w:p>
      <w:pPr>
        <w:pStyle w:val="Heading1"/>
        <w:spacing w:after="120" w:before="0" w:line="276"/>
      </w:pPr>
      <w:r>
        <w:rPr>
          <w:rFonts w:ascii="Calibri" w:cs="Calibri" w:eastAsia="Calibri" w:hAnsi="Calibri"/>
          <w:sz w:val="21"/>
          <w:szCs w:val="21"/>
        </w:rPr>
        <w:t xml:space="preserve">3. Quotité de désengagement</w:t>
      </w:r>
    </w:p>
    <w:p>
      <w:pPr>
        <w:spacing w:after="120" w:before="0" w:line="276"/>
      </w:pPr>
      <w:r>
        <w:rPr>
          <w:rFonts w:ascii="Calibri" w:cs="Calibri" w:eastAsia="Calibri" w:hAnsi="Calibri"/>
          <w:sz w:val="21"/>
          <w:szCs w:val="21"/>
        </w:rPr>
        <w:t xml:space="preserve">Saisissez, sur le même écran, la quotité convenue pour les mainlevées partielles : la part du prix de vente de chaque lot affectée au remboursement.</w:t>
      </w:r>
    </w:p>
    <w:p>
      <w:pPr>
        <w:spacing w:after="120" w:before="0" w:line="276"/>
      </w:pPr>
      <w:r>
        <w:rPr>
          <w:rFonts w:ascii="Calibri" w:cs="Calibri" w:eastAsia="Calibri" w:hAnsi="Calibri"/>
          <w:b/>
          <w:bCs/>
          <w:sz w:val="21"/>
          <w:szCs w:val="21"/>
        </w:rPr>
        <w:t xml:space="preserve">Repère de décision : </w:t>
      </w:r>
      <w:r>
        <w:rPr>
          <w:rFonts w:ascii="Calibri" w:cs="Calibri" w:eastAsia="Calibri" w:hAnsi="Calibri"/>
          <w:sz w:val="21"/>
          <w:szCs w:val="21"/>
        </w:rPr>
        <w:t xml:space="preserve">la quotité d'équilibre est l'encours divisé par la valeur commercialisable totale. En deçà, la dette s'éteint plus lentement que le stock ne s'écoule, et le solde finit adossé aux lots les moins vendables. L'outil signale la sous-tarification et propose une quotité majorée d'une marge de sécurité.</w:t>
      </w:r>
    </w:p>
    <w:p>
      <w:pPr>
        <w:pStyle w:val="Heading1"/>
        <w:spacing w:after="120" w:before="0" w:line="276"/>
      </w:pPr>
      <w:r>
        <w:rPr>
          <w:rFonts w:ascii="Calibri" w:cs="Calibri" w:eastAsia="Calibri" w:hAnsi="Calibri"/>
          <w:sz w:val="21"/>
          <w:szCs w:val="21"/>
        </w:rPr>
        <w:t xml:space="preserve">4. Financement des acquéreurs</w:t>
      </w:r>
    </w:p>
    <w:p>
      <w:pPr>
        <w:spacing w:after="120" w:before="0" w:line="276"/>
      </w:pPr>
      <w:r>
        <w:rPr>
          <w:rFonts w:ascii="Calibri" w:cs="Calibri" w:eastAsia="Calibri" w:hAnsi="Calibri"/>
          <w:sz w:val="21"/>
          <w:szCs w:val="21"/>
        </w:rPr>
        <w:t xml:space="preserve">Pour chaque lot engagé, indiquez où en est le financement de l'acquéreur. Le taux affiché en regard est le facteur de sécurisation appliqué au prix du lot : c'est lui qui distingue une réservation d'un acte financé.</w:t>
      </w:r>
    </w:p>
    <w:p>
      <w:pPr>
        <w:spacing w:after="120" w:before="0" w:line="276"/>
      </w:pPr>
      <w:r>
        <w:rPr>
          <w:rFonts w:ascii="Calibri" w:cs="Calibri" w:eastAsia="Calibri" w:hAnsi="Calibri"/>
          <w:sz w:val="21"/>
          <w:szCs w:val="21"/>
        </w:rPr>
        <w:t xml:space="preserve">La synthèse affiche le chiffre d'affaires engagé, le chiffre d'affaires sécurisé et le taux de sécurisation. Un bandeau signale les lots engagés dont le statut n'est pas renseigné : tant qu'ils le restent, le critère « ventes sécurisées » est calculé prudemment.</w:t>
      </w:r>
    </w:p>
    <w:p>
      <w:r>
        <w:br w:type="page"/>
      </w:r>
    </w:p>
    <w:p>
      <w:pPr>
        <w:pStyle w:val="Heading1"/>
        <w:spacing w:after="120" w:before="0" w:line="276"/>
      </w:pPr>
      <w:r>
        <w:rPr>
          <w:rFonts w:ascii="Calibri" w:cs="Calibri" w:eastAsia="Calibri" w:hAnsi="Calibri"/>
          <w:sz w:val="21"/>
          <w:szCs w:val="21"/>
        </w:rPr>
        <w:t xml:space="preserve">5. Paramétrer les listes sans redéploiement</w:t>
      </w:r>
    </w:p>
    <w:p>
      <w:pPr>
        <w:spacing w:after="120" w:before="0" w:line="276"/>
      </w:pPr>
      <w:r>
        <w:rPr>
          <w:rFonts w:ascii="Calibri" w:cs="Calibri" w:eastAsia="Calibri" w:hAnsi="Calibri"/>
          <w:sz w:val="21"/>
          <w:szCs w:val="21"/>
        </w:rPr>
        <w:t xml:space="preserve">L'écran Administration → Référentiels métier édite quatre familles. Chaque item porte un code technique, un libellé, un ordre d'affichage, un état actif/inactif, et un paramétrage au format JSON propre à sa famille.</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3000"/>
        <w:gridCol w:w="6026"/>
      </w:tblGrid>
      <w:tr>
        <w:trPr>
          <w:tblHeader/>
        </w:trPr>
        <w:tc>
          <w:tcPr>
            <w:tcW w:type="dxa" w:w="30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Famille</w:t>
            </w:r>
          </w:p>
        </w:tc>
        <w:tc>
          <w:tcPr>
            <w:tcW w:type="dxa" w:w="6026"/>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Paramétrage attendu</w:t>
            </w:r>
          </w:p>
        </w:tc>
      </w:tr>
      <w:tr>
        <w:tc>
          <w:tcPr>
            <w:tcW w:type="dxa" w:w="3000"/>
            <w:tcMar>
              <w:top w:type="dxa" w:w="40"/>
              <w:left w:type="dxa" w:w="90"/>
              <w:bottom w:type="dxa" w:w="40"/>
              <w:right w:type="dxa" w:w="90"/>
            </w:tcMar>
          </w:tcPr>
          <w:p>
            <w:pPr>
              <w:spacing w:after="0" w:line="252"/>
              <w:jc w:val="left"/>
            </w:pPr>
            <w:r>
              <w:rPr>
                <w:rFonts w:ascii="Calibri" w:cs="Calibri" w:eastAsia="Calibri" w:hAnsi="Calibri"/>
                <w:sz w:val="18"/>
                <w:szCs w:val="18"/>
              </w:rPr>
              <w:t xml:space="preserve">Chaîne d'autorisations</w:t>
            </w:r>
          </w:p>
        </w:tc>
        <w:tc>
          <w:tcPr>
            <w:tcW w:type="dxa" w:w="6026"/>
            <w:tcMar>
              <w:top w:type="dxa" w:w="40"/>
              <w:left w:type="dxa" w:w="90"/>
              <w:bottom w:type="dxa" w:w="40"/>
              <w:right w:type="dxa" w:w="90"/>
            </w:tcMar>
          </w:tcPr>
          <w:p>
            <w:pPr>
              <w:spacing w:after="0" w:line="252"/>
            </w:pPr>
            <w:r>
              <w:rPr>
                <w:rFonts w:ascii="Consolas" w:cs="Consolas" w:eastAsia="Consolas" w:hAnsi="Consolas"/>
                <w:sz w:val="15"/>
                <w:szCs w:val="15"/>
              </w:rPr>
              <w:t xml:space="preserve">{"stage":"TIRAGE","appliesTo":["CONSTRUCTION","MIXTE"],"blocksWorks":true,"regRef":"Loi 12-90"}</w:t>
            </w:r>
          </w:p>
        </w:tc>
      </w:tr>
      <w:tr>
        <w:tc>
          <w:tcPr>
            <w:tcW w:type="dxa" w:w="30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Financement de l'acquéreur</w:t>
            </w:r>
          </w:p>
        </w:tc>
        <w:tc>
          <w:tcPr>
            <w:tcW w:type="dxa" w:w="6026"/>
            <w:shd w:fill="F2F5FB" w:color="auto" w:val="clear"/>
            <w:tcMar>
              <w:top w:type="dxa" w:w="40"/>
              <w:left w:type="dxa" w:w="90"/>
              <w:bottom w:type="dxa" w:w="40"/>
              <w:right w:type="dxa" w:w="90"/>
            </w:tcMar>
          </w:tcPr>
          <w:p>
            <w:pPr>
              <w:spacing w:after="0" w:line="252"/>
            </w:pPr>
            <w:r>
              <w:rPr>
                <w:rFonts w:ascii="Consolas" w:cs="Consolas" w:eastAsia="Consolas" w:hAnsi="Consolas"/>
                <w:sz w:val="15"/>
                <w:szCs w:val="15"/>
              </w:rPr>
              <w:t xml:space="preserve">{"securityFactor":0.8}</w:t>
            </w:r>
          </w:p>
        </w:tc>
      </w:tr>
      <w:tr>
        <w:tc>
          <w:tcPr>
            <w:tcW w:type="dxa" w:w="3000"/>
            <w:tcMar>
              <w:top w:type="dxa" w:w="40"/>
              <w:left w:type="dxa" w:w="90"/>
              <w:bottom w:type="dxa" w:w="40"/>
              <w:right w:type="dxa" w:w="90"/>
            </w:tcMar>
          </w:tcPr>
          <w:p>
            <w:pPr>
              <w:spacing w:after="0" w:line="252"/>
              <w:jc w:val="left"/>
            </w:pPr>
            <w:r>
              <w:rPr>
                <w:rFonts w:ascii="Calibri" w:cs="Calibri" w:eastAsia="Calibri" w:hAnsi="Calibri"/>
                <w:sz w:val="18"/>
                <w:szCs w:val="18"/>
              </w:rPr>
              <w:t xml:space="preserve">Natures de concours</w:t>
            </w:r>
          </w:p>
        </w:tc>
        <w:tc>
          <w:tcPr>
            <w:tcW w:type="dxa" w:w="6026"/>
            <w:tcMar>
              <w:top w:type="dxa" w:w="40"/>
              <w:left w:type="dxa" w:w="90"/>
              <w:bottom w:type="dxa" w:w="40"/>
              <w:right w:type="dxa" w:w="90"/>
            </w:tcMar>
          </w:tcPr>
          <w:p>
            <w:pPr>
              <w:spacing w:after="0" w:line="252"/>
            </w:pPr>
            <w:r>
              <w:rPr>
                <w:rFonts w:ascii="Consolas" w:cs="Consolas" w:eastAsia="Consolas" w:hAnsi="Consolas"/>
                <w:sz w:val="15"/>
                <w:szCs w:val="15"/>
              </w:rPr>
              <w:t xml:space="preserve">{"requiresWorksCertificate":true,"typicalQuotity":0.7}</w:t>
            </w:r>
          </w:p>
        </w:tc>
      </w:tr>
      <w:tr>
        <w:tc>
          <w:tcPr>
            <w:tcW w:type="dxa" w:w="30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Dispositifs d'aide</w:t>
            </w:r>
          </w:p>
        </w:tc>
        <w:tc>
          <w:tcPr>
            <w:tcW w:type="dxa" w:w="6026"/>
            <w:shd w:fill="F2F5FB" w:color="auto" w:val="clear"/>
            <w:tcMar>
              <w:top w:type="dxa" w:w="40"/>
              <w:left w:type="dxa" w:w="90"/>
              <w:bottom w:type="dxa" w:w="40"/>
              <w:right w:type="dxa" w:w="90"/>
            </w:tcMar>
          </w:tcPr>
          <w:p>
            <w:pPr>
              <w:spacing w:after="0" w:line="252"/>
            </w:pPr>
            <w:r>
              <w:rPr>
                <w:rFonts w:ascii="Consolas" w:cs="Consolas" w:eastAsia="Consolas" w:hAnsi="Consolas"/>
                <w:sz w:val="15"/>
                <w:szCs w:val="15"/>
              </w:rPr>
              <w:t xml:space="preserve">{} — la note porte les conditions</w:t>
            </w:r>
          </w:p>
        </w:tc>
      </w:tr>
    </w:tbl>
    <w:p>
      <w:pPr>
        <w:spacing w:after="120" w:before="0" w:line="276"/>
      </w:pPr>
      <w:r>
        <w:rPr>
          <w:rFonts w:ascii="Calibri" w:cs="Calibri" w:eastAsia="Calibri" w:hAnsi="Calibri"/>
          <w:sz w:val="21"/>
          <w:szCs w:val="21"/>
        </w:rPr>
        <w:t xml:space="preserve">Le champ « stage » accepte ETUDE, OCTROI, SIGNATURE ou TIRAGE. Le champ « appliesTo » accepte LOTISSEMENT, CONSTRUCTION et MIXTE. Le facteur de sécurisation est compris entre 0 et 1.</w:t>
      </w:r>
    </w:p>
    <w:p>
      <w:pPr>
        <w:pStyle w:val="Heading2"/>
        <w:spacing w:after="120" w:before="0" w:line="276"/>
      </w:pPr>
      <w:r>
        <w:rPr>
          <w:rFonts w:ascii="Calibri" w:cs="Calibri" w:eastAsia="Calibri" w:hAnsi="Calibri"/>
          <w:sz w:val="21"/>
          <w:szCs w:val="21"/>
        </w:rPr>
        <w:t xml:space="preserve">5.1 Cas d'usage courants</w:t>
      </w:r>
    </w:p>
    <w:p>
      <w:pPr>
        <w:pStyle w:val="ListParagraph"/>
        <w:numPr>
          <w:ilvl w:val="0"/>
          <w:numId w:val="2"/>
        </w:numPr>
        <w:spacing w:after="60" w:line="276"/>
      </w:pPr>
      <w:r>
        <w:rPr>
          <w:rFonts w:ascii="Calibri" w:cs="Calibri" w:eastAsia="Calibri" w:hAnsi="Calibri"/>
          <w:b/>
          <w:bCs/>
          <w:sz w:val="21"/>
          <w:szCs w:val="21"/>
        </w:rPr>
        <w:t xml:space="preserve">Ajouter une pièce exigée localement : </w:t>
      </w:r>
      <w:r>
        <w:rPr>
          <w:rFonts w:ascii="Calibri" w:cs="Calibri" w:eastAsia="Calibri" w:hAnsi="Calibri"/>
          <w:sz w:val="21"/>
          <w:szCs w:val="21"/>
        </w:rPr>
        <w:t xml:space="preserve">« Ajouter », code en minuscules, libellé, et paramétrage précisant le jalon et les programmes concernés. Elle apparaît immédiatement dans la fiche projet.</w:t>
      </w:r>
    </w:p>
    <w:p>
      <w:pPr>
        <w:pStyle w:val="ListParagraph"/>
        <w:numPr>
          <w:ilvl w:val="0"/>
          <w:numId w:val="2"/>
        </w:numPr>
        <w:spacing w:after="60" w:line="276"/>
      </w:pPr>
      <w:r>
        <w:rPr>
          <w:rFonts w:ascii="Calibri" w:cs="Calibri" w:eastAsia="Calibri" w:hAnsi="Calibri"/>
          <w:b/>
          <w:bCs/>
          <w:sz w:val="21"/>
          <w:szCs w:val="21"/>
        </w:rPr>
        <w:t xml:space="preserve">Recalibrer un facteur de sécurisation : </w:t>
      </w:r>
      <w:r>
        <w:rPr>
          <w:rFonts w:ascii="Calibri" w:cs="Calibri" w:eastAsia="Calibri" w:hAnsi="Calibri"/>
          <w:sz w:val="21"/>
          <w:szCs w:val="21"/>
        </w:rPr>
        <w:t xml:space="preserve">éditez l'item et modifiez « securityFactor ». Le taux de ventes sécurisées est recalculé à la synchronisation suivante.</w:t>
      </w:r>
    </w:p>
    <w:p>
      <w:pPr>
        <w:pStyle w:val="ListParagraph"/>
        <w:numPr>
          <w:ilvl w:val="0"/>
          <w:numId w:val="2"/>
        </w:numPr>
        <w:spacing w:after="60" w:line="276"/>
      </w:pPr>
      <w:r>
        <w:rPr>
          <w:rFonts w:ascii="Calibri" w:cs="Calibri" w:eastAsia="Calibri" w:hAnsi="Calibri"/>
          <w:b/>
          <w:bCs/>
          <w:sz w:val="21"/>
          <w:szCs w:val="21"/>
        </w:rPr>
        <w:t xml:space="preserve">Retirer une pièce devenue sans objet : </w:t>
      </w:r>
      <w:r>
        <w:rPr>
          <w:rFonts w:ascii="Calibri" w:cs="Calibri" w:eastAsia="Calibri" w:hAnsi="Calibri"/>
          <w:sz w:val="21"/>
          <w:szCs w:val="21"/>
        </w:rPr>
        <w:t xml:space="preserve">« Désactiver » plutôt que supprimer — l'historique reste lisible et les dossiers passés restent interprétables.</w:t>
      </w:r>
    </w:p>
    <w:p>
      <w:pPr>
        <w:pStyle w:val="ListParagraph"/>
        <w:numPr>
          <w:ilvl w:val="0"/>
          <w:numId w:val="2"/>
        </w:numPr>
        <w:spacing w:after="60" w:line="276"/>
      </w:pPr>
      <w:r>
        <w:rPr>
          <w:rFonts w:ascii="Calibri" w:cs="Calibri" w:eastAsia="Calibri" w:hAnsi="Calibri"/>
          <w:b/>
          <w:bCs/>
          <w:sz w:val="21"/>
          <w:szCs w:val="21"/>
        </w:rPr>
        <w:t xml:space="preserve">Exiger une situation de travaux sur une nature de concours : </w:t>
      </w:r>
      <w:r>
        <w:rPr>
          <w:rFonts w:ascii="Calibri" w:cs="Calibri" w:eastAsia="Calibri" w:hAnsi="Calibri"/>
          <w:sz w:val="21"/>
          <w:szCs w:val="21"/>
        </w:rPr>
        <w:t xml:space="preserve">passez « requiresWorksCertificate » à true : tout tirage sans situation visée sera refusé.</w:t>
      </w:r>
    </w:p>
    <w:p>
      <w:pPr>
        <w:pStyle w:val="Heading1"/>
        <w:spacing w:after="120" w:before="0" w:line="276"/>
      </w:pPr>
      <w:r>
        <w:rPr>
          <w:rFonts w:ascii="Calibri" w:cs="Calibri" w:eastAsia="Calibri" w:hAnsi="Calibri"/>
          <w:sz w:val="21"/>
          <w:szCs w:val="21"/>
        </w:rPr>
        <w:t xml:space="preserve">6. Sécurités en place</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3400"/>
        <w:gridCol w:w="5626"/>
      </w:tblGrid>
      <w:tr>
        <w:trPr>
          <w:tblHeader/>
        </w:trPr>
        <w:tc>
          <w:tcPr>
            <w:tcW w:type="dxa" w:w="34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Sécurité</w:t>
            </w:r>
          </w:p>
        </w:tc>
        <w:tc>
          <w:tcPr>
            <w:tcW w:type="dxa" w:w="5626"/>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Comportement</w:t>
            </w:r>
          </w:p>
        </w:tc>
      </w:tr>
      <w:tr>
        <w:tc>
          <w:tcPr>
            <w:tcW w:type="dxa" w:w="3400"/>
            <w:tcMar>
              <w:top w:type="dxa" w:w="40"/>
              <w:left w:type="dxa" w:w="90"/>
              <w:bottom w:type="dxa" w:w="40"/>
              <w:right w:type="dxa" w:w="90"/>
            </w:tcMar>
          </w:tcPr>
          <w:p>
            <w:pPr>
              <w:spacing w:after="0" w:line="252"/>
              <w:jc w:val="left"/>
            </w:pPr>
            <w:r>
              <w:rPr>
                <w:rFonts w:ascii="Calibri" w:cs="Calibri" w:eastAsia="Calibri" w:hAnsi="Calibri"/>
                <w:sz w:val="18"/>
                <w:szCs w:val="18"/>
              </w:rPr>
              <w:t xml:space="preserve">Référentiel vide ou inaccessible</w:t>
            </w:r>
          </w:p>
        </w:tc>
        <w:tc>
          <w:tcPr>
            <w:tcW w:type="dxa" w:w="5626"/>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L'application retombe sur les valeurs par défaut du code — rien ne casse.</w:t>
            </w:r>
          </w:p>
        </w:tc>
      </w:tr>
      <w:tr>
        <w:tc>
          <w:tcPr>
            <w:tcW w:type="dxa" w:w="34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Paramétrage JSON invalide</w:t>
            </w:r>
          </w:p>
        </w:tc>
        <w:tc>
          <w:tcPr>
            <w:tcW w:type="dxa" w:w="5626"/>
            <w:shd w:fill="F2F5FB" w:color="auto" w:val="clear"/>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Refusé à l'enregistrement ; à la lecture, repli sur un défaut prudent.</w:t>
            </w:r>
          </w:p>
        </w:tc>
      </w:tr>
      <w:tr>
        <w:tc>
          <w:tcPr>
            <w:tcW w:type="dxa" w:w="3400"/>
            <w:tcMar>
              <w:top w:type="dxa" w:w="40"/>
              <w:left w:type="dxa" w:w="90"/>
              <w:bottom w:type="dxa" w:w="40"/>
              <w:right w:type="dxa" w:w="90"/>
            </w:tcMar>
          </w:tcPr>
          <w:p>
            <w:pPr>
              <w:spacing w:after="0" w:line="252"/>
              <w:jc w:val="left"/>
            </w:pPr>
            <w:r>
              <w:rPr>
                <w:rFonts w:ascii="Calibri" w:cs="Calibri" w:eastAsia="Calibri" w:hAnsi="Calibri"/>
                <w:sz w:val="18"/>
                <w:szCs w:val="18"/>
              </w:rPr>
              <w:t xml:space="preserve">Code non conforme</w:t>
            </w:r>
          </w:p>
        </w:tc>
        <w:tc>
          <w:tcPr>
            <w:tcW w:type="dxa" w:w="5626"/>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Refusé : minuscules, chiffres et tirets bas uniquement.</w:t>
            </w:r>
          </w:p>
        </w:tc>
      </w:tr>
      <w:tr>
        <w:tc>
          <w:tcPr>
            <w:tcW w:type="dxa" w:w="34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Suppression</w:t>
            </w:r>
          </w:p>
        </w:tc>
        <w:tc>
          <w:tcPr>
            <w:tcW w:type="dxa" w:w="5626"/>
            <w:shd w:fill="F2F5FB" w:color="auto" w:val="clear"/>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Impossible — seulement activation / désactivation.</w:t>
            </w:r>
          </w:p>
        </w:tc>
      </w:tr>
      <w:tr>
        <w:tc>
          <w:tcPr>
            <w:tcW w:type="dxa" w:w="3400"/>
            <w:tcMar>
              <w:top w:type="dxa" w:w="40"/>
              <w:left w:type="dxa" w:w="90"/>
              <w:bottom w:type="dxa" w:w="40"/>
              <w:right w:type="dxa" w:w="90"/>
            </w:tcMar>
          </w:tcPr>
          <w:p>
            <w:pPr>
              <w:spacing w:after="0" w:line="252"/>
              <w:jc w:val="left"/>
            </w:pPr>
            <w:r>
              <w:rPr>
                <w:rFonts w:ascii="Calibri" w:cs="Calibri" w:eastAsia="Calibri" w:hAnsi="Calibri"/>
                <w:sz w:val="18"/>
                <w:szCs w:val="18"/>
              </w:rPr>
              <w:t xml:space="preserve">Droits</w:t>
            </w:r>
          </w:p>
        </w:tc>
        <w:tc>
          <w:tcPr>
            <w:tcW w:type="dxa" w:w="5626"/>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Saisie projet : écriture projet. Référentiels : administration du modèle.</w:t>
            </w:r>
          </w:p>
        </w:tc>
      </w:tr>
      <w:tr>
        <w:tc>
          <w:tcPr>
            <w:tcW w:type="dxa" w:w="34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Traçabilité</w:t>
            </w:r>
          </w:p>
        </w:tc>
        <w:tc>
          <w:tcPr>
            <w:tcW w:type="dxa" w:w="5626"/>
            <w:shd w:fill="F2F5FB" w:color="auto" w:val="clear"/>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Chaque modification est journalisée (auteur, horodatage, valeurs).</w:t>
            </w:r>
          </w:p>
        </w:tc>
      </w:tr>
    </w:tbl>
    <w:p>
      <w:pPr>
        <w:pStyle w:val="Heading1"/>
        <w:spacing w:after="120" w:before="0" w:line="276"/>
      </w:pPr>
      <w:r>
        <w:rPr>
          <w:rFonts w:ascii="Calibri" w:cs="Calibri" w:eastAsia="Calibri" w:hAnsi="Calibri"/>
          <w:sz w:val="21"/>
          <w:szCs w:val="21"/>
        </w:rPr>
        <w:t xml:space="preserve">7. Ordre de saisie recommandé</w:t>
      </w:r>
    </w:p>
    <w:p>
      <w:pPr>
        <w:spacing w:after="120" w:before="0" w:line="276"/>
      </w:pPr>
      <w:r>
        <w:rPr>
          <w:rFonts w:ascii="Calibri" w:cs="Calibri" w:eastAsia="Calibri" w:hAnsi="Calibri"/>
          <w:sz w:val="21"/>
          <w:szCs w:val="21"/>
        </w:rPr>
        <w:t xml:space="preserve">Pour un dossier nouveau :</w:t>
      </w:r>
    </w:p>
    <w:p>
      <w:pPr>
        <w:pStyle w:val="ListParagraph"/>
        <w:numPr>
          <w:ilvl w:val="0"/>
          <w:numId w:val="2"/>
        </w:numPr>
        <w:spacing w:after="60" w:line="276"/>
      </w:pPr>
      <w:r>
        <w:rPr>
          <w:rFonts w:ascii="Calibri" w:cs="Calibri" w:eastAsia="Calibri" w:hAnsi="Calibri"/>
          <w:sz w:val="21"/>
          <w:szCs w:val="21"/>
        </w:rPr>
        <w:t xml:space="preserve">1. Fixer la nature du programme (elle conditionne les pièces exigibles).</w:t>
      </w:r>
    </w:p>
    <w:p>
      <w:pPr>
        <w:pStyle w:val="ListParagraph"/>
        <w:numPr>
          <w:ilvl w:val="0"/>
          <w:numId w:val="2"/>
        </w:numPr>
        <w:spacing w:after="60" w:line="276"/>
      </w:pPr>
      <w:r>
        <w:rPr>
          <w:rFonts w:ascii="Calibri" w:cs="Calibri" w:eastAsia="Calibri" w:hAnsi="Calibri"/>
          <w:sz w:val="21"/>
          <w:szCs w:val="21"/>
        </w:rPr>
        <w:t xml:space="preserve">2. Renseigner les autorisations déjà obtenues, avec dates et références.</w:t>
      </w:r>
    </w:p>
    <w:p>
      <w:pPr>
        <w:pStyle w:val="ListParagraph"/>
        <w:numPr>
          <w:ilvl w:val="0"/>
          <w:numId w:val="2"/>
        </w:numPr>
        <w:spacing w:after="60" w:line="276"/>
      </w:pPr>
      <w:r>
        <w:rPr>
          <w:rFonts w:ascii="Calibri" w:cs="Calibri" w:eastAsia="Calibri" w:hAnsi="Calibri"/>
          <w:sz w:val="21"/>
          <w:szCs w:val="21"/>
        </w:rPr>
        <w:t xml:space="preserve">3. Saisir la quotité de désengagement convenue au comité.</w:t>
      </w:r>
    </w:p>
    <w:p>
      <w:pPr>
        <w:pStyle w:val="ListParagraph"/>
        <w:numPr>
          <w:ilvl w:val="0"/>
          <w:numId w:val="2"/>
        </w:numPr>
        <w:spacing w:after="60" w:line="276"/>
      </w:pPr>
      <w:r>
        <w:rPr>
          <w:rFonts w:ascii="Calibri" w:cs="Calibri" w:eastAsia="Calibri" w:hAnsi="Calibri"/>
          <w:sz w:val="21"/>
          <w:szCs w:val="21"/>
        </w:rPr>
        <w:t xml:space="preserve">4. Renseigner le financement des acquéreurs au fil des réservations.</w:t>
      </w:r>
    </w:p>
    <w:p>
      <w:pPr>
        <w:pStyle w:val="ListParagraph"/>
        <w:numPr>
          <w:ilvl w:val="0"/>
          <w:numId w:val="2"/>
        </w:numPr>
        <w:spacing w:after="60" w:line="276"/>
      </w:pPr>
      <w:r>
        <w:rPr>
          <w:rFonts w:ascii="Calibri" w:cs="Calibri" w:eastAsia="Calibri" w:hAnsi="Calibri"/>
          <w:sz w:val="21"/>
          <w:szCs w:val="21"/>
        </w:rPr>
        <w:t xml:space="preserve">5. Lancer « Alimenter le scoring depuis le suivi », puis le scoring.</w:t>
      </w:r>
    </w:p>
    <w:p>
      <w:pPr>
        <w:spacing w:after="120" w:before="0" w:line="276"/>
      </w:pPr>
      <w:r>
        <w:rPr>
          <w:rFonts w:ascii="Calibri" w:cs="Calibri" w:eastAsia="Calibri" w:hAnsi="Calibri"/>
          <w:b/>
          <w:bCs/>
          <w:sz w:val="21"/>
          <w:szCs w:val="21"/>
        </w:rPr>
        <w:t xml:space="preserve">À retenir. </w:t>
      </w:r>
      <w:r>
        <w:rPr>
          <w:rFonts w:ascii="Calibri" w:cs="Calibri" w:eastAsia="Calibri" w:hAnsi="Calibri"/>
          <w:i/>
          <w:iCs/>
          <w:sz w:val="21"/>
          <w:szCs w:val="21"/>
        </w:rPr>
        <w:t xml:space="preserve">Les trois nouveaux critères ne sont pleinement fiables qu'une fois ces données saisies. En leur absence, le modèle raisonne prudemment plutôt que de supposer une situation favorable — c'est un choix assumé.</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F2" w:sz="4" w:space="4"/>
      </w:pBdr>
      <w:spacing w:after="0"/>
      <w:jc w:val="right"/>
    </w:pPr>
    <w:r>
      <w:rPr>
        <w:rFonts w:ascii="Calibri" w:cs="Calibri" w:eastAsia="Calibri" w:hAnsi="Calibri"/>
        <w:color w:val="595959"/>
        <w:sz w:val="15"/>
        <w:szCs w:val="15"/>
      </w:rPr>
      <w:t xml:space="preserve">Guide de saisie et de paramétrage · PI_PROMOTION v4.0.0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1F2" w:sz="6" w:space="4"/>
      </w:pBdr>
      <w:spacing w:after="140" w:before="2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saisie et de paramétrage — PI_PROMOTION v4.0.0</dc:title>
  <dc:creator>Outil de scoring PI</dc:creator>
  <dc:description>Guide pratique des écrans de saisie (autorisations, financement acquéreur, désengagement) et du paramétrage des référentiels métier</dc:description>
  <cp:lastModifiedBy>Un-named</cp:lastModifiedBy>
  <cp:revision>1</cp:revision>
  <dcterms:created xsi:type="dcterms:W3CDTF">2026-09-28T07:20:32.648Z</dcterms:created>
  <dcterms:modified xsi:type="dcterms:W3CDTF">2026-09-28T07:20:32.652Z</dcterms:modified>
</cp:coreProperties>
</file>

<file path=docProps/custom.xml><?xml version="1.0" encoding="utf-8"?>
<Properties xmlns="http://schemas.openxmlformats.org/officeDocument/2006/custom-properties" xmlns:vt="http://schemas.openxmlformats.org/officeDocument/2006/docPropsVTypes"/>
</file>