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rFonts w:ascii="Calibri" w:cs="Calibri" w:eastAsia="Calibri" w:hAnsi="Calibri"/>
          <w:b/>
          <w:bCs/>
          <w:color w:val="1F3864"/>
          <w:sz w:val="52"/>
          <w:szCs w:val="52"/>
        </w:rPr>
        <w:t xml:space="preserve">ALIGNEMENT MAROC</w:t>
      </w:r>
    </w:p>
    <w:p>
      <w:pPr>
        <w:spacing w:before="60"/>
        <w:jc w:val="center"/>
      </w:pPr>
      <w:r>
        <w:rPr>
          <w:rFonts w:ascii="Calibri" w:cs="Calibri" w:eastAsia="Calibri" w:hAnsi="Calibri"/>
          <w:b/>
          <w:bCs/>
          <w:color w:val="2E5496"/>
          <w:sz w:val="44"/>
          <w:szCs w:val="44"/>
        </w:rPr>
        <w:t xml:space="preserve">Diagnostic &amp; modèle v4.0.0</w:t>
      </w:r>
    </w:p>
    <w:p>
      <w:pPr>
        <w:pBdr>
          <w:top w:val="single" w:color="D9E1F2" w:sz="12" w:space="8"/>
        </w:pBdr>
        <w:spacing w:before="240"/>
        <w:jc w:val="center"/>
      </w:pPr>
      <w:r>
        <w:rPr>
          <w:sz w:val="2"/>
          <w:szCs w:val="2"/>
        </w:rPr>
        <w:t xml:space="preserve"/>
      </w:r>
    </w:p>
    <w:p>
      <w:pPr>
        <w:spacing w:before="300"/>
        <w:jc w:val="center"/>
      </w:pPr>
      <w:r>
        <w:rPr>
          <w:rFonts w:ascii="Calibri" w:cs="Calibri" w:eastAsia="Calibri" w:hAnsi="Calibri"/>
          <w:i/>
          <w:iCs/>
          <w:color w:val="595959"/>
          <w:sz w:val="26"/>
          <w:szCs w:val="26"/>
        </w:rPr>
        <w:t xml:space="preserve">Modèle de scoring de la promotion immobilière</w:t>
      </w:r>
    </w:p>
    <w:p>
      <w:pPr>
        <w:spacing w:before="40"/>
        <w:jc w:val="center"/>
      </w:pPr>
      <w:r>
        <w:rPr>
          <w:rFonts w:ascii="Calibri" w:cs="Calibri" w:eastAsia="Calibri" w:hAnsi="Calibri"/>
          <w:color w:val="595959"/>
          <w:sz w:val="22"/>
          <w:szCs w:val="22"/>
        </w:rPr>
        <w:t xml:space="preserve">Pratiques de marché et pratiques bancaires marocaines</w:t>
      </w:r>
    </w:p>
    <w:p>
      <w:pPr>
        <w:spacing w:before="1300"/>
        <w:jc w:val="center"/>
      </w:pPr>
      <w:r>
        <w:rPr>
          <w:rFonts w:ascii="Calibri" w:cs="Calibri" w:eastAsia="Calibri" w:hAnsi="Calibri"/>
          <w:b/>
          <w:bCs/>
          <w:color w:val="1F3864"/>
          <w:sz w:val="24"/>
          <w:szCs w:val="24"/>
        </w:rPr>
        <w:t xml:space="preserve">PI_PROMOTION v4.0.0 — publiée en production</w:t>
      </w:r>
    </w:p>
    <w:p>
      <w:pPr>
        <w:spacing w:before="40"/>
        <w:jc w:val="center"/>
      </w:pPr>
      <w:r>
        <w:rPr>
          <w:rFonts w:ascii="Calibri" w:cs="Calibri" w:eastAsia="Calibri" w:hAnsi="Calibri"/>
          <w:color w:val="595959"/>
          <w:sz w:val="20"/>
          <w:szCs w:val="20"/>
        </w:rPr>
        <w:t xml:space="preserve">29 critères · 13 alertes · 318 tests · Date : 28 septembre 2026</w:t>
      </w:r>
    </w:p>
    <w:p>
      <w:r>
        <w:br w:type="page"/>
      </w:r>
    </w:p>
    <w:p>
      <w:pPr>
        <w:pStyle w:val="Heading1"/>
        <w:spacing w:after="120" w:before="0" w:line="276"/>
      </w:pPr>
      <w:r>
        <w:rPr>
          <w:rFonts w:ascii="Calibri" w:cs="Calibri" w:eastAsia="Calibri" w:hAnsi="Calibri"/>
          <w:sz w:val="21"/>
          <w:szCs w:val="21"/>
        </w:rPr>
        <w:t xml:space="preserve">Sommaire</w:t>
      </w:r>
    </w:p>
    <w:sdt>
      <w:sdtPr>
        <w:alias w:val="Sommaire"/>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0" w:line="276"/>
      </w:pPr>
      <w:r>
        <w:rPr>
          <w:rFonts w:ascii="Calibri" w:cs="Calibri" w:eastAsia="Calibri" w:hAnsi="Calibri"/>
          <w:sz w:val="21"/>
          <w:szCs w:val="21"/>
        </w:rPr>
        <w:t xml:space="preserve">1. Objet et méthode</w:t>
      </w:r>
    </w:p>
    <w:p>
      <w:pPr>
        <w:spacing w:after="120" w:before="0" w:line="276"/>
      </w:pPr>
      <w:r>
        <w:rPr>
          <w:rFonts w:ascii="Calibri" w:cs="Calibri" w:eastAsia="Calibri" w:hAnsi="Calibri"/>
          <w:sz w:val="21"/>
          <w:szCs w:val="21"/>
        </w:rPr>
        <w:t xml:space="preserve">Ce document restitue le diagnostic d'alignement du modèle de scoring sur les pratiques du marché et des banques au Maroc, les corrections apportées, et la spécification du modèle v4.0.0 qui en résulte. Il complète la spécification v3.0.0 et la note de remédiation du diagnostic méthodologique.</w:t>
      </w:r>
    </w:p>
    <w:p>
      <w:pPr>
        <w:spacing w:after="120" w:before="0" w:line="276"/>
      </w:pPr>
      <w:r>
        <w:rPr>
          <w:rFonts w:ascii="Calibri" w:cs="Calibri" w:eastAsia="Calibri" w:hAnsi="Calibri"/>
          <w:sz w:val="21"/>
          <w:szCs w:val="21"/>
        </w:rPr>
        <w:t xml:space="preserve">La revue a porté sur quatre plans : (i) la conformité réglementaire (classification et provisionnement Bank Al-Maghrib), (ii) le cadre juridique de l'opération (foncier, autorisations, vente sur plan), (iii) la structure et le suivi du concours bancaire tel qu'il se pratique au Maroc, et (iv) la liquidité des ventes (financement de l'acquéreur).</w:t>
      </w:r>
    </w:p>
    <w:p>
      <w:pPr>
        <w:spacing w:after="120" w:before="0" w:line="276"/>
      </w:pPr>
      <w:r>
        <w:rPr>
          <w:rFonts w:ascii="Calibri" w:cs="Calibri" w:eastAsia="Calibri" w:hAnsi="Calibri"/>
          <w:b/>
          <w:bCs/>
          <w:sz w:val="21"/>
          <w:szCs w:val="21"/>
        </w:rPr>
        <w:t xml:space="preserve">Portée. </w:t>
      </w:r>
      <w:r>
        <w:rPr>
          <w:rFonts w:ascii="Calibri" w:cs="Calibri" w:eastAsia="Calibri" w:hAnsi="Calibri"/>
          <w:i/>
          <w:iCs/>
          <w:color w:val="595959"/>
          <w:sz w:val="21"/>
          <w:szCs w:val="21"/>
        </w:rPr>
        <w:t xml:space="preserve">Les références légales et réglementaires servent la traçabilité de la conception ; elles ne valent pas certification juridique. Les seuils et facteurs introduits sont des points de départ à calibrer et à faire valider par les directions Risques, Juridique et Engagements.</w:t>
      </w:r>
    </w:p>
    <w:p>
      <w:pPr>
        <w:pStyle w:val="Heading1"/>
        <w:spacing w:after="120" w:before="0" w:line="276"/>
      </w:pPr>
      <w:r>
        <w:rPr>
          <w:rFonts w:ascii="Calibri" w:cs="Calibri" w:eastAsia="Calibri" w:hAnsi="Calibri"/>
          <w:sz w:val="21"/>
          <w:szCs w:val="21"/>
        </w:rPr>
        <w:t xml:space="preserve">2. Ce qui était déjà aligné</w:t>
      </w:r>
    </w:p>
    <w:p>
      <w:pPr>
        <w:spacing w:after="120" w:before="0" w:line="276"/>
      </w:pPr>
      <w:r>
        <w:rPr>
          <w:rFonts w:ascii="Calibri" w:cs="Calibri" w:eastAsia="Calibri" w:hAnsi="Calibri"/>
          <w:sz w:val="21"/>
          <w:szCs w:val="21"/>
        </w:rPr>
        <w:t xml:space="preserve">Le socle réglementaire est solide et a été conservé sans modification :</w:t>
      </w:r>
    </w:p>
    <w:p>
      <w:pPr>
        <w:pStyle w:val="ListParagraph"/>
        <w:numPr>
          <w:ilvl w:val="0"/>
          <w:numId w:val="2"/>
        </w:numPr>
        <w:spacing w:after="60" w:line="276"/>
      </w:pPr>
      <w:r>
        <w:rPr>
          <w:rFonts w:ascii="Calibri" w:cs="Calibri" w:eastAsia="Calibri" w:hAnsi="Calibri"/>
          <w:b/>
          <w:bCs/>
          <w:sz w:val="21"/>
          <w:szCs w:val="21"/>
        </w:rPr>
        <w:t xml:space="preserve">Classification BAM : </w:t>
      </w:r>
      <w:r>
        <w:rPr>
          <w:rFonts w:ascii="Calibri" w:cs="Calibri" w:eastAsia="Calibri" w:hAnsi="Calibri"/>
          <w:sz w:val="21"/>
          <w:szCs w:val="21"/>
        </w:rPr>
        <w:t xml:space="preserve">les deux régimes (19/G/2002 et 1/W/2025) sont implémentés avec des déclencheurs référencés par article, y compris les déclencheurs propres à la promotion immobilière (commercialisation &lt; 50 % un an après travaux, problèmes administratifs &gt; 1 an, retard de construction &gt; 1 an, décalage significatif vs business plan, projet finalisé depuis 2 ans sans vente, projet à l'arrêt &gt; 1 an).</w:t>
      </w:r>
    </w:p>
    <w:p>
      <w:pPr>
        <w:pStyle w:val="ListParagraph"/>
        <w:numPr>
          <w:ilvl w:val="0"/>
          <w:numId w:val="2"/>
        </w:numPr>
        <w:spacing w:after="60" w:line="276"/>
      </w:pPr>
      <w:r>
        <w:rPr>
          <w:rFonts w:ascii="Calibri" w:cs="Calibri" w:eastAsia="Calibri" w:hAnsi="Calibri"/>
          <w:b/>
          <w:bCs/>
          <w:sz w:val="21"/>
          <w:szCs w:val="21"/>
        </w:rPr>
        <w:t xml:space="preserve">Cas particuliers du crédit : </w:t>
      </w:r>
      <w:r>
        <w:rPr>
          <w:rFonts w:ascii="Calibri" w:cs="Calibri" w:eastAsia="Calibri" w:hAnsi="Calibri"/>
          <w:sz w:val="21"/>
          <w:szCs w:val="21"/>
        </w:rPr>
        <w:t xml:space="preserve">crédit in fine non remboursé au terme, dépassement de ligne &gt; 10 % non régularisé, compte débiteur sans mouvements créditeurs réels — chacun avec ses paliers 90 / 180 / 360 jours.</w:t>
      </w:r>
    </w:p>
    <w:p>
      <w:pPr>
        <w:pStyle w:val="ListParagraph"/>
        <w:numPr>
          <w:ilvl w:val="0"/>
          <w:numId w:val="2"/>
        </w:numPr>
        <w:spacing w:after="60" w:line="276"/>
      </w:pPr>
      <w:r>
        <w:rPr>
          <w:rFonts w:ascii="Calibri" w:cs="Calibri" w:eastAsia="Calibri" w:hAnsi="Calibri"/>
          <w:b/>
          <w:bCs/>
          <w:sz w:val="21"/>
          <w:szCs w:val="21"/>
        </w:rPr>
        <w:t xml:space="preserve">Provisionnement et sûretés : </w:t>
      </w:r>
      <w:r>
        <w:rPr>
          <w:rFonts w:ascii="Calibri" w:cs="Calibri" w:eastAsia="Calibri" w:hAnsi="Calibri"/>
          <w:sz w:val="21"/>
          <w:szCs w:val="21"/>
        </w:rPr>
        <w:t xml:space="preserve">taux par classe, quotités de garanties (100 % / 80 % / 50 %), abattements progressifs, créance irrégulière couverte à 100 %.</w:t>
      </w:r>
    </w:p>
    <w:p>
      <w:pPr>
        <w:pStyle w:val="ListParagraph"/>
        <w:numPr>
          <w:ilvl w:val="0"/>
          <w:numId w:val="2"/>
        </w:numPr>
        <w:spacing w:after="60" w:line="276"/>
      </w:pPr>
      <w:r>
        <w:rPr>
          <w:rFonts w:ascii="Calibri" w:cs="Calibri" w:eastAsia="Calibri" w:hAnsi="Calibri"/>
          <w:b/>
          <w:bCs/>
          <w:sz w:val="21"/>
          <w:szCs w:val="21"/>
        </w:rPr>
        <w:t xml:space="preserve">Restructuration : </w:t>
      </w:r>
      <w:r>
        <w:rPr>
          <w:rFonts w:ascii="Calibri" w:cs="Calibri" w:eastAsia="Calibri" w:hAnsi="Calibri"/>
          <w:sz w:val="21"/>
          <w:szCs w:val="21"/>
        </w:rPr>
        <w:t xml:space="preserve">régime détaillé (viabilité, différé, seconde restructuration en période d'observation, impayés sur créance restructurée) et effet de groupe.</w:t>
      </w:r>
    </w:p>
    <w:p>
      <w:pPr>
        <w:pStyle w:val="ListParagraph"/>
        <w:numPr>
          <w:ilvl w:val="0"/>
          <w:numId w:val="2"/>
        </w:numPr>
        <w:spacing w:after="60" w:line="276"/>
      </w:pPr>
      <w:r>
        <w:rPr>
          <w:rFonts w:ascii="Calibri" w:cs="Calibri" w:eastAsia="Calibri" w:hAnsi="Calibri"/>
          <w:b/>
          <w:bCs/>
          <w:sz w:val="21"/>
          <w:szCs w:val="21"/>
        </w:rPr>
        <w:t xml:space="preserve">Foncier marocain : </w:t>
      </w:r>
      <w:r>
        <w:rPr>
          <w:rFonts w:ascii="Calibri" w:cs="Calibri" w:eastAsia="Calibri" w:hAnsi="Calibri"/>
          <w:sz w:val="21"/>
          <w:szCs w:val="21"/>
        </w:rPr>
        <w:t xml:space="preserve">le référentiel des statuts couvre le titre foncier, l'immatriculation en cours, le melk, le domanial, les terres collectives et le habous.</w:t>
      </w:r>
    </w:p>
    <w:p>
      <w:pPr>
        <w:pStyle w:val="ListParagraph"/>
        <w:numPr>
          <w:ilvl w:val="0"/>
          <w:numId w:val="2"/>
        </w:numPr>
        <w:spacing w:after="60" w:line="276"/>
      </w:pPr>
      <w:r>
        <w:rPr>
          <w:rFonts w:ascii="Calibri" w:cs="Calibri" w:eastAsia="Calibri" w:hAnsi="Calibri"/>
          <w:b/>
          <w:bCs/>
          <w:sz w:val="21"/>
          <w:szCs w:val="21"/>
        </w:rPr>
        <w:t xml:space="preserve">Vente sur plan : </w:t>
      </w:r>
      <w:r>
        <w:rPr>
          <w:rFonts w:ascii="Calibri" w:cs="Calibri" w:eastAsia="Calibri" w:hAnsi="Calibri"/>
          <w:sz w:val="21"/>
          <w:szCs w:val="21"/>
        </w:rPr>
        <w:t xml:space="preserve">la garantie financière d'achèvement et le cadre VEFA sont pris en compte en déduction de l'assiette de provisionnement.</w:t>
      </w:r>
    </w:p>
    <w:p>
      <w:r>
        <w:br w:type="page"/>
      </w:r>
    </w:p>
    <w:p>
      <w:pPr>
        <w:pStyle w:val="Heading1"/>
        <w:spacing w:after="120" w:before="0" w:line="276"/>
      </w:pPr>
      <w:r>
        <w:rPr>
          <w:rFonts w:ascii="Calibri" w:cs="Calibri" w:eastAsia="Calibri" w:hAnsi="Calibri"/>
          <w:sz w:val="21"/>
          <w:szCs w:val="21"/>
        </w:rPr>
        <w:t xml:space="preserve">3. Écarts constatés et corrections</w:t>
      </w:r>
    </w:p>
    <w:p>
      <w:pPr>
        <w:spacing w:after="120" w:before="0" w:line="276"/>
      </w:pPr>
      <w:r>
        <w:rPr>
          <w:rFonts w:ascii="Calibri" w:cs="Calibri" w:eastAsia="Calibri" w:hAnsi="Calibri"/>
          <w:sz w:val="21"/>
          <w:szCs w:val="21"/>
        </w:rPr>
        <w:t xml:space="preserve">Le diagnostic a identifié cinq écarts, tous situés sur la couche OPÉRATIONNELLE du crédit promoteur — celle qui fait la différence entre un modèle générique et un modèle utilisable par une banque marocaine.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00"/>
        <w:gridCol w:w="3300"/>
        <w:gridCol w:w="4326"/>
        <w:gridCol w:w="900"/>
      </w:tblGrid>
      <w:tr>
        <w:trPr>
          <w:tblHeader/>
        </w:trPr>
        <w:tc>
          <w:tcPr>
            <w:tcW w:type="dxa" w:w="5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w:t>
            </w:r>
          </w:p>
        </w:tc>
        <w:tc>
          <w:tcPr>
            <w:tcW w:type="dxa" w:w="33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Écart constaté</w:t>
            </w:r>
          </w:p>
        </w:tc>
        <w:tc>
          <w:tcPr>
            <w:tcW w:type="dxa" w:w="43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Correction apportée</w:t>
            </w:r>
          </w:p>
        </w:tc>
        <w:tc>
          <w:tcPr>
            <w:tcW w:type="dxa" w:w="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Statut</w:t>
            </w:r>
          </w:p>
        </w:tc>
      </w:tr>
      <w:tr>
        <w:tc>
          <w:tcPr>
            <w:tcW w:type="dxa" w:w="500"/>
            <w:tcMar>
              <w:top w:type="dxa" w:w="40"/>
              <w:left w:type="dxa" w:w="90"/>
              <w:bottom w:type="dxa" w:w="40"/>
              <w:right w:type="dxa" w:w="90"/>
            </w:tcMar>
          </w:tcPr>
          <w:p>
            <w:pPr>
              <w:spacing w:after="0" w:line="252"/>
              <w:jc w:val="left"/>
            </w:pPr>
            <w:r>
              <w:rPr>
                <w:rFonts w:ascii="Calibri" w:cs="Calibri" w:eastAsia="Calibri" w:hAnsi="Calibri"/>
                <w:sz w:val="18"/>
                <w:szCs w:val="18"/>
              </w:rPr>
              <w:t xml:space="preserve">A</w:t>
            </w:r>
          </w:p>
        </w:tc>
        <w:tc>
          <w:tcPr>
            <w:tcW w:type="dxa" w:w="3300"/>
            <w:tcMar>
              <w:top w:type="dxa" w:w="40"/>
              <w:left w:type="dxa" w:w="90"/>
              <w:bottom w:type="dxa" w:w="40"/>
              <w:right w:type="dxa" w:w="90"/>
            </w:tcMar>
          </w:tcPr>
          <w:p>
            <w:pPr>
              <w:spacing w:after="0" w:line="252"/>
              <w:jc w:val="left"/>
            </w:pPr>
            <w:r>
              <w:rPr>
                <w:rFonts w:ascii="Calibri" w:cs="Calibri" w:eastAsia="Calibri" w:hAnsi="Calibri"/>
                <w:sz w:val="18"/>
                <w:szCs w:val="18"/>
              </w:rPr>
              <w:t xml:space="preserve">Chaîne d'autorisations réduite à un critère agrégé à trois modalités : impossible de distinguer une attente administrative d'un permis indispensable aux travaux financés.</w:t>
            </w:r>
          </w:p>
        </w:tc>
        <w:tc>
          <w:tcPr>
            <w:tcW w:type="dxa" w:w="4326"/>
            <w:tcMar>
              <w:top w:type="dxa" w:w="40"/>
              <w:left w:type="dxa" w:w="90"/>
              <w:bottom w:type="dxa" w:w="40"/>
              <w:right w:type="dxa" w:w="90"/>
            </w:tcMar>
          </w:tcPr>
          <w:p>
            <w:pPr>
              <w:spacing w:after="0" w:line="252"/>
              <w:jc w:val="left"/>
            </w:pPr>
            <w:r>
              <w:rPr>
                <w:rFonts w:ascii="Calibri" w:cs="Calibri" w:eastAsia="Calibri" w:hAnsi="Calibri"/>
                <w:sz w:val="18"/>
                <w:szCs w:val="18"/>
              </w:rPr>
              <w:t xml:space="preserve">Chaîne complète en neuf pièces, chacune rattachée au jalon qu'elle verrouille, et exigibilité différenciée selon la nature du programme (lotissement, construction, mixte).</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Corrigé</w:t>
            </w:r>
          </w:p>
        </w:tc>
      </w:tr>
      <w:tr>
        <w:tc>
          <w:tcPr>
            <w:tcW w:type="dxa" w:w="5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B</w:t>
            </w:r>
          </w:p>
        </w:tc>
        <w:tc>
          <w:tcPr>
            <w:tcW w:type="dxa" w:w="33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Structure du concours absente : aucune distinction entre avance sur foncier et crédit d'accompagnement, et aucun contrôle de la situation de travaux visée au déblocage.</w:t>
            </w:r>
          </w:p>
        </w:tc>
        <w:tc>
          <w:tcPr>
            <w:tcW w:type="dxa" w:w="43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Natures de concours et contrôle de tirage : un tirage d'accompagnement ou d'aménagement exige une situation de travaux visée par l'architecte ou le BET, et la chaîne d'autorisations ne doit présenter aucun verrou de travaux ouvert.</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Corrigé</w:t>
            </w:r>
          </w:p>
        </w:tc>
      </w:tr>
      <w:tr>
        <w:tc>
          <w:tcPr>
            <w:tcW w:type="dxa" w:w="500"/>
            <w:tcMar>
              <w:top w:type="dxa" w:w="40"/>
              <w:left w:type="dxa" w:w="90"/>
              <w:bottom w:type="dxa" w:w="40"/>
              <w:right w:type="dxa" w:w="90"/>
            </w:tcMar>
          </w:tcPr>
          <w:p>
            <w:pPr>
              <w:spacing w:after="0" w:line="252"/>
              <w:jc w:val="left"/>
            </w:pPr>
            <w:r>
              <w:rPr>
                <w:rFonts w:ascii="Calibri" w:cs="Calibri" w:eastAsia="Calibri" w:hAnsi="Calibri"/>
                <w:sz w:val="18"/>
                <w:szCs w:val="18"/>
              </w:rPr>
              <w:t xml:space="preserve">C</w:t>
            </w:r>
          </w:p>
        </w:tc>
        <w:tc>
          <w:tcPr>
            <w:tcW w:type="dxa" w:w="3300"/>
            <w:tcMar>
              <w:top w:type="dxa" w:w="40"/>
              <w:left w:type="dxa" w:w="90"/>
              <w:bottom w:type="dxa" w:w="40"/>
              <w:right w:type="dxa" w:w="90"/>
            </w:tcMar>
          </w:tcPr>
          <w:p>
            <w:pPr>
              <w:spacing w:after="0" w:line="252"/>
              <w:jc w:val="left"/>
            </w:pPr>
            <w:r>
              <w:rPr>
                <w:rFonts w:ascii="Calibri" w:cs="Calibri" w:eastAsia="Calibri" w:hAnsi="Calibri"/>
                <w:sz w:val="18"/>
                <w:szCs w:val="18"/>
              </w:rPr>
              <w:t xml:space="preserve">Mainlevées suivies sans prix de désengagement : risque non mesuré de dette résiduelle adossée aux lots les moins liquides.</w:t>
            </w:r>
          </w:p>
        </w:tc>
        <w:tc>
          <w:tcPr>
            <w:tcW w:type="dxa" w:w="4326"/>
            <w:tcMar>
              <w:top w:type="dxa" w:w="40"/>
              <w:left w:type="dxa" w:w="90"/>
              <w:bottom w:type="dxa" w:w="40"/>
              <w:right w:type="dxa" w:w="90"/>
            </w:tcMar>
          </w:tcPr>
          <w:p>
            <w:pPr>
              <w:spacing w:after="0" w:line="252"/>
              <w:jc w:val="left"/>
            </w:pPr>
            <w:r>
              <w:rPr>
                <w:rFonts w:ascii="Calibri" w:cs="Calibri" w:eastAsia="Calibri" w:hAnsi="Calibri"/>
                <w:sz w:val="18"/>
                <w:szCs w:val="18"/>
              </w:rPr>
              <w:t xml:space="preserve">Quotité de désengagement, quotité d'équilibre, dette résiduelle, couverture par les lots encore grevés, et alerte de sous-tarification.</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Corrigé</w:t>
            </w:r>
          </w:p>
        </w:tc>
      </w:tr>
      <w:tr>
        <w:tc>
          <w:tcPr>
            <w:tcW w:type="dxa" w:w="5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w:t>
            </w:r>
          </w:p>
        </w:tc>
        <w:tc>
          <w:tcPr>
            <w:tcW w:type="dxa" w:w="33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Liquidité des ventes non qualifiée : une réservation sans crédit instruit comptait comme une vente.</w:t>
            </w:r>
          </w:p>
        </w:tc>
        <w:tc>
          <w:tcPr>
            <w:tcW w:type="dxa" w:w="43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Statut de financement de l'acquéreur par lot et dispositifs d'aide ; les ventes sont pondérées par la solidité du financement.</w:t>
            </w:r>
          </w:p>
        </w:tc>
        <w:tc>
          <w:tcPr>
            <w:tcW w:type="dxa" w:w="9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Corrigé</w:t>
            </w:r>
          </w:p>
        </w:tc>
      </w:tr>
      <w:tr>
        <w:tc>
          <w:tcPr>
            <w:tcW w:type="dxa" w:w="500"/>
            <w:tcMar>
              <w:top w:type="dxa" w:w="40"/>
              <w:left w:type="dxa" w:w="90"/>
              <w:bottom w:type="dxa" w:w="40"/>
              <w:right w:type="dxa" w:w="90"/>
            </w:tcMar>
          </w:tcPr>
          <w:p>
            <w:pPr>
              <w:spacing w:after="0" w:line="252"/>
              <w:jc w:val="left"/>
            </w:pPr>
            <w:r>
              <w:rPr>
                <w:rFonts w:ascii="Calibri" w:cs="Calibri" w:eastAsia="Calibri" w:hAnsi="Calibri"/>
                <w:sz w:val="18"/>
                <w:szCs w:val="18"/>
              </w:rPr>
              <w:t xml:space="preserve">E</w:t>
            </w:r>
          </w:p>
        </w:tc>
        <w:tc>
          <w:tcPr>
            <w:tcW w:type="dxa" w:w="3300"/>
            <w:tcMar>
              <w:top w:type="dxa" w:w="40"/>
              <w:left w:type="dxa" w:w="90"/>
              <w:bottom w:type="dxa" w:w="40"/>
              <w:right w:type="dxa" w:w="90"/>
            </w:tcMar>
          </w:tcPr>
          <w:p>
            <w:pPr>
              <w:spacing w:after="0" w:line="252"/>
              <w:jc w:val="left"/>
            </w:pPr>
            <w:r>
              <w:rPr>
                <w:rFonts w:ascii="Calibri" w:cs="Calibri" w:eastAsia="Calibri" w:hAnsi="Calibri"/>
                <w:sz w:val="18"/>
                <w:szCs w:val="18"/>
              </w:rPr>
              <w:t xml:space="preserve">Division des risques non contrôlée : un dossier pouvait être décidé sans voir le dépassement de la limite de concentration.</w:t>
            </w:r>
          </w:p>
        </w:tc>
        <w:tc>
          <w:tcPr>
            <w:tcW w:type="dxa" w:w="4326"/>
            <w:tcMar>
              <w:top w:type="dxa" w:w="40"/>
              <w:left w:type="dxa" w:w="90"/>
              <w:bottom w:type="dxa" w:w="40"/>
              <w:right w:type="dxa" w:w="90"/>
            </w:tcMar>
          </w:tcPr>
          <w:p>
            <w:pPr>
              <w:spacing w:after="0" w:line="252"/>
              <w:jc w:val="left"/>
            </w:pPr>
            <w:r>
              <w:rPr>
                <w:rFonts w:ascii="Calibri" w:cs="Calibri" w:eastAsia="Calibri" w:hAnsi="Calibri"/>
                <w:sz w:val="18"/>
                <w:szCs w:val="18"/>
              </w:rPr>
              <w:t xml:space="preserve">Contrôle de l'exposition agrégée (encours + hors-bilan pondéré) rapportée aux fonds propres, marge disponible, qualification de grand risque et montant maximal octroyable.</w:t>
            </w:r>
          </w:p>
        </w:tc>
        <w:tc>
          <w:tcPr>
            <w:tcW w:type="dxa" w:w="900"/>
            <w:tcMar>
              <w:top w:type="dxa" w:w="40"/>
              <w:left w:type="dxa" w:w="90"/>
              <w:bottom w:type="dxa" w:w="40"/>
              <w:right w:type="dxa" w:w="90"/>
            </w:tcMar>
          </w:tcPr>
          <w:p>
            <w:pPr>
              <w:spacing w:after="0" w:line="252"/>
              <w:jc w:val="center"/>
            </w:pPr>
            <w:r>
              <w:rPr>
                <w:rFonts w:ascii="Calibri" w:cs="Calibri" w:eastAsia="Calibri" w:hAnsi="Calibri"/>
                <w:b/>
                <w:bCs/>
                <w:color w:val="548235"/>
                <w:sz w:val="17"/>
                <w:szCs w:val="17"/>
              </w:rPr>
              <w:t xml:space="preserve">Corrigé</w:t>
            </w:r>
          </w:p>
        </w:tc>
      </w:tr>
    </w:tbl>
    <w:p>
      <w:r>
        <w:br w:type="page"/>
      </w:r>
    </w:p>
    <w:p>
      <w:pPr>
        <w:pStyle w:val="Heading1"/>
        <w:spacing w:after="120" w:before="0" w:line="276"/>
      </w:pPr>
      <w:r>
        <w:rPr>
          <w:rFonts w:ascii="Calibri" w:cs="Calibri" w:eastAsia="Calibri" w:hAnsi="Calibri"/>
          <w:sz w:val="21"/>
          <w:szCs w:val="21"/>
        </w:rPr>
        <w:t xml:space="preserve">4. La chaîne d'autorisations</w:t>
      </w:r>
    </w:p>
    <w:p>
      <w:pPr>
        <w:spacing w:after="120" w:before="0" w:line="276"/>
      </w:pPr>
      <w:r>
        <w:rPr>
          <w:rFonts w:ascii="Calibri" w:cs="Calibri" w:eastAsia="Calibri" w:hAnsi="Calibri"/>
          <w:sz w:val="21"/>
          <w:szCs w:val="21"/>
        </w:rPr>
        <w:t xml:space="preserve">Chaque pièce est rattachée au jalon au plus tard duquel elle doit être levée, et à sa nature de verrou. Un permis indispensable aux travaux financés est un VERROU DE TIRAGE : il bloque le décaissement, sans pour autant constituer un défaut bancaire — la distinction, absente auparavant, est désormais structurelle.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700"/>
        <w:gridCol w:w="1200"/>
        <w:gridCol w:w="2426"/>
        <w:gridCol w:w="1700"/>
      </w:tblGrid>
      <w:tr>
        <w:trPr>
          <w:tblHeader/>
        </w:trPr>
        <w:tc>
          <w:tcPr>
            <w:tcW w:type="dxa" w:w="37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Pièce</w:t>
            </w:r>
          </w:p>
        </w:tc>
        <w:tc>
          <w:tcPr>
            <w:tcW w:type="dxa" w:w="12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Jalon</w:t>
            </w:r>
          </w:p>
        </w:tc>
        <w:tc>
          <w:tcPr>
            <w:tcW w:type="dxa" w:w="24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Programmes</w:t>
            </w:r>
          </w:p>
        </w:tc>
        <w:tc>
          <w:tcPr>
            <w:tcW w:type="dxa" w:w="17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Verrou</w:t>
            </w:r>
          </w:p>
        </w:tc>
      </w:tr>
      <w:tr>
        <w:tc>
          <w:tcPr>
            <w:tcW w:type="dxa" w:w="3700"/>
            <w:tcMar>
              <w:top w:type="dxa" w:w="40"/>
              <w:left w:type="dxa" w:w="90"/>
              <w:bottom w:type="dxa" w:w="40"/>
              <w:right w:type="dxa" w:w="90"/>
            </w:tcMar>
          </w:tcPr>
          <w:p>
            <w:pPr>
              <w:spacing w:after="0" w:line="252"/>
              <w:jc w:val="left"/>
            </w:pPr>
            <w:r>
              <w:rPr>
                <w:rFonts w:ascii="Calibri" w:cs="Calibri" w:eastAsia="Calibri" w:hAnsi="Calibri"/>
                <w:sz w:val="18"/>
                <w:szCs w:val="18"/>
              </w:rPr>
              <w:t xml:space="preserve">Note de renseignements urbanistiques</w:t>
            </w:r>
          </w:p>
        </w:tc>
        <w:tc>
          <w:tcPr>
            <w:tcW w:type="dxa" w:w="1200"/>
            <w:tcMar>
              <w:top w:type="dxa" w:w="40"/>
              <w:left w:type="dxa" w:w="90"/>
              <w:bottom w:type="dxa" w:w="40"/>
              <w:right w:type="dxa" w:w="90"/>
            </w:tcMar>
          </w:tcPr>
          <w:p>
            <w:pPr>
              <w:spacing w:after="0" w:line="252"/>
              <w:jc w:val="left"/>
            </w:pPr>
            <w:r>
              <w:rPr>
                <w:rFonts w:ascii="Calibri" w:cs="Calibri" w:eastAsia="Calibri" w:hAnsi="Calibri"/>
                <w:sz w:val="18"/>
                <w:szCs w:val="18"/>
              </w:rPr>
              <w:t xml:space="preserve">Étude</w:t>
            </w:r>
          </w:p>
        </w:tc>
        <w:tc>
          <w:tcPr>
            <w:tcW w:type="dxa" w:w="2426"/>
            <w:tcMar>
              <w:top w:type="dxa" w:w="40"/>
              <w:left w:type="dxa" w:w="90"/>
              <w:bottom w:type="dxa" w:w="40"/>
              <w:right w:type="dxa" w:w="90"/>
            </w:tcMar>
          </w:tcPr>
          <w:p>
            <w:pPr>
              <w:spacing w:after="0" w:line="252"/>
              <w:jc w:val="left"/>
            </w:pPr>
            <w:r>
              <w:rPr>
                <w:rFonts w:ascii="Calibri" w:cs="Calibri" w:eastAsia="Calibri" w:hAnsi="Calibri"/>
                <w:sz w:val="18"/>
                <w:szCs w:val="18"/>
              </w:rPr>
              <w:t xml:space="preserve">Tous</w:t>
            </w:r>
          </w:p>
        </w:tc>
        <w:tc>
          <w:tcPr>
            <w:tcW w:type="dxa" w:w="1700"/>
            <w:tcMar>
              <w:top w:type="dxa" w:w="40"/>
              <w:left w:type="dxa" w:w="90"/>
              <w:bottom w:type="dxa" w:w="40"/>
              <w:right w:type="dxa" w:w="90"/>
            </w:tcMar>
          </w:tcPr>
          <w:p>
            <w:pPr>
              <w:spacing w:after="0" w:line="252"/>
              <w:jc w:val="left"/>
            </w:pPr>
            <w:r>
              <w:rPr>
                <w:rFonts w:ascii="Calibri" w:cs="Calibri" w:eastAsia="Calibri" w:hAnsi="Calibri"/>
                <w:sz w:val="18"/>
                <w:szCs w:val="18"/>
              </w:rPr>
              <w:t xml:space="preserve">—</w:t>
            </w:r>
          </w:p>
        </w:tc>
      </w:tr>
      <w:tr>
        <w:tc>
          <w:tcPr>
            <w:tcW w:type="dxa" w:w="37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Titre foncier purgé</w:t>
            </w:r>
          </w:p>
        </w:tc>
        <w:tc>
          <w:tcPr>
            <w:tcW w:type="dxa" w:w="12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Octroi</w:t>
            </w:r>
          </w:p>
        </w:tc>
        <w:tc>
          <w:tcPr>
            <w:tcW w:type="dxa" w:w="24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Tous</w:t>
            </w:r>
          </w:p>
        </w:tc>
        <w:tc>
          <w:tcPr>
            <w:tcW w:type="dxa" w:w="17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Travaux</w:t>
            </w:r>
          </w:p>
        </w:tc>
      </w:tr>
      <w:tr>
        <w:tc>
          <w:tcPr>
            <w:tcW w:type="dxa" w:w="3700"/>
            <w:tcMar>
              <w:top w:type="dxa" w:w="40"/>
              <w:left w:type="dxa" w:w="90"/>
              <w:bottom w:type="dxa" w:w="40"/>
              <w:right w:type="dxa" w:w="90"/>
            </w:tcMar>
          </w:tcPr>
          <w:p>
            <w:pPr>
              <w:spacing w:after="0" w:line="252"/>
              <w:jc w:val="left"/>
            </w:pPr>
            <w:r>
              <w:rPr>
                <w:rFonts w:ascii="Calibri" w:cs="Calibri" w:eastAsia="Calibri" w:hAnsi="Calibri"/>
                <w:sz w:val="18"/>
                <w:szCs w:val="18"/>
              </w:rPr>
              <w:t xml:space="preserve">Autorisation de lotir (loi 25-90)</w:t>
            </w:r>
          </w:p>
        </w:tc>
        <w:tc>
          <w:tcPr>
            <w:tcW w:type="dxa" w:w="1200"/>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tcMar>
              <w:top w:type="dxa" w:w="40"/>
              <w:left w:type="dxa" w:w="90"/>
              <w:bottom w:type="dxa" w:w="40"/>
              <w:right w:type="dxa" w:w="90"/>
            </w:tcMar>
          </w:tcPr>
          <w:p>
            <w:pPr>
              <w:spacing w:after="0" w:line="252"/>
              <w:jc w:val="left"/>
            </w:pPr>
            <w:r>
              <w:rPr>
                <w:rFonts w:ascii="Calibri" w:cs="Calibri" w:eastAsia="Calibri" w:hAnsi="Calibri"/>
                <w:sz w:val="18"/>
                <w:szCs w:val="18"/>
              </w:rPr>
              <w:t xml:space="preserve">Lotissement, mixte</w:t>
            </w:r>
          </w:p>
        </w:tc>
        <w:tc>
          <w:tcPr>
            <w:tcW w:type="dxa" w:w="1700"/>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Travaux</w:t>
            </w:r>
          </w:p>
        </w:tc>
      </w:tr>
      <w:tr>
        <w:tc>
          <w:tcPr>
            <w:tcW w:type="dxa" w:w="37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Permis de construire (loi 12-90)</w:t>
            </w:r>
          </w:p>
        </w:tc>
        <w:tc>
          <w:tcPr>
            <w:tcW w:type="dxa" w:w="12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Construction, mixte</w:t>
            </w:r>
          </w:p>
        </w:tc>
        <w:tc>
          <w:tcPr>
            <w:tcW w:type="dxa" w:w="1700"/>
            <w:shd w:fill="F2F5FB" w:color="auto" w:val="clear"/>
            <w:tcMar>
              <w:top w:type="dxa" w:w="40"/>
              <w:left w:type="dxa" w:w="90"/>
              <w:bottom w:type="dxa" w:w="40"/>
              <w:right w:type="dxa" w:w="90"/>
            </w:tcMar>
          </w:tcPr>
          <w:p>
            <w:pPr>
              <w:spacing w:after="0" w:line="252"/>
            </w:pPr>
            <w:r>
              <w:rPr>
                <w:rFonts w:ascii="Calibri" w:cs="Calibri" w:eastAsia="Calibri" w:hAnsi="Calibri"/>
                <w:color w:val="C00000"/>
                <w:sz w:val="18"/>
                <w:szCs w:val="18"/>
              </w:rPr>
              <w:t xml:space="preserve">Travaux</w:t>
            </w:r>
          </w:p>
        </w:tc>
      </w:tr>
      <w:tr>
        <w:tc>
          <w:tcPr>
            <w:tcW w:type="dxa" w:w="3700"/>
            <w:tcMar>
              <w:top w:type="dxa" w:w="40"/>
              <w:left w:type="dxa" w:w="90"/>
              <w:bottom w:type="dxa" w:w="40"/>
              <w:right w:type="dxa" w:w="90"/>
            </w:tcMar>
          </w:tcPr>
          <w:p>
            <w:pPr>
              <w:spacing w:after="0" w:line="252"/>
              <w:jc w:val="left"/>
            </w:pPr>
            <w:r>
              <w:rPr>
                <w:rFonts w:ascii="Calibri" w:cs="Calibri" w:eastAsia="Calibri" w:hAnsi="Calibri"/>
                <w:sz w:val="18"/>
                <w:szCs w:val="18"/>
              </w:rPr>
              <w:t xml:space="preserve">Autorisation de morcellement (ANCFCC)</w:t>
            </w:r>
          </w:p>
        </w:tc>
        <w:tc>
          <w:tcPr>
            <w:tcW w:type="dxa" w:w="1200"/>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tcMar>
              <w:top w:type="dxa" w:w="40"/>
              <w:left w:type="dxa" w:w="90"/>
              <w:bottom w:type="dxa" w:w="40"/>
              <w:right w:type="dxa" w:w="90"/>
            </w:tcMar>
          </w:tcPr>
          <w:p>
            <w:pPr>
              <w:spacing w:after="0" w:line="252"/>
              <w:jc w:val="left"/>
            </w:pPr>
            <w:r>
              <w:rPr>
                <w:rFonts w:ascii="Calibri" w:cs="Calibri" w:eastAsia="Calibri" w:hAnsi="Calibri"/>
                <w:sz w:val="18"/>
                <w:szCs w:val="18"/>
              </w:rPr>
              <w:t xml:space="preserve">Lotissement, mixte</w:t>
            </w:r>
          </w:p>
        </w:tc>
        <w:tc>
          <w:tcPr>
            <w:tcW w:type="dxa" w:w="1700"/>
            <w:tcMar>
              <w:top w:type="dxa" w:w="40"/>
              <w:left w:type="dxa" w:w="90"/>
              <w:bottom w:type="dxa" w:w="40"/>
              <w:right w:type="dxa" w:w="90"/>
            </w:tcMar>
          </w:tcPr>
          <w:p>
            <w:pPr>
              <w:spacing w:after="0" w:line="252"/>
              <w:jc w:val="left"/>
            </w:pPr>
            <w:r>
              <w:rPr>
                <w:rFonts w:ascii="Calibri" w:cs="Calibri" w:eastAsia="Calibri" w:hAnsi="Calibri"/>
                <w:sz w:val="18"/>
                <w:szCs w:val="18"/>
              </w:rPr>
              <w:t xml:space="preserve">—</w:t>
            </w:r>
          </w:p>
        </w:tc>
      </w:tr>
      <w:tr>
        <w:tc>
          <w:tcPr>
            <w:tcW w:type="dxa" w:w="37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Réception provisoire des travaux</w:t>
            </w:r>
          </w:p>
        </w:tc>
        <w:tc>
          <w:tcPr>
            <w:tcW w:type="dxa" w:w="12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Tous</w:t>
            </w:r>
          </w:p>
        </w:tc>
        <w:tc>
          <w:tcPr>
            <w:tcW w:type="dxa" w:w="170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Livraison</w:t>
            </w:r>
          </w:p>
        </w:tc>
      </w:tr>
      <w:tr>
        <w:tc>
          <w:tcPr>
            <w:tcW w:type="dxa" w:w="3700"/>
            <w:tcMar>
              <w:top w:type="dxa" w:w="40"/>
              <w:left w:type="dxa" w:w="90"/>
              <w:bottom w:type="dxa" w:w="40"/>
              <w:right w:type="dxa" w:w="90"/>
            </w:tcMar>
          </w:tcPr>
          <w:p>
            <w:pPr>
              <w:spacing w:after="0" w:line="252"/>
              <w:jc w:val="left"/>
            </w:pPr>
            <w:r>
              <w:rPr>
                <w:rFonts w:ascii="Calibri" w:cs="Calibri" w:eastAsia="Calibri" w:hAnsi="Calibri"/>
                <w:sz w:val="18"/>
                <w:szCs w:val="18"/>
              </w:rPr>
              <w:t xml:space="preserve">Permis d'habiter</w:t>
            </w:r>
          </w:p>
        </w:tc>
        <w:tc>
          <w:tcPr>
            <w:tcW w:type="dxa" w:w="1200"/>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tcMar>
              <w:top w:type="dxa" w:w="40"/>
              <w:left w:type="dxa" w:w="90"/>
              <w:bottom w:type="dxa" w:w="40"/>
              <w:right w:type="dxa" w:w="90"/>
            </w:tcMar>
          </w:tcPr>
          <w:p>
            <w:pPr>
              <w:spacing w:after="0" w:line="252"/>
              <w:jc w:val="left"/>
            </w:pPr>
            <w:r>
              <w:rPr>
                <w:rFonts w:ascii="Calibri" w:cs="Calibri" w:eastAsia="Calibri" w:hAnsi="Calibri"/>
                <w:sz w:val="18"/>
                <w:szCs w:val="18"/>
              </w:rPr>
              <w:t xml:space="preserve">Construction, mixte</w:t>
            </w:r>
          </w:p>
        </w:tc>
        <w:tc>
          <w:tcPr>
            <w:tcW w:type="dxa" w:w="1700"/>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Livraison</w:t>
            </w:r>
          </w:p>
        </w:tc>
      </w:tr>
      <w:tr>
        <w:tc>
          <w:tcPr>
            <w:tcW w:type="dxa" w:w="37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Certificat de conformité</w:t>
            </w:r>
          </w:p>
        </w:tc>
        <w:tc>
          <w:tcPr>
            <w:tcW w:type="dxa" w:w="12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Tous</w:t>
            </w:r>
          </w:p>
        </w:tc>
        <w:tc>
          <w:tcPr>
            <w:tcW w:type="dxa" w:w="1700"/>
            <w:shd w:fill="F2F5FB" w:color="auto" w:val="clear"/>
            <w:tcMar>
              <w:top w:type="dxa" w:w="40"/>
              <w:left w:type="dxa" w:w="90"/>
              <w:bottom w:type="dxa" w:w="40"/>
              <w:right w:type="dxa" w:w="90"/>
            </w:tcMar>
          </w:tcPr>
          <w:p>
            <w:pPr>
              <w:spacing w:after="0" w:line="252"/>
            </w:pPr>
            <w:r>
              <w:rPr>
                <w:rFonts w:ascii="Calibri" w:cs="Calibri" w:eastAsia="Calibri" w:hAnsi="Calibri"/>
                <w:color w:val="BF8F00"/>
                <w:sz w:val="18"/>
                <w:szCs w:val="18"/>
              </w:rPr>
              <w:t xml:space="preserve">Livraison</w:t>
            </w:r>
          </w:p>
        </w:tc>
      </w:tr>
      <w:tr>
        <w:tc>
          <w:tcPr>
            <w:tcW w:type="dxa" w:w="3700"/>
            <w:tcMar>
              <w:top w:type="dxa" w:w="40"/>
              <w:left w:type="dxa" w:w="90"/>
              <w:bottom w:type="dxa" w:w="40"/>
              <w:right w:type="dxa" w:w="90"/>
            </w:tcMar>
          </w:tcPr>
          <w:p>
            <w:pPr>
              <w:spacing w:after="0" w:line="252"/>
              <w:jc w:val="left"/>
            </w:pPr>
            <w:r>
              <w:rPr>
                <w:rFonts w:ascii="Calibri" w:cs="Calibri" w:eastAsia="Calibri" w:hAnsi="Calibri"/>
                <w:sz w:val="18"/>
                <w:szCs w:val="18"/>
              </w:rPr>
              <w:t xml:space="preserve">Réception définitive</w:t>
            </w:r>
          </w:p>
        </w:tc>
        <w:tc>
          <w:tcPr>
            <w:tcW w:type="dxa" w:w="1200"/>
            <w:tcMar>
              <w:top w:type="dxa" w:w="40"/>
              <w:left w:type="dxa" w:w="90"/>
              <w:bottom w:type="dxa" w:w="40"/>
              <w:right w:type="dxa" w:w="90"/>
            </w:tcMar>
          </w:tcPr>
          <w:p>
            <w:pPr>
              <w:spacing w:after="0" w:line="252"/>
              <w:jc w:val="left"/>
            </w:pPr>
            <w:r>
              <w:rPr>
                <w:rFonts w:ascii="Calibri" w:cs="Calibri" w:eastAsia="Calibri" w:hAnsi="Calibri"/>
                <w:sz w:val="18"/>
                <w:szCs w:val="18"/>
              </w:rPr>
              <w:t xml:space="preserve">Tirage</w:t>
            </w:r>
          </w:p>
        </w:tc>
        <w:tc>
          <w:tcPr>
            <w:tcW w:type="dxa" w:w="2426"/>
            <w:tcMar>
              <w:top w:type="dxa" w:w="40"/>
              <w:left w:type="dxa" w:w="90"/>
              <w:bottom w:type="dxa" w:w="40"/>
              <w:right w:type="dxa" w:w="90"/>
            </w:tcMar>
          </w:tcPr>
          <w:p>
            <w:pPr>
              <w:spacing w:after="0" w:line="252"/>
              <w:jc w:val="left"/>
            </w:pPr>
            <w:r>
              <w:rPr>
                <w:rFonts w:ascii="Calibri" w:cs="Calibri" w:eastAsia="Calibri" w:hAnsi="Calibri"/>
                <w:sz w:val="18"/>
                <w:szCs w:val="18"/>
              </w:rPr>
              <w:t xml:space="preserve">Tous</w:t>
            </w:r>
          </w:p>
        </w:tc>
        <w:tc>
          <w:tcPr>
            <w:tcW w:type="dxa" w:w="1700"/>
            <w:tcMar>
              <w:top w:type="dxa" w:w="40"/>
              <w:left w:type="dxa" w:w="90"/>
              <w:bottom w:type="dxa" w:w="40"/>
              <w:right w:type="dxa" w:w="90"/>
            </w:tcMar>
          </w:tcPr>
          <w:p>
            <w:pPr>
              <w:spacing w:after="0" w:line="252"/>
              <w:jc w:val="left"/>
            </w:pPr>
            <w:r>
              <w:rPr>
                <w:rFonts w:ascii="Calibri" w:cs="Calibri" w:eastAsia="Calibri" w:hAnsi="Calibri"/>
                <w:sz w:val="18"/>
                <w:szCs w:val="18"/>
              </w:rPr>
              <w:t xml:space="preserve">—</w:t>
            </w:r>
          </w:p>
        </w:tc>
      </w:tr>
    </w:tbl>
    <w:p>
      <w:pPr>
        <w:pStyle w:val="Heading1"/>
        <w:spacing w:after="120" w:before="0" w:line="276"/>
      </w:pPr>
      <w:r>
        <w:rPr>
          <w:rFonts w:ascii="Calibri" w:cs="Calibri" w:eastAsia="Calibri" w:hAnsi="Calibri"/>
          <w:sz w:val="21"/>
          <w:szCs w:val="21"/>
        </w:rPr>
        <w:t xml:space="preserve">5. Structure du concours et contrôle du déblocage</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3600"/>
        <w:gridCol w:w="2300"/>
        <w:gridCol w:w="3126"/>
      </w:tblGrid>
      <w:tr>
        <w:trPr>
          <w:tblHeader/>
        </w:trPr>
        <w:tc>
          <w:tcPr>
            <w:tcW w:type="dxa" w:w="36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Nature du concours</w:t>
            </w:r>
          </w:p>
        </w:tc>
        <w:tc>
          <w:tcPr>
            <w:tcW w:type="dxa" w:w="23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Situation de travaux visée</w:t>
            </w:r>
          </w:p>
        </w:tc>
        <w:tc>
          <w:tcPr>
            <w:tcW w:type="dxa" w:w="31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Observation</w:t>
            </w:r>
          </w:p>
        </w:tc>
      </w:tr>
      <w:tr>
        <w:tc>
          <w:tcPr>
            <w:tcW w:type="dxa" w:w="3600"/>
            <w:tcMar>
              <w:top w:type="dxa" w:w="40"/>
              <w:left w:type="dxa" w:w="90"/>
              <w:bottom w:type="dxa" w:w="40"/>
              <w:right w:type="dxa" w:w="90"/>
            </w:tcMar>
          </w:tcPr>
          <w:p>
            <w:pPr>
              <w:spacing w:after="0" w:line="252"/>
              <w:jc w:val="left"/>
            </w:pPr>
            <w:r>
              <w:rPr>
                <w:rFonts w:ascii="Calibri" w:cs="Calibri" w:eastAsia="Calibri" w:hAnsi="Calibri"/>
                <w:sz w:val="18"/>
                <w:szCs w:val="18"/>
              </w:rPr>
              <w:t xml:space="preserve">Avance sur acquisition du foncier</w:t>
            </w:r>
          </w:p>
        </w:tc>
        <w:tc>
          <w:tcPr>
            <w:tcW w:type="dxa" w:w="2300"/>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c>
          <w:tcPr>
            <w:tcW w:type="dxa" w:w="3126"/>
            <w:tcMar>
              <w:top w:type="dxa" w:w="40"/>
              <w:left w:type="dxa" w:w="90"/>
              <w:bottom w:type="dxa" w:w="40"/>
              <w:right w:type="dxa" w:w="90"/>
            </w:tcMar>
          </w:tcPr>
          <w:p>
            <w:pPr>
              <w:spacing w:after="0" w:line="252"/>
              <w:jc w:val="left"/>
            </w:pPr>
            <w:r>
              <w:rPr>
                <w:rFonts w:ascii="Calibri" w:cs="Calibri" w:eastAsia="Calibri" w:hAnsi="Calibri"/>
                <w:sz w:val="18"/>
                <w:szCs w:val="18"/>
              </w:rPr>
              <w:t xml:space="preserve">Décaissée contre inscription hypothécaire de 1er rang sur le terrain.</w:t>
            </w:r>
          </w:p>
        </w:tc>
      </w:tr>
      <w:tr>
        <w:tc>
          <w:tcPr>
            <w:tcW w:type="dxa" w:w="36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Crédit d'accompagnement / construction</w:t>
            </w:r>
          </w:p>
        </w:tc>
        <w:tc>
          <w:tcPr>
            <w:tcW w:type="dxa" w:w="23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Oui</w:t>
            </w:r>
          </w:p>
        </w:tc>
        <w:tc>
          <w:tcPr>
            <w:tcW w:type="dxa" w:w="31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Décaissé par tranches contre situation visée par l'architecte ou le BET.</w:t>
            </w:r>
          </w:p>
        </w:tc>
      </w:tr>
      <w:tr>
        <w:tc>
          <w:tcPr>
            <w:tcW w:type="dxa" w:w="3600"/>
            <w:tcMar>
              <w:top w:type="dxa" w:w="40"/>
              <w:left w:type="dxa" w:w="90"/>
              <w:bottom w:type="dxa" w:w="40"/>
              <w:right w:type="dxa" w:w="90"/>
            </w:tcMar>
          </w:tcPr>
          <w:p>
            <w:pPr>
              <w:spacing w:after="0" w:line="252"/>
              <w:jc w:val="left"/>
            </w:pPr>
            <w:r>
              <w:rPr>
                <w:rFonts w:ascii="Calibri" w:cs="Calibri" w:eastAsia="Calibri" w:hAnsi="Calibri"/>
                <w:sz w:val="18"/>
                <w:szCs w:val="18"/>
              </w:rPr>
              <w:t xml:space="preserve">Crédit d'aménagement (lotissement, VRD)</w:t>
            </w:r>
          </w:p>
        </w:tc>
        <w:tc>
          <w:tcPr>
            <w:tcW w:type="dxa" w:w="2300"/>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Oui</w:t>
            </w:r>
          </w:p>
        </w:tc>
        <w:tc>
          <w:tcPr>
            <w:tcW w:type="dxa" w:w="3126"/>
            <w:tcMar>
              <w:top w:type="dxa" w:w="40"/>
              <w:left w:type="dxa" w:w="90"/>
              <w:bottom w:type="dxa" w:w="40"/>
              <w:right w:type="dxa" w:w="90"/>
            </w:tcMar>
          </w:tcPr>
          <w:p>
            <w:pPr>
              <w:spacing w:after="0" w:line="252"/>
              <w:jc w:val="left"/>
            </w:pPr>
            <w:r>
              <w:rPr>
                <w:rFonts w:ascii="Calibri" w:cs="Calibri" w:eastAsia="Calibri" w:hAnsi="Calibri"/>
                <w:sz w:val="18"/>
                <w:szCs w:val="18"/>
              </w:rPr>
              <w:t xml:space="preserve">Décaissé contre avancement des travaux de viabilisation.</w:t>
            </w:r>
          </w:p>
        </w:tc>
      </w:tr>
      <w:tr>
        <w:tc>
          <w:tcPr>
            <w:tcW w:type="dxa" w:w="36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Crédit in fine</w:t>
            </w:r>
          </w:p>
        </w:tc>
        <w:tc>
          <w:tcPr>
            <w:tcW w:type="dxa" w:w="23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c>
          <w:tcPr>
            <w:tcW w:type="dxa" w:w="31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Suivi spécifique du non-remboursement du principal au terme.</w:t>
            </w:r>
          </w:p>
        </w:tc>
      </w:tr>
      <w:tr>
        <w:tc>
          <w:tcPr>
            <w:tcW w:type="dxa" w:w="3600"/>
            <w:tcMar>
              <w:top w:type="dxa" w:w="40"/>
              <w:left w:type="dxa" w:w="90"/>
              <w:bottom w:type="dxa" w:w="40"/>
              <w:right w:type="dxa" w:w="90"/>
            </w:tcMar>
          </w:tcPr>
          <w:p>
            <w:pPr>
              <w:spacing w:after="0" w:line="252"/>
              <w:jc w:val="left"/>
            </w:pPr>
            <w:r>
              <w:rPr>
                <w:rFonts w:ascii="Calibri" w:cs="Calibri" w:eastAsia="Calibri" w:hAnsi="Calibri"/>
                <w:sz w:val="18"/>
                <w:szCs w:val="18"/>
              </w:rPr>
              <w:t xml:space="preserve">Caution / engagement par signature</w:t>
            </w:r>
          </w:p>
        </w:tc>
        <w:tc>
          <w:tcPr>
            <w:tcW w:type="dxa" w:w="2300"/>
            <w:tcMar>
              <w:top w:type="dxa" w:w="40"/>
              <w:left w:type="dxa" w:w="90"/>
              <w:bottom w:type="dxa" w:w="40"/>
              <w:right w:type="dxa" w:w="90"/>
            </w:tcMar>
          </w:tcPr>
          <w:p>
            <w:pPr>
              <w:spacing w:after="0" w:line="252"/>
              <w:jc w:val="center"/>
            </w:pPr>
            <w:r>
              <w:rPr>
                <w:rFonts w:ascii="Calibri" w:cs="Calibri" w:eastAsia="Calibri" w:hAnsi="Calibri"/>
                <w:sz w:val="18"/>
                <w:szCs w:val="18"/>
              </w:rPr>
              <w:t xml:space="preserve">Non</w:t>
            </w:r>
          </w:p>
        </w:tc>
        <w:tc>
          <w:tcPr>
            <w:tcW w:type="dxa" w:w="3126"/>
            <w:tcMar>
              <w:top w:type="dxa" w:w="40"/>
              <w:left w:type="dxa" w:w="90"/>
              <w:bottom w:type="dxa" w:w="40"/>
              <w:right w:type="dxa" w:w="90"/>
            </w:tcMar>
          </w:tcPr>
          <w:p>
            <w:pPr>
              <w:spacing w:after="0" w:line="252"/>
              <w:jc w:val="left"/>
            </w:pPr>
            <w:r>
              <w:rPr>
                <w:rFonts w:ascii="Calibri" w:cs="Calibri" w:eastAsia="Calibri" w:hAnsi="Calibri"/>
                <w:sz w:val="18"/>
                <w:szCs w:val="18"/>
              </w:rPr>
              <w:t xml:space="preserve">Hors bilan, converti en exposition via le facteur de conversion.</w:t>
            </w:r>
          </w:p>
        </w:tc>
      </w:tr>
    </w:tbl>
    <w:p>
      <w:pPr>
        <w:spacing w:after="120" w:before="0" w:line="276"/>
      </w:pPr>
      <w:r>
        <w:rPr>
          <w:rFonts w:ascii="Calibri" w:cs="Calibri" w:eastAsia="Calibri" w:hAnsi="Calibri"/>
          <w:sz w:val="21"/>
          <w:szCs w:val="21"/>
        </w:rPr>
        <w:t xml:space="preserve">Un tirage est refusé si la situation de travaux exigible n'est pas produite, ou si une autorisation indispensable aux travaux reste à lever. Le motif du refus est explicite et opposable.</w:t>
      </w:r>
    </w:p>
    <w:p>
      <w:r>
        <w:br w:type="page"/>
      </w:r>
    </w:p>
    <w:p>
      <w:pPr>
        <w:pStyle w:val="Heading1"/>
        <w:spacing w:after="120" w:before="0" w:line="276"/>
      </w:pPr>
      <w:r>
        <w:rPr>
          <w:rFonts w:ascii="Calibri" w:cs="Calibri" w:eastAsia="Calibri" w:hAnsi="Calibri"/>
          <w:sz w:val="21"/>
          <w:szCs w:val="21"/>
        </w:rPr>
        <w:t xml:space="preserve">6. Mainlevées partielles et prix de désengagement</w:t>
      </w:r>
    </w:p>
    <w:p>
      <w:pPr>
        <w:spacing w:after="120" w:before="0" w:line="276"/>
      </w:pPr>
      <w:r>
        <w:rPr>
          <w:rFonts w:ascii="Calibri" w:cs="Calibri" w:eastAsia="Calibri" w:hAnsi="Calibri"/>
          <w:sz w:val="21"/>
          <w:szCs w:val="21"/>
        </w:rPr>
        <w:t xml:space="preserve">La banque consent la mainlevée hypothécaire lot par lot contre versement d'un prix de désengagement. Si la quotité retenue est trop faible, la dette s'éteint plus lentement que le stock ne s'écoule, et le solde finit adossé aux lots les moins vendables.</w:t>
      </w:r>
    </w:p>
    <w:p>
      <w:pPr>
        <w:spacing w:after="140" w:before="0" w:line="276"/>
        <w:jc w:val="center"/>
      </w:pPr>
      <w:r>
        <w:rPr>
          <w:rFonts w:ascii="Calibri" w:cs="Calibri" w:eastAsia="Calibri" w:hAnsi="Calibri"/>
          <w:b/>
          <w:bCs/>
          <w:color w:val="1F3864"/>
          <w:sz w:val="21"/>
          <w:szCs w:val="21"/>
        </w:rPr>
        <w:t xml:space="preserve">Quotité d'équilibre = encours / valeur commercialisable totale.</w:t>
      </w:r>
    </w:p>
    <w:p>
      <w:pPr>
        <w:pStyle w:val="ListParagraph"/>
        <w:numPr>
          <w:ilvl w:val="0"/>
          <w:numId w:val="2"/>
        </w:numPr>
        <w:spacing w:after="60" w:line="276"/>
      </w:pPr>
      <w:r>
        <w:rPr>
          <w:rFonts w:ascii="Calibri" w:cs="Calibri" w:eastAsia="Calibri" w:hAnsi="Calibri"/>
          <w:sz w:val="21"/>
          <w:szCs w:val="21"/>
        </w:rPr>
        <w:t xml:space="preserve">Prix de désengagement dû par lot, remboursement obtenu et attendu, dette résiduelle.</w:t>
      </w:r>
    </w:p>
    <w:p>
      <w:pPr>
        <w:pStyle w:val="ListParagraph"/>
        <w:numPr>
          <w:ilvl w:val="0"/>
          <w:numId w:val="2"/>
        </w:numPr>
        <w:spacing w:after="60" w:line="276"/>
      </w:pPr>
      <w:r>
        <w:rPr>
          <w:rFonts w:ascii="Calibri" w:cs="Calibri" w:eastAsia="Calibri" w:hAnsi="Calibri"/>
          <w:sz w:val="21"/>
          <w:szCs w:val="21"/>
        </w:rPr>
        <w:t xml:space="preserve">Couverture de la dette résiduelle par les lots encore grevés.</w:t>
      </w:r>
    </w:p>
    <w:p>
      <w:pPr>
        <w:pStyle w:val="ListParagraph"/>
        <w:numPr>
          <w:ilvl w:val="0"/>
          <w:numId w:val="2"/>
        </w:numPr>
        <w:spacing w:after="60" w:line="276"/>
      </w:pPr>
      <w:r>
        <w:rPr>
          <w:rFonts w:ascii="Calibri" w:cs="Calibri" w:eastAsia="Calibri" w:hAnsi="Calibri"/>
          <w:sz w:val="21"/>
          <w:szCs w:val="21"/>
        </w:rPr>
        <w:t xml:space="preserve">Alerte de sous-tarification lorsque la quotité appliquée est inférieure à la quotité d'équilibre.</w:t>
      </w:r>
    </w:p>
    <w:p>
      <w:pPr>
        <w:pStyle w:val="ListParagraph"/>
        <w:numPr>
          <w:ilvl w:val="0"/>
          <w:numId w:val="2"/>
        </w:numPr>
        <w:spacing w:after="60" w:line="276"/>
      </w:pPr>
      <w:r>
        <w:rPr>
          <w:rFonts w:ascii="Calibri" w:cs="Calibri" w:eastAsia="Calibri" w:hAnsi="Calibri"/>
          <w:sz w:val="21"/>
          <w:szCs w:val="21"/>
        </w:rPr>
        <w:t xml:space="preserve">Alerte lorsque les lots restants sont significativement moins liquides que ceux déjà libérés.</w:t>
      </w:r>
    </w:p>
    <w:p>
      <w:pPr>
        <w:pStyle w:val="ListParagraph"/>
        <w:numPr>
          <w:ilvl w:val="0"/>
          <w:numId w:val="2"/>
        </w:numPr>
        <w:spacing w:after="60" w:line="276"/>
      </w:pPr>
      <w:r>
        <w:rPr>
          <w:rFonts w:ascii="Calibri" w:cs="Calibri" w:eastAsia="Calibri" w:hAnsi="Calibri"/>
          <w:sz w:val="21"/>
          <w:szCs w:val="21"/>
        </w:rPr>
        <w:t xml:space="preserve">Alerte lorsqu'une mainlevée a été accordée en deçà du prix dû, ou lorsque le coût restant à financer n'est plus couvert.</w:t>
      </w:r>
    </w:p>
    <w:p>
      <w:pPr>
        <w:spacing w:after="120" w:before="0" w:line="276"/>
      </w:pPr>
      <w:r>
        <w:rPr>
          <w:rFonts w:ascii="Calibri" w:cs="Calibri" w:eastAsia="Calibri" w:hAnsi="Calibri"/>
          <w:sz w:val="21"/>
          <w:szCs w:val="21"/>
        </w:rPr>
        <w:t xml:space="preserve">Une quotité recommandée (équilibre majoré d'une marge de sécurité) est proposée au comité pour cadrer la décision.</w:t>
      </w:r>
    </w:p>
    <w:p>
      <w:pPr>
        <w:pStyle w:val="Heading1"/>
        <w:spacing w:after="120" w:before="0" w:line="276"/>
      </w:pPr>
      <w:r>
        <w:rPr>
          <w:rFonts w:ascii="Calibri" w:cs="Calibri" w:eastAsia="Calibri" w:hAnsi="Calibri"/>
          <w:sz w:val="21"/>
          <w:szCs w:val="21"/>
        </w:rPr>
        <w:t xml:space="preserve">7. Liquidité des ventes : financement de l'acquéreur</w:t>
      </w:r>
    </w:p>
    <w:p>
      <w:pPr>
        <w:spacing w:after="120" w:before="0" w:line="276"/>
      </w:pPr>
      <w:r>
        <w:rPr>
          <w:rFonts w:ascii="Calibri" w:cs="Calibri" w:eastAsia="Calibri" w:hAnsi="Calibri"/>
          <w:sz w:val="21"/>
          <w:szCs w:val="21"/>
        </w:rPr>
        <w:t xml:space="preserve">Une réservation dont le crédit n'est pas instruit n'a pas la valeur de liquidité d'un acte dont le financement est disponible. Les ventes engagées sont désormais pondérées par la solidité du financement de l'acquéreur ; un lot sans engagement juridique n'est jamais compté comme sécurisé.</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626"/>
        <w:gridCol w:w="3400"/>
      </w:tblGrid>
      <w:tr>
        <w:trPr>
          <w:tblHeader/>
        </w:trPr>
        <w:tc>
          <w:tcPr>
            <w:tcW w:type="dxa" w:w="56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Statut du financement acquéreur</w:t>
            </w:r>
          </w:p>
        </w:tc>
        <w:tc>
          <w:tcPr>
            <w:tcW w:type="dxa" w:w="34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Facteur de sécurisation</w:t>
            </w:r>
          </w:p>
        </w:tc>
      </w:tr>
      <w:tr>
        <w:tc>
          <w:tcPr>
            <w:tcW w:type="dxa" w:w="5626"/>
            <w:tcMar>
              <w:top w:type="dxa" w:w="40"/>
              <w:left w:type="dxa" w:w="90"/>
              <w:bottom w:type="dxa" w:w="40"/>
              <w:right w:type="dxa" w:w="90"/>
            </w:tcMar>
          </w:tcPr>
          <w:p>
            <w:pPr>
              <w:spacing w:after="0" w:line="252"/>
              <w:jc w:val="left"/>
            </w:pPr>
            <w:r>
              <w:rPr>
                <w:rFonts w:ascii="Calibri" w:cs="Calibri" w:eastAsia="Calibri" w:hAnsi="Calibri"/>
                <w:sz w:val="18"/>
                <w:szCs w:val="18"/>
              </w:rPr>
              <w:t xml:space="preserve">Autofinancement (fonds propres)</w:t>
            </w:r>
          </w:p>
        </w:tc>
        <w:tc>
          <w:tcPr>
            <w:tcW w:type="dxa" w:w="3400"/>
            <w:tcMar>
              <w:top w:type="dxa" w:w="40"/>
              <w:left w:type="dxa" w:w="90"/>
              <w:bottom w:type="dxa" w:w="40"/>
              <w:right w:type="dxa" w:w="90"/>
            </w:tcMar>
          </w:tcPr>
          <w:p>
            <w:pPr>
              <w:spacing w:after="0" w:line="252"/>
              <w:jc w:val="center"/>
            </w:pPr>
            <w:r>
              <w:rPr>
                <w:rFonts w:ascii="Calibri" w:cs="Calibri" w:eastAsia="Calibri" w:hAnsi="Calibri"/>
                <w:color w:val="548235"/>
                <w:sz w:val="18"/>
                <w:szCs w:val="18"/>
              </w:rPr>
              <w:t xml:space="preserve">100 %</w:t>
            </w:r>
          </w:p>
        </w:tc>
      </w:tr>
      <w:tr>
        <w:tc>
          <w:tcPr>
            <w:tcW w:type="dxa" w:w="5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Crédit acquéreur débloqué</w:t>
            </w:r>
          </w:p>
        </w:tc>
        <w:tc>
          <w:tcPr>
            <w:tcW w:type="dxa" w:w="34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548235"/>
                <w:sz w:val="18"/>
                <w:szCs w:val="18"/>
              </w:rPr>
              <w:t xml:space="preserve">100 %</w:t>
            </w:r>
          </w:p>
        </w:tc>
      </w:tr>
      <w:tr>
        <w:tc>
          <w:tcPr>
            <w:tcW w:type="dxa" w:w="5626"/>
            <w:tcMar>
              <w:top w:type="dxa" w:w="40"/>
              <w:left w:type="dxa" w:w="90"/>
              <w:bottom w:type="dxa" w:w="40"/>
              <w:right w:type="dxa" w:w="90"/>
            </w:tcMar>
          </w:tcPr>
          <w:p>
            <w:pPr>
              <w:spacing w:after="0" w:line="252"/>
              <w:jc w:val="left"/>
            </w:pPr>
            <w:r>
              <w:rPr>
                <w:rFonts w:ascii="Calibri" w:cs="Calibri" w:eastAsia="Calibri" w:hAnsi="Calibri"/>
                <w:sz w:val="18"/>
                <w:szCs w:val="18"/>
              </w:rPr>
              <w:t xml:space="preserve">Crédit accordé (accord de principe / offre)</w:t>
            </w:r>
          </w:p>
        </w:tc>
        <w:tc>
          <w:tcPr>
            <w:tcW w:type="dxa" w:w="3400"/>
            <w:tcMar>
              <w:top w:type="dxa" w:w="40"/>
              <w:left w:type="dxa" w:w="90"/>
              <w:bottom w:type="dxa" w:w="40"/>
              <w:right w:type="dxa" w:w="90"/>
            </w:tcMar>
          </w:tcPr>
          <w:p>
            <w:pPr>
              <w:spacing w:after="0" w:line="252"/>
              <w:jc w:val="center"/>
            </w:pPr>
            <w:r>
              <w:rPr>
                <w:rFonts w:ascii="Calibri" w:cs="Calibri" w:eastAsia="Calibri" w:hAnsi="Calibri"/>
                <w:sz w:val="18"/>
                <w:szCs w:val="18"/>
              </w:rPr>
              <w:t xml:space="preserve">80 %</w:t>
            </w:r>
          </w:p>
        </w:tc>
      </w:tr>
      <w:tr>
        <w:tc>
          <w:tcPr>
            <w:tcW w:type="dxa" w:w="5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Demande de crédit en cours d'instruction</w:t>
            </w:r>
          </w:p>
        </w:tc>
        <w:tc>
          <w:tcPr>
            <w:tcW w:type="dxa" w:w="34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8"/>
                <w:szCs w:val="18"/>
              </w:rPr>
              <w:t xml:space="preserve">40 %</w:t>
            </w:r>
          </w:p>
        </w:tc>
      </w:tr>
      <w:tr>
        <w:tc>
          <w:tcPr>
            <w:tcW w:type="dxa" w:w="5626"/>
            <w:tcMar>
              <w:top w:type="dxa" w:w="40"/>
              <w:left w:type="dxa" w:w="90"/>
              <w:bottom w:type="dxa" w:w="40"/>
              <w:right w:type="dxa" w:w="90"/>
            </w:tcMar>
          </w:tcPr>
          <w:p>
            <w:pPr>
              <w:spacing w:after="0" w:line="252"/>
              <w:jc w:val="left"/>
            </w:pPr>
            <w:r>
              <w:rPr>
                <w:rFonts w:ascii="Calibri" w:cs="Calibri" w:eastAsia="Calibri" w:hAnsi="Calibri"/>
                <w:sz w:val="18"/>
                <w:szCs w:val="18"/>
              </w:rPr>
              <w:t xml:space="preserve">Financement non instruit</w:t>
            </w:r>
          </w:p>
        </w:tc>
        <w:tc>
          <w:tcPr>
            <w:tcW w:type="dxa" w:w="3400"/>
            <w:tcMar>
              <w:top w:type="dxa" w:w="40"/>
              <w:left w:type="dxa" w:w="90"/>
              <w:bottom w:type="dxa" w:w="40"/>
              <w:right w:type="dxa" w:w="90"/>
            </w:tcMar>
          </w:tcPr>
          <w:p>
            <w:pPr>
              <w:spacing w:after="0" w:line="252"/>
              <w:jc w:val="center"/>
            </w:pPr>
            <w:r>
              <w:rPr>
                <w:rFonts w:ascii="Calibri" w:cs="Calibri" w:eastAsia="Calibri" w:hAnsi="Calibri"/>
                <w:color w:val="BF8F00"/>
                <w:sz w:val="18"/>
                <w:szCs w:val="18"/>
              </w:rPr>
              <w:t xml:space="preserve">20 %</w:t>
            </w:r>
          </w:p>
        </w:tc>
      </w:tr>
      <w:tr>
        <w:tc>
          <w:tcPr>
            <w:tcW w:type="dxa" w:w="5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Crédit refusé</w:t>
            </w:r>
          </w:p>
        </w:tc>
        <w:tc>
          <w:tcPr>
            <w:tcW w:type="dxa" w:w="34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0 %</w:t>
            </w:r>
          </w:p>
        </w:tc>
      </w:tr>
    </w:tbl>
    <w:p>
      <w:pPr>
        <w:spacing w:after="120" w:before="0" w:line="276"/>
      </w:pPr>
      <w:r>
        <w:rPr>
          <w:rFonts w:ascii="Calibri" w:cs="Calibri" w:eastAsia="Calibri" w:hAnsi="Calibri"/>
          <w:sz w:val="21"/>
          <w:szCs w:val="21"/>
        </w:rPr>
        <w:t xml:space="preserve">Les dispositifs publics d'appui à l'acquisition (aide directe au logement, FOGARIM, Damane Assakane) sont suivis au niveau du lot. Leurs montants et conditions relèvent d'un référentiel daté, à maintenir avec le Juridique : ils ne sont pas figés dans le modèle afin d'éviter toute péremption.</w:t>
      </w:r>
    </w:p>
    <w:p>
      <w:pPr>
        <w:spacing w:after="120" w:before="0" w:line="276"/>
      </w:pPr>
      <w:r>
        <w:rPr>
          <w:rFonts w:ascii="Calibri" w:cs="Calibri" w:eastAsia="Calibri" w:hAnsi="Calibri"/>
          <w:b/>
          <w:bCs/>
          <w:sz w:val="21"/>
          <w:szCs w:val="21"/>
        </w:rPr>
        <w:t xml:space="preserve">Point de vigilance. </w:t>
      </w:r>
      <w:r>
        <w:rPr>
          <w:rFonts w:ascii="Calibri" w:cs="Calibri" w:eastAsia="Calibri" w:hAnsi="Calibri"/>
          <w:i/>
          <w:iCs/>
          <w:sz w:val="21"/>
          <w:szCs w:val="21"/>
        </w:rPr>
        <w:t xml:space="preserve">Une aide destinée à l'acquéreur ne s'ajoute pas une seconde fois au prix de vente dans le plan de financement du promoteur : elle en répartit le paiement.</w:t>
      </w:r>
    </w:p>
    <w:p>
      <w:pPr>
        <w:pStyle w:val="Heading1"/>
        <w:spacing w:after="120" w:before="0" w:line="276"/>
      </w:pPr>
      <w:r>
        <w:rPr>
          <w:rFonts w:ascii="Calibri" w:cs="Calibri" w:eastAsia="Calibri" w:hAnsi="Calibri"/>
          <w:sz w:val="21"/>
          <w:szCs w:val="21"/>
        </w:rPr>
        <w:t xml:space="preserve">8. Division des risques</w:t>
      </w:r>
    </w:p>
    <w:p>
      <w:pPr>
        <w:spacing w:after="120" w:before="0" w:line="276"/>
      </w:pPr>
      <w:r>
        <w:rPr>
          <w:rFonts w:ascii="Calibri" w:cs="Calibri" w:eastAsia="Calibri" w:hAnsi="Calibri"/>
          <w:sz w:val="21"/>
          <w:szCs w:val="21"/>
        </w:rPr>
        <w:t xml:space="preserve">L'exposition sur une contrepartie ou un groupe est agrégée (encours tiré + non-tiré pondéré par le facteur de conversion), rapportée aux fonds propres, et comparée à la limite paramétrée. L'outil restitue la marge disponible, le montant maximal encore octroyable, et qualifie le grand risque.</w:t>
      </w:r>
    </w:p>
    <w:p>
      <w:pPr>
        <w:spacing w:after="120" w:before="0" w:line="276"/>
      </w:pPr>
      <w:r>
        <w:rPr>
          <w:rFonts w:ascii="Calibri" w:cs="Calibri" w:eastAsia="Calibri" w:hAnsi="Calibri"/>
          <w:b/>
          <w:bCs/>
          <w:sz w:val="21"/>
          <w:szCs w:val="21"/>
        </w:rPr>
        <w:t xml:space="preserve">Principe retenu : </w:t>
      </w:r>
      <w:r>
        <w:rPr>
          <w:rFonts w:ascii="Calibri" w:cs="Calibri" w:eastAsia="Calibri" w:hAnsi="Calibri"/>
          <w:sz w:val="21"/>
          <w:szCs w:val="21"/>
        </w:rPr>
        <w:t xml:space="preserve">un dépassement de limite déclenche une exigence d'autorisation au niveau de délégation requis et un retour en comité, SANS malus de score — conformément à la règle « ne pas modifier la note pour masquer le dépassement ».</w:t>
      </w:r>
    </w:p>
    <w:p>
      <w:r>
        <w:br w:type="page"/>
      </w:r>
    </w:p>
    <w:p>
      <w:pPr>
        <w:pStyle w:val="Heading1"/>
        <w:spacing w:after="120" w:before="0" w:line="276"/>
      </w:pPr>
      <w:r>
        <w:rPr>
          <w:rFonts w:ascii="Calibri" w:cs="Calibri" w:eastAsia="Calibri" w:hAnsi="Calibri"/>
          <w:sz w:val="21"/>
          <w:szCs w:val="21"/>
        </w:rPr>
        <w:t xml:space="preserve">9. Le modèle v4.0.0</w:t>
      </w:r>
    </w:p>
    <w:p>
      <w:pPr>
        <w:spacing w:after="120" w:before="0" w:line="276"/>
      </w:pPr>
      <w:r>
        <w:rPr>
          <w:rFonts w:ascii="Calibri" w:cs="Calibri" w:eastAsia="Calibri" w:hAnsi="Calibri"/>
          <w:sz w:val="21"/>
          <w:szCs w:val="21"/>
        </w:rPr>
        <w:t xml:space="preserve">v4.0.0 conserve l'architecture v3.0.0 (quatre domaines pondérés, échelle 1–10, couche d'alertes, ajustements, coefficients réglementaires, seuils 75/65/50) et y ajoute trois critères et quatre alertes propres à la pratique marocaine.</w:t>
      </w:r>
    </w:p>
    <w:p>
      <w:pPr>
        <w:pStyle w:val="Heading2"/>
        <w:spacing w:after="120" w:before="0" w:line="276"/>
      </w:pPr>
      <w:r>
        <w:rPr>
          <w:rFonts w:ascii="Calibri" w:cs="Calibri" w:eastAsia="Calibri" w:hAnsi="Calibri"/>
          <w:sz w:val="21"/>
          <w:szCs w:val="21"/>
        </w:rPr>
        <w:t xml:space="preserve">9.1 Nouveaux critères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900"/>
        <w:gridCol w:w="3400"/>
        <w:gridCol w:w="900"/>
        <w:gridCol w:w="1000"/>
        <w:gridCol w:w="2826"/>
      </w:tblGrid>
      <w:tr>
        <w:trPr>
          <w:tblHeader/>
        </w:trPr>
        <w:tc>
          <w:tcPr>
            <w:tcW w:type="dxa" w:w="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Code</w:t>
            </w:r>
          </w:p>
        </w:tc>
        <w:tc>
          <w:tcPr>
            <w:tcW w:type="dxa" w:w="34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Critère</w:t>
            </w:r>
          </w:p>
        </w:tc>
        <w:tc>
          <w:tcPr>
            <w:tcW w:type="dxa" w:w="9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Domaine</w:t>
            </w:r>
          </w:p>
        </w:tc>
        <w:tc>
          <w:tcPr>
            <w:tcW w:type="dxa" w:w="10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Poids</w:t>
            </w:r>
          </w:p>
        </w:tc>
        <w:tc>
          <w:tcPr>
            <w:tcW w:type="dxa" w:w="28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Barème</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8"/>
                <w:szCs w:val="18"/>
              </w:rPr>
              <w:t xml:space="preserve">D2C8</w:t>
            </w:r>
          </w:p>
        </w:tc>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Chaîne d'autorisations (complétude)</w:t>
            </w:r>
          </w:p>
        </w:tc>
        <w:tc>
          <w:tcPr>
            <w:tcW w:type="dxa" w:w="900"/>
            <w:tcMar>
              <w:top w:type="dxa" w:w="40"/>
              <w:left w:type="dxa" w:w="90"/>
              <w:bottom w:type="dxa" w:w="40"/>
              <w:right w:type="dxa" w:w="90"/>
            </w:tcMar>
          </w:tcPr>
          <w:p>
            <w:pPr>
              <w:spacing w:after="0" w:line="252"/>
              <w:jc w:val="left"/>
            </w:pPr>
            <w:r>
              <w:rPr>
                <w:rFonts w:ascii="Calibri" w:cs="Calibri" w:eastAsia="Calibri" w:hAnsi="Calibri"/>
                <w:sz w:val="18"/>
                <w:szCs w:val="18"/>
              </w:rPr>
              <w:t xml:space="preserve">D2</w:t>
            </w:r>
          </w:p>
        </w:tc>
        <w:tc>
          <w:tcPr>
            <w:tcW w:type="dxa" w:w="1000"/>
            <w:tcMar>
              <w:top w:type="dxa" w:w="40"/>
              <w:left w:type="dxa" w:w="90"/>
              <w:bottom w:type="dxa" w:w="40"/>
              <w:right w:type="dxa" w:w="90"/>
            </w:tcMar>
          </w:tcPr>
          <w:p>
            <w:pPr>
              <w:spacing w:after="0" w:line="252"/>
              <w:jc w:val="center"/>
            </w:pPr>
            <w:r>
              <w:rPr>
                <w:rFonts w:ascii="Calibri" w:cs="Calibri" w:eastAsia="Calibri" w:hAnsi="Calibri"/>
                <w:sz w:val="18"/>
                <w:szCs w:val="18"/>
              </w:rPr>
              <w:t xml:space="preserve">10 %</w:t>
            </w:r>
          </w:p>
        </w:tc>
        <w:tc>
          <w:tcPr>
            <w:tcW w:type="dxa" w:w="2826"/>
            <w:tcMar>
              <w:top w:type="dxa" w:w="40"/>
              <w:left w:type="dxa" w:w="90"/>
              <w:bottom w:type="dxa" w:w="40"/>
              <w:right w:type="dxa" w:w="90"/>
            </w:tcMar>
          </w:tcPr>
          <w:p>
            <w:pPr>
              <w:spacing w:after="0" w:line="252"/>
              <w:jc w:val="left"/>
            </w:pPr>
            <w:r>
              <w:rPr>
                <w:rFonts w:ascii="Calibri" w:cs="Calibri" w:eastAsia="Calibri" w:hAnsi="Calibri"/>
                <w:sz w:val="18"/>
                <w:szCs w:val="18"/>
              </w:rPr>
              <w:t xml:space="preserve">&lt; 50 % → 1 · 50–99 % → 6 · 100 % → 10</w:t>
            </w:r>
          </w:p>
        </w:tc>
      </w:tr>
      <w:tr>
        <w:tc>
          <w:tcPr>
            <w:tcW w:type="dxa" w:w="900"/>
            <w:shd w:fill="F2F5FB" w:color="auto" w:val="clear"/>
            <w:tcMar>
              <w:top w:type="dxa" w:w="40"/>
              <w:left w:type="dxa" w:w="90"/>
              <w:bottom w:type="dxa" w:w="40"/>
              <w:right w:type="dxa" w:w="90"/>
            </w:tcMar>
          </w:tcPr>
          <w:p>
            <w:pPr>
              <w:spacing w:after="0" w:line="252"/>
            </w:pPr>
            <w:r>
              <w:rPr>
                <w:rFonts w:ascii="Calibri" w:cs="Calibri" w:eastAsia="Calibri" w:hAnsi="Calibri"/>
                <w:b/>
                <w:bCs/>
                <w:sz w:val="18"/>
                <w:szCs w:val="18"/>
              </w:rPr>
              <w:t xml:space="preserve">D3C8</w:t>
            </w:r>
          </w:p>
        </w:tc>
        <w:tc>
          <w:tcPr>
            <w:tcW w:type="dxa" w:w="34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Ventes sécurisées (financement acquéreur)</w:t>
            </w:r>
          </w:p>
        </w:tc>
        <w:tc>
          <w:tcPr>
            <w:tcW w:type="dxa" w:w="9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D3</w:t>
            </w:r>
          </w:p>
        </w:tc>
        <w:tc>
          <w:tcPr>
            <w:tcW w:type="dxa" w:w="10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10 %</w:t>
            </w:r>
          </w:p>
        </w:tc>
        <w:tc>
          <w:tcPr>
            <w:tcW w:type="dxa" w:w="28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&lt; 25 % → 1 · 25–40 % → 6 · ≥ 40 % → 10</w:t>
            </w:r>
          </w:p>
        </w:tc>
      </w:tr>
      <w:tr>
        <w:tc>
          <w:tcPr>
            <w:tcW w:type="dxa" w:w="900"/>
            <w:tcMar>
              <w:top w:type="dxa" w:w="40"/>
              <w:left w:type="dxa" w:w="90"/>
              <w:bottom w:type="dxa" w:w="40"/>
              <w:right w:type="dxa" w:w="90"/>
            </w:tcMar>
          </w:tcPr>
          <w:p>
            <w:pPr>
              <w:spacing w:after="0" w:line="252"/>
            </w:pPr>
            <w:r>
              <w:rPr>
                <w:rFonts w:ascii="Calibri" w:cs="Calibri" w:eastAsia="Calibri" w:hAnsi="Calibri"/>
                <w:b/>
                <w:bCs/>
                <w:sz w:val="18"/>
                <w:szCs w:val="18"/>
              </w:rPr>
              <w:t xml:space="preserve">D4C7</w:t>
            </w:r>
          </w:p>
        </w:tc>
        <w:tc>
          <w:tcPr>
            <w:tcW w:type="dxa" w:w="3400"/>
            <w:tcMar>
              <w:top w:type="dxa" w:w="40"/>
              <w:left w:type="dxa" w:w="90"/>
              <w:bottom w:type="dxa" w:w="40"/>
              <w:right w:type="dxa" w:w="90"/>
            </w:tcMar>
          </w:tcPr>
          <w:p>
            <w:pPr>
              <w:spacing w:after="0" w:line="252"/>
              <w:jc w:val="left"/>
            </w:pPr>
            <w:r>
              <w:rPr>
                <w:rFonts w:ascii="Calibri" w:cs="Calibri" w:eastAsia="Calibri" w:hAnsi="Calibri"/>
                <w:sz w:val="18"/>
                <w:szCs w:val="18"/>
              </w:rPr>
              <w:t xml:space="preserve">Quotité de désengagement vs équilibre</w:t>
            </w:r>
          </w:p>
        </w:tc>
        <w:tc>
          <w:tcPr>
            <w:tcW w:type="dxa" w:w="900"/>
            <w:tcMar>
              <w:top w:type="dxa" w:w="40"/>
              <w:left w:type="dxa" w:w="90"/>
              <w:bottom w:type="dxa" w:w="40"/>
              <w:right w:type="dxa" w:w="90"/>
            </w:tcMar>
          </w:tcPr>
          <w:p>
            <w:pPr>
              <w:spacing w:after="0" w:line="252"/>
              <w:jc w:val="left"/>
            </w:pPr>
            <w:r>
              <w:rPr>
                <w:rFonts w:ascii="Calibri" w:cs="Calibri" w:eastAsia="Calibri" w:hAnsi="Calibri"/>
                <w:sz w:val="18"/>
                <w:szCs w:val="18"/>
              </w:rPr>
              <w:t xml:space="preserve">D4</w:t>
            </w:r>
          </w:p>
        </w:tc>
        <w:tc>
          <w:tcPr>
            <w:tcW w:type="dxa" w:w="1000"/>
            <w:tcMar>
              <w:top w:type="dxa" w:w="40"/>
              <w:left w:type="dxa" w:w="90"/>
              <w:bottom w:type="dxa" w:w="40"/>
              <w:right w:type="dxa" w:w="90"/>
            </w:tcMar>
          </w:tcPr>
          <w:p>
            <w:pPr>
              <w:spacing w:after="0" w:line="252"/>
              <w:jc w:val="center"/>
            </w:pPr>
            <w:r>
              <w:rPr>
                <w:rFonts w:ascii="Calibri" w:cs="Calibri" w:eastAsia="Calibri" w:hAnsi="Calibri"/>
                <w:sz w:val="18"/>
                <w:szCs w:val="18"/>
              </w:rPr>
              <w:t xml:space="preserve">5 %</w:t>
            </w:r>
          </w:p>
        </w:tc>
        <w:tc>
          <w:tcPr>
            <w:tcW w:type="dxa" w:w="2826"/>
            <w:tcMar>
              <w:top w:type="dxa" w:w="40"/>
              <w:left w:type="dxa" w:w="90"/>
              <w:bottom w:type="dxa" w:w="40"/>
              <w:right w:type="dxa" w:w="90"/>
            </w:tcMar>
          </w:tcPr>
          <w:p>
            <w:pPr>
              <w:spacing w:after="0" w:line="252"/>
              <w:jc w:val="left"/>
            </w:pPr>
            <w:r>
              <w:rPr>
                <w:rFonts w:ascii="Calibri" w:cs="Calibri" w:eastAsia="Calibri" w:hAnsi="Calibri"/>
                <w:sz w:val="18"/>
                <w:szCs w:val="18"/>
              </w:rPr>
              <w:t xml:space="preserve">&lt; −10 pts → 1 · −10 à 0 → 6 · ≥ 0 → 10</w:t>
            </w:r>
          </w:p>
        </w:tc>
      </w:tr>
    </w:tbl>
    <w:p>
      <w:pPr>
        <w:spacing w:after="120" w:before="0" w:line="276"/>
      </w:pPr>
      <w:r>
        <w:rPr>
          <w:rFonts w:ascii="Calibri" w:cs="Calibri" w:eastAsia="Calibri" w:hAnsi="Calibri"/>
          <w:sz w:val="21"/>
          <w:szCs w:val="21"/>
        </w:rPr>
        <w:t xml:space="preserve">Les poids ont été rééquilibrés à l'intérieur des domaines concernés (critère « foncier et autorisations », « préventes encaissées » et « couverture garanties » réduits d'autant) : la somme des poids reste de 100 % dans chacun des quatre domaines.</w:t>
      </w:r>
    </w:p>
    <w:p>
      <w:pPr>
        <w:pStyle w:val="Heading2"/>
        <w:spacing w:after="120" w:before="0" w:line="276"/>
      </w:pPr>
      <w:r>
        <w:rPr>
          <w:rFonts w:ascii="Calibri" w:cs="Calibri" w:eastAsia="Calibri" w:hAnsi="Calibri"/>
          <w:sz w:val="21"/>
          <w:szCs w:val="21"/>
        </w:rPr>
        <w:t xml:space="preserve">9.2 Nouvelles alertes</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4626"/>
        <w:gridCol w:w="2000"/>
        <w:gridCol w:w="1200"/>
        <w:gridCol w:w="1200"/>
      </w:tblGrid>
      <w:tr>
        <w:trPr>
          <w:tblHeader/>
        </w:trPr>
        <w:tc>
          <w:tcPr>
            <w:tcW w:type="dxa" w:w="46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Alerte</w:t>
            </w:r>
          </w:p>
        </w:tc>
        <w:tc>
          <w:tcPr>
            <w:tcW w:type="dxa" w:w="20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Effet</w:t>
            </w:r>
          </w:p>
        </w:tc>
        <w:tc>
          <w:tcPr>
            <w:tcW w:type="dxa" w:w="12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Malus</w:t>
            </w:r>
          </w:p>
        </w:tc>
        <w:tc>
          <w:tcPr>
            <w:tcW w:type="dxa" w:w="12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Comité</w:t>
            </w:r>
          </w:p>
        </w:tc>
      </w:tr>
      <w:tr>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Autorisation indispensable aux travaux non levée</w:t>
            </w:r>
          </w:p>
        </w:tc>
        <w:tc>
          <w:tcPr>
            <w:tcW w:type="dxa" w:w="2000"/>
            <w:tcMar>
              <w:top w:type="dxa" w:w="40"/>
              <w:left w:type="dxa" w:w="90"/>
              <w:bottom w:type="dxa" w:w="40"/>
              <w:right w:type="dxa" w:w="90"/>
            </w:tcMar>
          </w:tcPr>
          <w:p>
            <w:pPr>
              <w:spacing w:after="0" w:line="252"/>
              <w:jc w:val="left"/>
            </w:pPr>
            <w:r>
              <w:rPr>
                <w:rFonts w:ascii="Calibri" w:cs="Calibri" w:eastAsia="Calibri" w:hAnsi="Calibri"/>
                <w:sz w:val="18"/>
                <w:szCs w:val="18"/>
              </w:rPr>
              <w:t xml:space="preserve">Surveillance</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−15</w:t>
            </w:r>
          </w:p>
        </w:tc>
        <w:tc>
          <w:tcPr>
            <w:tcW w:type="dxa" w:w="1200"/>
            <w:tcMar>
              <w:top w:type="dxa" w:w="40"/>
              <w:left w:type="dxa" w:w="90"/>
              <w:bottom w:type="dxa" w:w="40"/>
              <w:right w:type="dxa" w:w="90"/>
            </w:tcMar>
          </w:tcPr>
          <w:p>
            <w:pPr>
              <w:spacing w:after="0" w:line="252"/>
              <w:jc w:val="center"/>
            </w:pPr>
            <w:r>
              <w:rPr>
                <w:rFonts w:ascii="Calibri" w:cs="Calibri" w:eastAsia="Calibri" w:hAnsi="Calibri"/>
                <w:sz w:val="18"/>
                <w:szCs w:val="18"/>
              </w:rPr>
              <w:t xml:space="preserve">—</w:t>
            </w:r>
          </w:p>
        </w:tc>
      </w:tr>
      <w:tr>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Limite de division des risques dépassée</w:t>
            </w:r>
          </w:p>
        </w:tc>
        <w:tc>
          <w:tcPr>
            <w:tcW w:type="dxa" w:w="20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Réglementaire</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0</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Oui</w:t>
            </w:r>
          </w:p>
        </w:tc>
      </w:tr>
      <w:tr>
        <w:tc>
          <w:tcPr>
            <w:tcW w:type="dxa" w:w="4626"/>
            <w:tcMar>
              <w:top w:type="dxa" w:w="40"/>
              <w:left w:type="dxa" w:w="90"/>
              <w:bottom w:type="dxa" w:w="40"/>
              <w:right w:type="dxa" w:w="90"/>
            </w:tcMar>
          </w:tcPr>
          <w:p>
            <w:pPr>
              <w:spacing w:after="0" w:line="252"/>
              <w:jc w:val="left"/>
            </w:pPr>
            <w:r>
              <w:rPr>
                <w:rFonts w:ascii="Calibri" w:cs="Calibri" w:eastAsia="Calibri" w:hAnsi="Calibri"/>
                <w:sz w:val="18"/>
                <w:szCs w:val="18"/>
              </w:rPr>
              <w:t xml:space="preserve">Prix de mainlevée sous-tarifé</w:t>
            </w:r>
          </w:p>
        </w:tc>
        <w:tc>
          <w:tcPr>
            <w:tcW w:type="dxa" w:w="2000"/>
            <w:tcMar>
              <w:top w:type="dxa" w:w="40"/>
              <w:left w:type="dxa" w:w="90"/>
              <w:bottom w:type="dxa" w:w="40"/>
              <w:right w:type="dxa" w:w="90"/>
            </w:tcMar>
          </w:tcPr>
          <w:p>
            <w:pPr>
              <w:spacing w:after="0" w:line="252"/>
              <w:jc w:val="left"/>
            </w:pPr>
            <w:r>
              <w:rPr>
                <w:rFonts w:ascii="Calibri" w:cs="Calibri" w:eastAsia="Calibri" w:hAnsi="Calibri"/>
                <w:sz w:val="18"/>
                <w:szCs w:val="18"/>
              </w:rPr>
              <w:t xml:space="preserve">Surveillance</w:t>
            </w:r>
          </w:p>
        </w:tc>
        <w:tc>
          <w:tcPr>
            <w:tcW w:type="dxa" w:w="1200"/>
            <w:tcMar>
              <w:top w:type="dxa" w:w="40"/>
              <w:left w:type="dxa" w:w="90"/>
              <w:bottom w:type="dxa" w:w="40"/>
              <w:right w:type="dxa" w:w="90"/>
            </w:tcMar>
          </w:tcPr>
          <w:p>
            <w:pPr>
              <w:spacing w:after="0" w:line="252"/>
              <w:jc w:val="center"/>
            </w:pPr>
            <w:r>
              <w:rPr>
                <w:rFonts w:ascii="Calibri" w:cs="Calibri" w:eastAsia="Calibri" w:hAnsi="Calibri"/>
                <w:color w:val="C00000"/>
                <w:sz w:val="18"/>
                <w:szCs w:val="18"/>
              </w:rPr>
              <w:t xml:space="preserve">−15</w:t>
            </w:r>
          </w:p>
        </w:tc>
        <w:tc>
          <w:tcPr>
            <w:tcW w:type="dxa" w:w="1200"/>
            <w:tcMar>
              <w:top w:type="dxa" w:w="40"/>
              <w:left w:type="dxa" w:w="90"/>
              <w:bottom w:type="dxa" w:w="40"/>
              <w:right w:type="dxa" w:w="90"/>
            </w:tcMar>
          </w:tcPr>
          <w:p>
            <w:pPr>
              <w:spacing w:after="0" w:line="252"/>
              <w:jc w:val="center"/>
            </w:pPr>
            <w:r>
              <w:rPr>
                <w:rFonts w:ascii="Calibri" w:cs="Calibri" w:eastAsia="Calibri" w:hAnsi="Calibri"/>
                <w:b/>
                <w:bCs/>
                <w:color w:val="C00000"/>
                <w:sz w:val="18"/>
                <w:szCs w:val="18"/>
              </w:rPr>
              <w:t xml:space="preserve">Oui</w:t>
            </w:r>
          </w:p>
        </w:tc>
      </w:tr>
      <w:tr>
        <w:tc>
          <w:tcPr>
            <w:tcW w:type="dxa" w:w="4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Financement acquéreur majoritairement non sécurisé</w:t>
            </w:r>
          </w:p>
        </w:tc>
        <w:tc>
          <w:tcPr>
            <w:tcW w:type="dxa" w:w="2000"/>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Hypothèse</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color w:val="BF8F00"/>
                <w:sz w:val="18"/>
                <w:szCs w:val="18"/>
              </w:rPr>
              <w:t xml:space="preserve">−10</w:t>
            </w:r>
          </w:p>
        </w:tc>
        <w:tc>
          <w:tcPr>
            <w:tcW w:type="dxa" w:w="1200"/>
            <w:shd w:fill="F2F5FB" w:color="auto" w:val="clear"/>
            <w:tcMar>
              <w:top w:type="dxa" w:w="40"/>
              <w:left w:type="dxa" w:w="90"/>
              <w:bottom w:type="dxa" w:w="40"/>
              <w:right w:type="dxa" w:w="90"/>
            </w:tcMar>
          </w:tcPr>
          <w:p>
            <w:pPr>
              <w:spacing w:after="0" w:line="252"/>
              <w:jc w:val="center"/>
            </w:pPr>
            <w:r>
              <w:rPr>
                <w:rFonts w:ascii="Calibri" w:cs="Calibri" w:eastAsia="Calibri" w:hAnsi="Calibri"/>
                <w:sz w:val="18"/>
                <w:szCs w:val="18"/>
              </w:rPr>
              <w:t xml:space="preserve">—</w:t>
            </w:r>
          </w:p>
        </w:tc>
      </w:tr>
    </w:tbl>
    <w:p>
      <w:pPr>
        <w:spacing w:after="120" w:before="0" w:line="276"/>
      </w:pPr>
      <w:r>
        <w:rPr>
          <w:rFonts w:ascii="Calibri" w:cs="Calibri" w:eastAsia="Calibri" w:hAnsi="Calibri"/>
          <w:b/>
          <w:bCs/>
          <w:sz w:val="21"/>
          <w:szCs w:val="21"/>
        </w:rPr>
        <w:t xml:space="preserve">Choix de conception. </w:t>
      </w:r>
      <w:r>
        <w:rPr>
          <w:rFonts w:ascii="Calibri" w:cs="Calibri" w:eastAsia="Calibri" w:hAnsi="Calibri"/>
          <w:sz w:val="21"/>
          <w:szCs w:val="21"/>
        </w:rPr>
        <w:t xml:space="preserve">Les quatre alertes reposent sur des conditions booléennes. Une donnée absente y signifie « non affirmé » et non « incomplet » : aucun dossier en cours ne bascule en « dossier incomplet » du seul fait de la montée de version.</w:t>
      </w:r>
    </w:p>
    <w:p>
      <w:pPr>
        <w:pStyle w:val="Heading1"/>
        <w:spacing w:after="120" w:before="0" w:line="276"/>
      </w:pPr>
      <w:r>
        <w:rPr>
          <w:rFonts w:ascii="Calibri" w:cs="Calibri" w:eastAsia="Calibri" w:hAnsi="Calibri"/>
          <w:sz w:val="21"/>
          <w:szCs w:val="21"/>
        </w:rPr>
        <w:t xml:space="preserve">10. Alimentation des données et continuité</w:t>
      </w:r>
    </w:p>
    <w:p>
      <w:pPr>
        <w:spacing w:after="120" w:before="0" w:line="276"/>
      </w:pPr>
      <w:r>
        <w:rPr>
          <w:rFonts w:ascii="Calibri" w:cs="Calibri" w:eastAsia="Calibri" w:hAnsi="Calibri"/>
          <w:sz w:val="21"/>
          <w:szCs w:val="21"/>
        </w:rPr>
        <w:t xml:space="preserve">Les trois nouveaux critères sont alimentés automatiquement par la synchronisation suivi → scoring, à partir des autorisations saisies, du statut de financement des acquéreurs et de la quotité de désengagement convenue. Deux précautions ont été prises pour la continuité :</w:t>
      </w:r>
    </w:p>
    <w:p>
      <w:pPr>
        <w:pStyle w:val="ListParagraph"/>
        <w:numPr>
          <w:ilvl w:val="0"/>
          <w:numId w:val="2"/>
        </w:numPr>
        <w:spacing w:after="60" w:line="276"/>
      </w:pPr>
      <w:r>
        <w:rPr>
          <w:rFonts w:ascii="Calibri" w:cs="Calibri" w:eastAsia="Calibri" w:hAnsi="Calibri"/>
          <w:b/>
          <w:bCs/>
          <w:sz w:val="21"/>
          <w:szCs w:val="21"/>
        </w:rPr>
        <w:t xml:space="preserve">Rétro-alimentation : </w:t>
      </w:r>
      <w:r>
        <w:rPr>
          <w:rFonts w:ascii="Calibri" w:cs="Calibri" w:eastAsia="Calibri" w:hAnsi="Calibri"/>
          <w:sz w:val="21"/>
          <w:szCs w:val="21"/>
        </w:rPr>
        <w:t xml:space="preserve">les autorisations ont été reconstituées depuis les données existantes (statut foncier titré, référence d'autorisation de construire), afin de ne pas pénaliser les dossiers en cours.</w:t>
      </w:r>
    </w:p>
    <w:p>
      <w:pPr>
        <w:pStyle w:val="ListParagraph"/>
        <w:numPr>
          <w:ilvl w:val="0"/>
          <w:numId w:val="2"/>
        </w:numPr>
        <w:spacing w:after="60" w:line="276"/>
      </w:pPr>
      <w:r>
        <w:rPr>
          <w:rFonts w:ascii="Calibri" w:cs="Calibri" w:eastAsia="Calibri" w:hAnsi="Calibri"/>
          <w:b/>
          <w:bCs/>
          <w:sz w:val="21"/>
          <w:szCs w:val="21"/>
        </w:rPr>
        <w:t xml:space="preserve">Versionnement : </w:t>
      </w:r>
      <w:r>
        <w:rPr>
          <w:rFonts w:ascii="Calibri" w:cs="Calibri" w:eastAsia="Calibri" w:hAnsi="Calibri"/>
          <w:sz w:val="21"/>
          <w:szCs w:val="21"/>
        </w:rPr>
        <w:t xml:space="preserve">les scores déjà calculés restent figés sur leur version d'origine ; v4.0.0 ne s'applique qu'aux nouveaux calculs. Les versions v2 et v3 restent disponibles pour le rejeu historique.</w:t>
      </w:r>
    </w:p>
    <w:p>
      <w:pPr>
        <w:spacing w:after="120" w:before="0" w:line="276"/>
      </w:pPr>
      <w:r>
        <w:rPr>
          <w:rFonts w:ascii="Calibri" w:cs="Calibri" w:eastAsia="Calibri" w:hAnsi="Calibri"/>
          <w:sz w:val="21"/>
          <w:szCs w:val="21"/>
        </w:rPr>
        <w:t xml:space="preserve">Tant qu'un dossier n'a pas de statut de financement acquéreur ni de quotité de désengagement renseignés, les critères correspondants ne sont pas calculés plutôt que d'être inventés ; le critère d'autorisations, lui, est toujours calculable et reflète prudemment ce qui est documenté.</w:t>
      </w:r>
    </w:p>
    <w:p>
      <w:pPr>
        <w:pStyle w:val="Heading1"/>
        <w:spacing w:after="120" w:before="0" w:line="276"/>
      </w:pPr>
      <w:r>
        <w:rPr>
          <w:rFonts w:ascii="Calibri" w:cs="Calibri" w:eastAsia="Calibri" w:hAnsi="Calibri"/>
          <w:sz w:val="21"/>
          <w:szCs w:val="21"/>
        </w:rPr>
        <w:t xml:space="preserve">11. Contrôles de conformité du modèle publié</w:t>
      </w:r>
    </w:p>
    <w:p>
      <w:pPr>
        <w:spacing w:after="120" w:before="0" w:line="276"/>
      </w:pPr>
      <w:r>
        <w:rPr>
          <w:rFonts w:ascii="Calibri" w:cs="Calibri" w:eastAsia="Calibri" w:hAnsi="Calibri"/>
          <w:sz w:val="21"/>
          <w:szCs w:val="21"/>
        </w:rPr>
        <w:t xml:space="preserve">La publication de v4.0.0 a été soumise à des contrôles sémantiques automatisés :</w:t>
      </w:r>
    </w:p>
    <w:tbl>
      <w:tblPr>
        <w:tblW w:type="dxa" w:w="9026"/>
        <w:tblBorders>
          <w:top w:val="single" w:color="AEB6C6" w:sz="2"/>
          <w:left w:val="single" w:color="AEB6C6" w:sz="2"/>
          <w:bottom w:val="single" w:color="AEB6C6" w:sz="2"/>
          <w:right w:val="single" w:color="AEB6C6" w:sz="2"/>
          <w:insideH w:val="single" w:color="D0D6E2" w:sz="1"/>
          <w:insideV w:val="single" w:color="D0D6E2" w:sz="1"/>
        </w:tblBorders>
      </w:tblPr>
      <w:tblGrid>
        <w:gridCol w:w="5626"/>
        <w:gridCol w:w="3400"/>
      </w:tblGrid>
      <w:tr>
        <w:trPr>
          <w:tblHeader/>
        </w:trPr>
        <w:tc>
          <w:tcPr>
            <w:tcW w:type="dxa" w:w="5626"/>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Contrôle</w:t>
            </w:r>
          </w:p>
        </w:tc>
        <w:tc>
          <w:tcPr>
            <w:tcW w:type="dxa" w:w="3400"/>
            <w:shd w:fill="2E5496" w:color="auto" w:val="clear"/>
            <w:tcMar>
              <w:top w:type="dxa" w:w="40"/>
              <w:left w:type="dxa" w:w="90"/>
              <w:bottom w:type="dxa" w:w="40"/>
              <w:right w:type="dxa" w:w="90"/>
            </w:tcMar>
          </w:tcPr>
          <w:p>
            <w:pPr>
              <w:spacing w:after="0" w:line="252"/>
            </w:pPr>
            <w:r>
              <w:rPr>
                <w:rFonts w:ascii="Calibri" w:cs="Calibri" w:eastAsia="Calibri" w:hAnsi="Calibri"/>
                <w:b/>
                <w:bCs/>
                <w:color w:val="FFFFFF"/>
                <w:sz w:val="18"/>
                <w:szCs w:val="18"/>
              </w:rPr>
              <w:t xml:space="preserve">Résultat</w:t>
            </w:r>
          </w:p>
        </w:tc>
      </w:tr>
      <w:tr>
        <w:tc>
          <w:tcPr>
            <w:tcW w:type="dxa" w:w="5626"/>
            <w:tcMar>
              <w:top w:type="dxa" w:w="40"/>
              <w:left w:type="dxa" w:w="90"/>
              <w:bottom w:type="dxa" w:w="40"/>
              <w:right w:type="dxa" w:w="90"/>
            </w:tcMar>
          </w:tcPr>
          <w:p>
            <w:pPr>
              <w:spacing w:after="0" w:line="252"/>
              <w:jc w:val="left"/>
            </w:pPr>
            <w:r>
              <w:rPr>
                <w:rFonts w:ascii="Calibri" w:cs="Calibri" w:eastAsia="Calibri" w:hAnsi="Calibri"/>
                <w:sz w:val="18"/>
                <w:szCs w:val="18"/>
              </w:rPr>
              <w:t xml:space="preserve">Somme des poids de critères par domaine</w:t>
            </w:r>
          </w:p>
        </w:tc>
        <w:tc>
          <w:tcPr>
            <w:tcW w:type="dxa" w:w="34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100 % sur D1, D2, D3 et D4</w:t>
            </w:r>
          </w:p>
        </w:tc>
      </w:tr>
      <w:tr>
        <w:tc>
          <w:tcPr>
            <w:tcW w:type="dxa" w:w="5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Critères sans barème (modalités ou plages)</w:t>
            </w:r>
          </w:p>
        </w:tc>
        <w:tc>
          <w:tcPr>
            <w:tcW w:type="dxa" w:w="34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Aucun</w:t>
            </w:r>
          </w:p>
        </w:tc>
      </w:tr>
      <w:tr>
        <w:tc>
          <w:tcPr>
            <w:tcW w:type="dxa" w:w="5626"/>
            <w:tcMar>
              <w:top w:type="dxa" w:w="40"/>
              <w:left w:type="dxa" w:w="90"/>
              <w:bottom w:type="dxa" w:w="40"/>
              <w:right w:type="dxa" w:w="90"/>
            </w:tcMar>
          </w:tcPr>
          <w:p>
            <w:pPr>
              <w:spacing w:after="0" w:line="252"/>
              <w:jc w:val="left"/>
            </w:pPr>
            <w:r>
              <w:rPr>
                <w:rFonts w:ascii="Calibri" w:cs="Calibri" w:eastAsia="Calibri" w:hAnsi="Calibri"/>
                <w:sz w:val="18"/>
                <w:szCs w:val="18"/>
              </w:rPr>
              <w:t xml:space="preserve">Trous et chevauchements de plages numériques</w:t>
            </w:r>
          </w:p>
        </w:tc>
        <w:tc>
          <w:tcPr>
            <w:tcW w:type="dxa" w:w="34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Aucun après correction</w:t>
            </w:r>
          </w:p>
        </w:tc>
      </w:tr>
      <w:tr>
        <w:tc>
          <w:tcPr>
            <w:tcW w:type="dxa" w:w="5626"/>
            <w:shd w:fill="F2F5FB" w:color="auto" w:val="clear"/>
            <w:tcMar>
              <w:top w:type="dxa" w:w="40"/>
              <w:left w:type="dxa" w:w="90"/>
              <w:bottom w:type="dxa" w:w="40"/>
              <w:right w:type="dxa" w:w="90"/>
            </w:tcMar>
          </w:tcPr>
          <w:p>
            <w:pPr>
              <w:spacing w:after="0" w:line="252"/>
              <w:jc w:val="left"/>
            </w:pPr>
            <w:r>
              <w:rPr>
                <w:rFonts w:ascii="Calibri" w:cs="Calibri" w:eastAsia="Calibri" w:hAnsi="Calibri"/>
                <w:sz w:val="18"/>
                <w:szCs w:val="18"/>
              </w:rPr>
              <w:t xml:space="preserve">Clés décisionnelles des alertes</w:t>
            </w:r>
          </w:p>
        </w:tc>
        <w:tc>
          <w:tcPr>
            <w:tcW w:type="dxa" w:w="3400"/>
            <w:shd w:fill="F2F5FB" w:color="auto" w:val="clear"/>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Inchangées (4 clés, toutes préexistantes)</w:t>
            </w:r>
          </w:p>
        </w:tc>
      </w:tr>
      <w:tr>
        <w:tc>
          <w:tcPr>
            <w:tcW w:type="dxa" w:w="5626"/>
            <w:tcMar>
              <w:top w:type="dxa" w:w="40"/>
              <w:left w:type="dxa" w:w="90"/>
              <w:bottom w:type="dxa" w:w="40"/>
              <w:right w:type="dxa" w:w="90"/>
            </w:tcMar>
          </w:tcPr>
          <w:p>
            <w:pPr>
              <w:spacing w:after="0" w:line="252"/>
              <w:jc w:val="left"/>
            </w:pPr>
            <w:r>
              <w:rPr>
                <w:rFonts w:ascii="Calibri" w:cs="Calibri" w:eastAsia="Calibri" w:hAnsi="Calibri"/>
                <w:sz w:val="18"/>
                <w:szCs w:val="18"/>
              </w:rPr>
              <w:t xml:space="preserve">Suite de tests automatisés</w:t>
            </w:r>
          </w:p>
        </w:tc>
        <w:tc>
          <w:tcPr>
            <w:tcW w:type="dxa" w:w="3400"/>
            <w:tcMar>
              <w:top w:type="dxa" w:w="40"/>
              <w:left w:type="dxa" w:w="90"/>
              <w:bottom w:type="dxa" w:w="40"/>
              <w:right w:type="dxa" w:w="90"/>
            </w:tcMar>
          </w:tcPr>
          <w:p>
            <w:pPr>
              <w:spacing w:after="0" w:line="252"/>
            </w:pPr>
            <w:r>
              <w:rPr>
                <w:rFonts w:ascii="Calibri" w:cs="Calibri" w:eastAsia="Calibri" w:hAnsi="Calibri"/>
                <w:color w:val="548235"/>
                <w:sz w:val="18"/>
                <w:szCs w:val="18"/>
              </w:rPr>
              <w:t xml:space="preserve">318 tests — tous verts</w:t>
            </w:r>
          </w:p>
        </w:tc>
      </w:tr>
    </w:tbl>
    <w:p>
      <w:pPr>
        <w:spacing w:after="120" w:before="0" w:line="276"/>
      </w:pPr>
      <w:r>
        <w:rPr>
          <w:rFonts w:ascii="Calibri" w:cs="Calibri" w:eastAsia="Calibri" w:hAnsi="Calibri"/>
          <w:b/>
          <w:bCs/>
          <w:sz w:val="21"/>
          <w:szCs w:val="21"/>
        </w:rPr>
        <w:t xml:space="preserve">Défaut détecté et corrigé. </w:t>
      </w:r>
      <w:r>
        <w:rPr>
          <w:rFonts w:ascii="Calibri" w:cs="Calibri" w:eastAsia="Calibri" w:hAnsi="Calibri"/>
          <w:i/>
          <w:iCs/>
          <w:sz w:val="21"/>
          <w:szCs w:val="21"/>
        </w:rPr>
        <w:t xml:space="preserve">Le contrôle de continuité des plages a révélé un trou hérité de la version précédente sur le critère d'impasse de trésorerie : une impasse comprise entre 0,0001 % et 0,01 % ne correspondait à aucune plage et recevait la note plancher. Les bandes ont été rendues contiguës dans v4.0.0.</w:t>
      </w:r>
    </w:p>
    <w:p>
      <w:pPr>
        <w:pStyle w:val="Heading1"/>
        <w:spacing w:after="120" w:before="0" w:line="276"/>
      </w:pPr>
      <w:r>
        <w:rPr>
          <w:rFonts w:ascii="Calibri" w:cs="Calibri" w:eastAsia="Calibri" w:hAnsi="Calibri"/>
          <w:sz w:val="21"/>
          <w:szCs w:val="21"/>
        </w:rPr>
        <w:t xml:space="preserve">12. Ce qui reste à instruire</w:t>
      </w:r>
    </w:p>
    <w:p>
      <w:pPr>
        <w:spacing w:after="120" w:before="0" w:line="276"/>
      </w:pPr>
      <w:r>
        <w:rPr>
          <w:rFonts w:ascii="Calibri" w:cs="Calibri" w:eastAsia="Calibri" w:hAnsi="Calibri"/>
          <w:sz w:val="21"/>
          <w:szCs w:val="21"/>
        </w:rPr>
        <w:t xml:space="preserve">Les points suivants relèvent de décisions de gouvernance ou de données que l'outil ne peut pas produire seul :</w:t>
      </w:r>
    </w:p>
    <w:p>
      <w:pPr>
        <w:pStyle w:val="ListParagraph"/>
        <w:numPr>
          <w:ilvl w:val="0"/>
          <w:numId w:val="2"/>
        </w:numPr>
        <w:spacing w:after="60" w:line="276"/>
      </w:pPr>
      <w:r>
        <w:rPr>
          <w:rFonts w:ascii="Calibri" w:cs="Calibri" w:eastAsia="Calibri" w:hAnsi="Calibri"/>
          <w:b/>
          <w:bCs/>
          <w:sz w:val="21"/>
          <w:szCs w:val="21"/>
        </w:rPr>
        <w:t xml:space="preserve">Calibration des facteurs : </w:t>
      </w:r>
      <w:r>
        <w:rPr>
          <w:rFonts w:ascii="Calibri" w:cs="Calibri" w:eastAsia="Calibri" w:hAnsi="Calibri"/>
          <w:sz w:val="21"/>
          <w:szCs w:val="21"/>
        </w:rPr>
        <w:t xml:space="preserve">facteurs de sécurisation du financement acquéreur, marge de sécurité sur la quotité de désengagement, paramètres de réalisation des sûretés — à caler sur l'historique de la banque.</w:t>
      </w:r>
    </w:p>
    <w:p>
      <w:pPr>
        <w:pStyle w:val="ListParagraph"/>
        <w:numPr>
          <w:ilvl w:val="0"/>
          <w:numId w:val="2"/>
        </w:numPr>
        <w:spacing w:after="60" w:line="276"/>
      </w:pPr>
      <w:r>
        <w:rPr>
          <w:rFonts w:ascii="Calibri" w:cs="Calibri" w:eastAsia="Calibri" w:hAnsi="Calibri"/>
          <w:b/>
          <w:bCs/>
          <w:sz w:val="21"/>
          <w:szCs w:val="21"/>
        </w:rPr>
        <w:t xml:space="preserve">Paramètres d'établissement : </w:t>
      </w:r>
      <w:r>
        <w:rPr>
          <w:rFonts w:ascii="Calibri" w:cs="Calibri" w:eastAsia="Calibri" w:hAnsi="Calibri"/>
          <w:sz w:val="21"/>
          <w:szCs w:val="21"/>
        </w:rPr>
        <w:t xml:space="preserve">fonds propres prudentiels et taux de limite de division des risques, à alimenter depuis le référentiel de l'établissement.</w:t>
      </w:r>
    </w:p>
    <w:p>
      <w:pPr>
        <w:pStyle w:val="ListParagraph"/>
        <w:numPr>
          <w:ilvl w:val="0"/>
          <w:numId w:val="2"/>
        </w:numPr>
        <w:spacing w:after="60" w:line="276"/>
      </w:pPr>
      <w:r>
        <w:rPr>
          <w:rFonts w:ascii="Calibri" w:cs="Calibri" w:eastAsia="Calibri" w:hAnsi="Calibri"/>
          <w:b/>
          <w:bCs/>
          <w:sz w:val="21"/>
          <w:szCs w:val="21"/>
        </w:rPr>
        <w:t xml:space="preserve">Référentiel daté des dispositifs d'aide : </w:t>
      </w:r>
      <w:r>
        <w:rPr>
          <w:rFonts w:ascii="Calibri" w:cs="Calibri" w:eastAsia="Calibri" w:hAnsi="Calibri"/>
          <w:sz w:val="21"/>
          <w:szCs w:val="21"/>
        </w:rPr>
        <w:t xml:space="preserve">montants, plafonds de prix et conditions d'éligibilité, à maintenir avec le Juridique.</w:t>
      </w:r>
    </w:p>
    <w:p>
      <w:pPr>
        <w:pStyle w:val="ListParagraph"/>
        <w:numPr>
          <w:ilvl w:val="0"/>
          <w:numId w:val="2"/>
        </w:numPr>
        <w:spacing w:after="60" w:line="276"/>
      </w:pPr>
      <w:r>
        <w:rPr>
          <w:rFonts w:ascii="Calibri" w:cs="Calibri" w:eastAsia="Calibri" w:hAnsi="Calibri"/>
          <w:b/>
          <w:bCs/>
          <w:sz w:val="21"/>
          <w:szCs w:val="21"/>
        </w:rPr>
        <w:t xml:space="preserve">Validation juridique : </w:t>
      </w:r>
      <w:r>
        <w:rPr>
          <w:rFonts w:ascii="Calibri" w:cs="Calibri" w:eastAsia="Calibri" w:hAnsi="Calibri"/>
          <w:sz w:val="21"/>
          <w:szCs w:val="21"/>
        </w:rPr>
        <w:t xml:space="preserve">la chaîne d'autorisations et la qualification des préventes doivent être confirmées article par article sur les contrats types de l'établissement.</w:t>
      </w:r>
    </w:p>
    <w:p>
      <w:pPr>
        <w:pStyle w:val="ListParagraph"/>
        <w:numPr>
          <w:ilvl w:val="0"/>
          <w:numId w:val="2"/>
        </w:numPr>
        <w:spacing w:after="60" w:line="276"/>
      </w:pPr>
      <w:r>
        <w:rPr>
          <w:rFonts w:ascii="Calibri" w:cs="Calibri" w:eastAsia="Calibri" w:hAnsi="Calibri"/>
          <w:b/>
          <w:bCs/>
          <w:sz w:val="21"/>
          <w:szCs w:val="21"/>
        </w:rPr>
        <w:t xml:space="preserve">Saisie opérationnelle : </w:t>
      </w:r>
      <w:r>
        <w:rPr>
          <w:rFonts w:ascii="Calibri" w:cs="Calibri" w:eastAsia="Calibri" w:hAnsi="Calibri"/>
          <w:sz w:val="21"/>
          <w:szCs w:val="21"/>
        </w:rPr>
        <w:t xml:space="preserve">statut de financement des acquéreurs et quotité de désengagement à renseigner au fil de l'eau pour que les nouveaux critères délivrent toute leur valeur.</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r>
    <w:r>
      <w:rPr>
        <w:rFonts w:ascii="Calibri" w:cs="Calibri" w:eastAsia="Calibri" w:hAnsi="Calibri"/>
        <w:color w:val="595959"/>
        <w:sz w:val="16"/>
        <w:szCs w:val="16"/>
      </w:rPr>
      <w:fldChar w:fldCharType="begin"/>
      <w:instrText xml:space="preserve">PAGE</w:instrText>
      <w:fldChar w:fldCharType="separate"/>
      <w:fldChar w:fldCharType="end"/>
    </w:r>
    <w:r>
      <w:rPr>
        <w:rFonts w:ascii="Calibri" w:cs="Calibri" w:eastAsia="Calibri" w:hAnsi="Calibri"/>
        <w:color w:val="595959"/>
        <w:sz w:val="16"/>
        <w:szCs w:val="16"/>
      </w:rPr>
      <w:t xml:space="preserve"> / </w:t>
    </w:r>
    <w:r>
      <w:rPr>
        <w:rFonts w:ascii="Calibri" w:cs="Calibri" w:eastAsia="Calibri" w:hAnsi="Calibri"/>
        <w:color w:val="59595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1F2" w:sz="4" w:space="4"/>
      </w:pBdr>
      <w:spacing w:after="0"/>
      <w:jc w:val="right"/>
    </w:pPr>
    <w:r>
      <w:rPr>
        <w:rFonts w:ascii="Calibri" w:cs="Calibri" w:eastAsia="Calibri" w:hAnsi="Calibri"/>
        <w:color w:val="595959"/>
        <w:sz w:val="15"/>
        <w:szCs w:val="15"/>
      </w:rPr>
      <w:t xml:space="preserve">Alignement Maroc — PI_PROMOTION v4.0.0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E1F2" w:sz="6" w:space="4"/>
      </w:pBdr>
      <w:spacing w:after="140" w:before="2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Alignement Maroc — diagnostic et modèle v4.0.0</dc:title>
  <dc:creator>Outil de scoring PI</dc:creator>
  <dc:description>Diagnostic d'alignement du modèle de scoring sur les pratiques de marché et bancaires marocaines, et spécification du modèle v4.0.0</dc:description>
  <cp:lastModifiedBy>Un-named</cp:lastModifiedBy>
  <cp:revision>1</cp:revision>
  <dcterms:created xsi:type="dcterms:W3CDTF">2026-09-28T06:55:23.244Z</dcterms:created>
  <dcterms:modified xsi:type="dcterms:W3CDTF">2026-09-28T06:55:23.244Z</dcterms:modified>
</cp:coreProperties>
</file>

<file path=docProps/custom.xml><?xml version="1.0" encoding="utf-8"?>
<Properties xmlns="http://schemas.openxmlformats.org/officeDocument/2006/custom-properties" xmlns:vt="http://schemas.openxmlformats.org/officeDocument/2006/docPropsVTypes"/>
</file>