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F3864"/>
          <w:sz w:val="52"/>
          <w:szCs w:val="52"/>
        </w:rPr>
        <w:t xml:space="preserve">MODÈLE DE SCORING</w:t>
      </w:r>
    </w:p>
    <w:p>
      <w:pPr>
        <w:spacing w:before="60"/>
        <w:jc w:val="center"/>
      </w:pPr>
      <w:r>
        <w:rPr>
          <w:rFonts w:ascii="Calibri" w:cs="Calibri" w:eastAsia="Calibri" w:hAnsi="Calibri"/>
          <w:b/>
          <w:bCs/>
          <w:color w:val="2E5496"/>
          <w:sz w:val="44"/>
          <w:szCs w:val="44"/>
        </w:rPr>
        <w:t xml:space="preserve">PROMOTION IMMOBILIÈRE — v4.0.0</w:t>
      </w:r>
    </w:p>
    <w:p>
      <w:pPr>
        <w:pBdr>
          <w:top w:val="single" w:color="D9E1F2" w:sz="12" w:space="8"/>
        </w:pBdr>
        <w:spacing w:before="240"/>
        <w:jc w:val="center"/>
      </w:pPr>
      <w:r>
        <w:rPr>
          <w:sz w:val="2"/>
          <w:szCs w:val="2"/>
        </w:rPr>
        <w:t xml:space="preserve"/>
      </w:r>
    </w:p>
    <w:p>
      <w:pPr>
        <w:spacing w:before="300"/>
        <w:jc w:val="center"/>
      </w:pPr>
      <w:r>
        <w:rPr>
          <w:rFonts w:ascii="Calibri" w:cs="Calibri" w:eastAsia="Calibri" w:hAnsi="Calibri"/>
          <w:i/>
          <w:iCs/>
          <w:color w:val="595959"/>
          <w:sz w:val="26"/>
          <w:szCs w:val="26"/>
        </w:rPr>
        <w:t xml:space="preserve">Référence à jour · Perspectives d'évolution · Outil Excel / VBA</w:t>
      </w:r>
    </w:p>
    <w:p>
      <w:pPr>
        <w:spacing w:before="1300"/>
        <w:jc w:val="center"/>
      </w:pPr>
      <w:r>
        <w:rPr>
          <w:rFonts w:ascii="Calibri" w:cs="Calibri" w:eastAsia="Calibri" w:hAnsi="Calibri"/>
          <w:b/>
          <w:bCs/>
          <w:color w:val="1F3864"/>
          <w:sz w:val="24"/>
          <w:szCs w:val="24"/>
        </w:rPr>
        <w:t xml:space="preserve">29 critères · 13 alertes · 4 domaines · échelle 1–10</w:t>
      </w:r>
    </w:p>
    <w:p>
      <w:pPr>
        <w:spacing w:before="40"/>
        <w:jc w:val="center"/>
      </w:pPr>
      <w:r>
        <w:rPr>
          <w:rFonts w:ascii="Calibri" w:cs="Calibri" w:eastAsia="Calibri" w:hAnsi="Calibri"/>
          <w:color w:val="595959"/>
          <w:sz w:val="20"/>
          <w:szCs w:val="20"/>
        </w:rPr>
        <w:t xml:space="preserve">29 septembre 2026</w:t>
      </w:r>
    </w:p>
    <w:p>
      <w:r>
        <w:br w:type="page"/>
      </w:r>
    </w:p>
    <w:p>
      <w:pPr>
        <w:pStyle w:val="Heading1"/>
        <w:spacing w:after="120" w:before="0" w:line="276"/>
      </w:pPr>
      <w:r>
        <w:rPr>
          <w:rFonts w:ascii="Calibri" w:cs="Calibri" w:eastAsia="Calibri" w:hAnsi="Calibri"/>
          <w:sz w:val="21"/>
          <w:szCs w:val="21"/>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0" w:line="276"/>
      </w:pPr>
      <w:r>
        <w:rPr>
          <w:rFonts w:ascii="Calibri" w:cs="Calibri" w:eastAsia="Calibri" w:hAnsi="Calibri"/>
          <w:sz w:val="21"/>
          <w:szCs w:val="21"/>
        </w:rPr>
        <w:t xml:space="preserve">1. Le modèle à jour (v4.0.0)</w:t>
      </w:r>
    </w:p>
    <w:p>
      <w:pPr>
        <w:spacing w:after="120" w:before="0" w:line="276"/>
      </w:pPr>
      <w:r>
        <w:rPr>
          <w:rFonts w:ascii="Calibri" w:cs="Calibri" w:eastAsia="Calibri" w:hAnsi="Calibri"/>
          <w:sz w:val="21"/>
          <w:szCs w:val="21"/>
        </w:rPr>
        <w:t xml:space="preserve">Cette section restitue le modèle tel qu'il est publié en production. Les tableaux sont générés directement depuis la configuration publiée en base : ils ne peuvent pas diverger de l'application.</w:t>
      </w:r>
    </w:p>
    <w:p>
      <w:pPr>
        <w:pStyle w:val="Heading2"/>
        <w:spacing w:after="120" w:before="0" w:line="276"/>
      </w:pPr>
      <w:r>
        <w:rPr>
          <w:rFonts w:ascii="Calibri" w:cs="Calibri" w:eastAsia="Calibri" w:hAnsi="Calibri"/>
          <w:sz w:val="21"/>
          <w:szCs w:val="21"/>
        </w:rPr>
        <w:t xml:space="preserve">1.1 Architecture et chaîne de calcul</w:t>
      </w:r>
    </w:p>
    <w:p>
      <w:pPr>
        <w:spacing w:after="120" w:before="0" w:line="276"/>
      </w:pPr>
      <w:r>
        <w:rPr>
          <w:rFonts w:ascii="Calibri" w:cs="Calibri" w:eastAsia="Calibri" w:hAnsi="Calibri"/>
          <w:sz w:val="21"/>
          <w:szCs w:val="21"/>
        </w:rPr>
        <w:t xml:space="preserve">Le modèle note un projet de promotion sur quatre domaines pondérés (D1 à D4). Chaque critère reçoit une note de 1 à 10 selon un barème ; les notes sont agrégées en score de domaine sur 100, puis en score économique. Une couche d'alertes (D5) retranche des malus ou déclenche la souffrance automatique, sans entrer dans le score de base.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2200"/>
        <w:gridCol w:w="6826"/>
      </w:tblGrid>
      <w:tr>
        <w:trPr>
          <w:cantSplit/>
          <w:tblHeader/>
        </w:trPr>
        <w:tc>
          <w:tcPr>
            <w:tcW w:type="dxa" w:w="22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Étape</w:t>
            </w:r>
          </w:p>
        </w:tc>
        <w:tc>
          <w:tcPr>
            <w:tcW w:type="dxa" w:w="68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Calcul</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sz w:val="17"/>
                <w:szCs w:val="17"/>
              </w:rPr>
              <w:t xml:space="preserve">1. Note de critère</w:t>
            </w:r>
          </w:p>
        </w:tc>
        <w:tc>
          <w:tcPr>
            <w:tcW w:type="dxa" w:w="6826"/>
            <w:tcMar>
              <w:top w:type="dxa" w:w="40"/>
              <w:left w:type="dxa" w:w="80"/>
              <w:bottom w:type="dxa" w:w="40"/>
              <w:right w:type="dxa" w:w="80"/>
            </w:tcMar>
          </w:tcPr>
          <w:p>
            <w:pPr>
              <w:spacing w:after="0" w:line="240"/>
            </w:pPr>
            <w:r>
              <w:rPr>
                <w:rFonts w:ascii="Calibri" w:cs="Calibri" w:eastAsia="Calibri" w:hAnsi="Calibri"/>
                <w:sz w:val="17"/>
                <w:szCs w:val="17"/>
              </w:rPr>
              <w:t xml:space="preserve">Plage (borne basse incluse, haute exclue) ou modalité → note de 1 à 10. Valeur absente : note plancher du barème, jamais 0 « neutre ».</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2. Score de domaine</w:t>
            </w:r>
          </w:p>
        </w:tc>
        <w:tc>
          <w:tcPr>
            <w:tcW w:type="dxa" w:w="68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(Σ note × poids / Σ poids) ÷ 10 × 100</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sz w:val="17"/>
                <w:szCs w:val="17"/>
              </w:rPr>
              <w:t xml:space="preserve">3. Score économique</w:t>
            </w:r>
          </w:p>
        </w:tc>
        <w:tc>
          <w:tcPr>
            <w:tcW w:type="dxa" w:w="6826"/>
            <w:tcMar>
              <w:top w:type="dxa" w:w="40"/>
              <w:left w:type="dxa" w:w="80"/>
              <w:bottom w:type="dxa" w:w="40"/>
              <w:right w:type="dxa" w:w="80"/>
            </w:tcMar>
          </w:tcPr>
          <w:p>
            <w:pPr>
              <w:spacing w:after="0" w:line="240"/>
            </w:pPr>
            <w:r>
              <w:rPr>
                <w:rFonts w:ascii="Calibri" w:cs="Calibri" w:eastAsia="Calibri" w:hAnsi="Calibri"/>
                <w:sz w:val="17"/>
                <w:szCs w:val="17"/>
              </w:rPr>
              <w:t xml:space="preserve">S_éco = 0,25·D1 + 0,20·D2 + 0,31·D3 + 0,24·D4</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4. Ajustement</w:t>
            </w:r>
          </w:p>
        </w:tc>
        <w:tc>
          <w:tcPr>
            <w:tcW w:type="dxa" w:w="68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S_adj = S_éco × (1 + α segment + β zone), borné à [0 ; 100]</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sz w:val="17"/>
                <w:szCs w:val="17"/>
              </w:rPr>
              <w:t xml:space="preserve">5. Alertes D5</w:t>
            </w:r>
          </w:p>
        </w:tc>
        <w:tc>
          <w:tcPr>
            <w:tcW w:type="dxa" w:w="6826"/>
            <w:tcMar>
              <w:top w:type="dxa" w:w="40"/>
              <w:left w:type="dxa" w:w="80"/>
              <w:bottom w:type="dxa" w:w="40"/>
              <w:right w:type="dxa" w:w="80"/>
            </w:tcMar>
          </w:tcPr>
          <w:p>
            <w:pPr>
              <w:spacing w:after="0" w:line="240"/>
            </w:pPr>
            <w:r>
              <w:rPr>
                <w:rFonts w:ascii="Calibri" w:cs="Calibri" w:eastAsia="Calibri" w:hAnsi="Calibri"/>
                <w:sz w:val="17"/>
                <w:szCs w:val="17"/>
              </w:rPr>
              <w:t xml:space="preserve">Malus cumulés M ; alertes bloquantes = souffrance automatique ; alerte non bloquante dont la donnée numérique est absente : malus appliqué par prudence</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6. Après pénalités</w:t>
            </w:r>
          </w:p>
        </w:tc>
        <w:tc>
          <w:tcPr>
            <w:tcW w:type="dxa" w:w="68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 = borne(S_adj − M, 0, 100)</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sz w:val="17"/>
                <w:szCs w:val="17"/>
              </w:rPr>
              <w:t xml:space="preserve">7. Coefficient BAM</w:t>
            </w:r>
          </w:p>
        </w:tc>
        <w:tc>
          <w:tcPr>
            <w:tcW w:type="dxa" w:w="6826"/>
            <w:tcMar>
              <w:top w:type="dxa" w:w="40"/>
              <w:left w:type="dxa" w:w="80"/>
              <w:bottom w:type="dxa" w:w="40"/>
              <w:right w:type="dxa" w:w="80"/>
            </w:tcMar>
          </w:tcPr>
          <w:p>
            <w:pPr>
              <w:spacing w:after="0" w:line="240"/>
            </w:pPr>
            <w:r>
              <w:rPr>
                <w:rFonts w:ascii="Calibri" w:cs="Calibri" w:eastAsia="Calibri" w:hAnsi="Calibri"/>
                <w:sz w:val="17"/>
                <w:szCs w:val="17"/>
              </w:rPr>
              <w:t xml:space="preserve">S_final = S × coefficient de la classe réglementaire (SAIN 1,0 · SENSIBLE 0,9 · PRÉ-DOUTEUX 0,7 · DOUTEUX 0,4 · COMPROMIS 0,2 · CTX 0)</w:t>
            </w:r>
          </w:p>
        </w:tc>
      </w:tr>
      <w:tr>
        <w:trPr>
          <w:cantSplit/>
        </w:trPr>
        <w:tc>
          <w:tcPr>
            <w:tcW w:type="dxa" w:w="22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8. Décision</w:t>
            </w:r>
          </w:p>
        </w:tc>
        <w:tc>
          <w:tcPr>
            <w:tcW w:type="dxa" w:w="68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Hiérarchie de verrous (ci-dessous), puis seuils 75 / 65 / 50</w:t>
            </w:r>
          </w:p>
        </w:tc>
      </w:tr>
      <w:tr>
        <w:trPr>
          <w:cantSplit/>
        </w:trPr>
        <w:tc>
          <w:tcPr>
            <w:tcW w:type="dxa" w:w="2200"/>
            <w:tcMar>
              <w:top w:type="dxa" w:w="40"/>
              <w:left w:type="dxa" w:w="80"/>
              <w:bottom w:type="dxa" w:w="40"/>
              <w:right w:type="dxa" w:w="80"/>
            </w:tcMar>
          </w:tcPr>
          <w:p>
            <w:pPr>
              <w:spacing w:after="0" w:line="240"/>
            </w:pPr>
            <w:r>
              <w:rPr>
                <w:rFonts w:ascii="Calibri" w:cs="Calibri" w:eastAsia="Calibri" w:hAnsi="Calibri"/>
                <w:sz w:val="17"/>
                <w:szCs w:val="17"/>
              </w:rPr>
              <w:t xml:space="preserve">9. PD proxy</w:t>
            </w:r>
          </w:p>
        </w:tc>
        <w:tc>
          <w:tcPr>
            <w:tcW w:type="dxa" w:w="6826"/>
            <w:tcMar>
              <w:top w:type="dxa" w:w="40"/>
              <w:left w:type="dxa" w:w="80"/>
              <w:bottom w:type="dxa" w:w="40"/>
              <w:right w:type="dxa" w:w="80"/>
            </w:tcMar>
          </w:tcPr>
          <w:p>
            <w:pPr>
              <w:spacing w:after="0" w:line="240"/>
            </w:pPr>
            <w:r>
              <w:rPr>
                <w:rFonts w:ascii="Calibri" w:cs="Calibri" w:eastAsia="Calibri" w:hAnsi="Calibri"/>
                <w:sz w:val="17"/>
                <w:szCs w:val="17"/>
              </w:rPr>
              <w:t xml:space="preserve">PD = 1 / (1 + e^−(2,223 − 0,0802 × S_final)) — indicative, non calibrée</w:t>
            </w:r>
          </w:p>
        </w:tc>
      </w:tr>
    </w:tbl>
    <w:p>
      <w:pPr>
        <w:pStyle w:val="Heading2"/>
        <w:spacing w:after="120" w:before="0" w:line="276"/>
      </w:pPr>
      <w:r>
        <w:rPr>
          <w:rFonts w:ascii="Calibri" w:cs="Calibri" w:eastAsia="Calibri" w:hAnsi="Calibri"/>
          <w:sz w:val="21"/>
          <w:szCs w:val="21"/>
        </w:rPr>
        <w:t xml:space="preserve">1.2 Hiérarchie de décision</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900"/>
        <w:gridCol w:w="3700"/>
        <w:gridCol w:w="2500"/>
        <w:gridCol w:w="1926"/>
      </w:tblGrid>
      <w:tr>
        <w:trPr>
          <w:cantSplit/>
          <w:tblHeader/>
        </w:trPr>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Priorité</w:t>
            </w:r>
          </w:p>
        </w:tc>
        <w:tc>
          <w:tcPr>
            <w:tcW w:type="dxa" w:w="3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Situation</w:t>
            </w:r>
          </w:p>
        </w:tc>
        <w:tc>
          <w:tcPr>
            <w:tcW w:type="dxa" w:w="2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Décision</w:t>
            </w:r>
          </w:p>
        </w:tc>
        <w:tc>
          <w:tcPr>
            <w:tcW w:type="dxa" w:w="19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Classe interne</w:t>
            </w:r>
          </w:p>
        </w:tc>
      </w:tr>
      <w:tr>
        <w:trPr>
          <w:cantSplit/>
        </w:trPr>
        <w:tc>
          <w:tcPr>
            <w:tcW w:type="dxa" w:w="900"/>
            <w:tcMar>
              <w:top w:type="dxa" w:w="40"/>
              <w:left w:type="dxa" w:w="80"/>
              <w:bottom w:type="dxa" w:w="40"/>
              <w:right w:type="dxa" w:w="80"/>
            </w:tcMar>
          </w:tcPr>
          <w:p>
            <w:pPr>
              <w:spacing w:after="0" w:line="240"/>
            </w:pPr>
            <w:r>
              <w:rPr>
                <w:rFonts w:ascii="Calibri" w:cs="Calibri" w:eastAsia="Calibri" w:hAnsi="Calibri"/>
                <w:sz w:val="17"/>
                <w:szCs w:val="17"/>
              </w:rPr>
              <w:t xml:space="preserve">1</w:t>
            </w:r>
          </w:p>
        </w:tc>
        <w:tc>
          <w:tcPr>
            <w:tcW w:type="dxa" w:w="3700"/>
            <w:tcMar>
              <w:top w:type="dxa" w:w="40"/>
              <w:left w:type="dxa" w:w="80"/>
              <w:bottom w:type="dxa" w:w="40"/>
              <w:right w:type="dxa" w:w="80"/>
            </w:tcMar>
          </w:tcPr>
          <w:p>
            <w:pPr>
              <w:spacing w:after="0" w:line="240"/>
            </w:pPr>
            <w:r>
              <w:rPr>
                <w:rFonts w:ascii="Calibri" w:cs="Calibri" w:eastAsia="Calibri" w:hAnsi="Calibri"/>
                <w:sz w:val="17"/>
                <w:szCs w:val="17"/>
              </w:rPr>
              <w:t xml:space="preserve">Classe contentieux (CTX)</w:t>
            </w:r>
          </w:p>
        </w:tc>
        <w:tc>
          <w:tcPr>
            <w:tcW w:type="dxa" w:w="25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NO_GO — score 0</w:t>
            </w:r>
          </w:p>
        </w:tc>
        <w:tc>
          <w:tcPr>
            <w:tcW w:type="dxa" w:w="1926"/>
            <w:tcMar>
              <w:top w:type="dxa" w:w="40"/>
              <w:left w:type="dxa" w:w="80"/>
              <w:bottom w:type="dxa" w:w="40"/>
              <w:right w:type="dxa" w:w="80"/>
            </w:tcMar>
          </w:tcPr>
          <w:p>
            <w:pPr>
              <w:spacing w:after="0" w:line="240"/>
            </w:pPr>
            <w:r>
              <w:rPr>
                <w:rFonts w:ascii="Calibri" w:cs="Calibri" w:eastAsia="Calibri" w:hAnsi="Calibri"/>
                <w:sz w:val="17"/>
                <w:szCs w:val="17"/>
              </w:rPr>
              <w:t xml:space="preserve">Souffrance</w:t>
            </w:r>
          </w:p>
        </w:tc>
      </w:tr>
      <w:tr>
        <w:trPr>
          <w:cantSplit/>
        </w:trPr>
        <w:tc>
          <w:tcPr>
            <w:tcW w:type="dxa" w:w="9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2</w:t>
            </w:r>
          </w:p>
        </w:tc>
        <w:tc>
          <w:tcPr>
            <w:tcW w:type="dxa" w:w="37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Alerte bloquante (impayé ≥ 90 j, arrêt ≥ 12 mois, litige)</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NO_GO</w:t>
            </w:r>
          </w:p>
        </w:tc>
        <w:tc>
          <w:tcPr>
            <w:tcW w:type="dxa" w:w="19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Souffrance</w:t>
            </w:r>
          </w:p>
        </w:tc>
      </w:tr>
      <w:tr>
        <w:trPr>
          <w:cantSplit/>
        </w:trPr>
        <w:tc>
          <w:tcPr>
            <w:tcW w:type="dxa" w:w="900"/>
            <w:tcMar>
              <w:top w:type="dxa" w:w="40"/>
              <w:left w:type="dxa" w:w="80"/>
              <w:bottom w:type="dxa" w:w="40"/>
              <w:right w:type="dxa" w:w="80"/>
            </w:tcMar>
          </w:tcPr>
          <w:p>
            <w:pPr>
              <w:spacing w:after="0" w:line="240"/>
            </w:pPr>
            <w:r>
              <w:rPr>
                <w:rFonts w:ascii="Calibri" w:cs="Calibri" w:eastAsia="Calibri" w:hAnsi="Calibri"/>
                <w:sz w:val="17"/>
                <w:szCs w:val="17"/>
              </w:rPr>
              <w:t xml:space="preserve">3</w:t>
            </w:r>
          </w:p>
        </w:tc>
        <w:tc>
          <w:tcPr>
            <w:tcW w:type="dxa" w:w="3700"/>
            <w:tcMar>
              <w:top w:type="dxa" w:w="40"/>
              <w:left w:type="dxa" w:w="80"/>
              <w:bottom w:type="dxa" w:w="40"/>
              <w:right w:type="dxa" w:w="80"/>
            </w:tcMar>
          </w:tcPr>
          <w:p>
            <w:pPr>
              <w:spacing w:after="0" w:line="240"/>
            </w:pPr>
            <w:r>
              <w:rPr>
                <w:rFonts w:ascii="Calibri" w:cs="Calibri" w:eastAsia="Calibri" w:hAnsi="Calibri"/>
                <w:sz w:val="17"/>
                <w:szCs w:val="17"/>
              </w:rPr>
              <w:t xml:space="preserve">Classe en défaut avéré (pré-douteux, douteux, compromis)</w:t>
            </w:r>
          </w:p>
        </w:tc>
        <w:tc>
          <w:tcPr>
            <w:tcW w:type="dxa" w:w="25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NO_GO</w:t>
            </w:r>
          </w:p>
        </w:tc>
        <w:tc>
          <w:tcPr>
            <w:tcW w:type="dxa" w:w="1926"/>
            <w:tcMar>
              <w:top w:type="dxa" w:w="40"/>
              <w:left w:type="dxa" w:w="80"/>
              <w:bottom w:type="dxa" w:w="40"/>
              <w:right w:type="dxa" w:w="80"/>
            </w:tcMar>
          </w:tcPr>
          <w:p>
            <w:pPr>
              <w:spacing w:after="0" w:line="240"/>
            </w:pPr>
            <w:r>
              <w:rPr>
                <w:rFonts w:ascii="Calibri" w:cs="Calibri" w:eastAsia="Calibri" w:hAnsi="Calibri"/>
                <w:sz w:val="17"/>
                <w:szCs w:val="17"/>
              </w:rPr>
              <w:t xml:space="preserve">Défaut avéré</w:t>
            </w:r>
          </w:p>
        </w:tc>
      </w:tr>
      <w:tr>
        <w:trPr>
          <w:cantSplit/>
        </w:trPr>
        <w:tc>
          <w:tcPr>
            <w:tcW w:type="dxa" w:w="9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4</w:t>
            </w:r>
          </w:p>
        </w:tc>
        <w:tc>
          <w:tcPr>
            <w:tcW w:type="dxa" w:w="37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Donnée décisionnelle absente, ou classe non renseignée</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b/>
                <w:bCs/>
                <w:color w:val="595959"/>
                <w:sz w:val="17"/>
                <w:szCs w:val="17"/>
              </w:rPr>
              <w:t xml:space="preserve">DOSSIER_INCOMPLET</w:t>
            </w:r>
          </w:p>
        </w:tc>
        <w:tc>
          <w:tcPr>
            <w:tcW w:type="dxa" w:w="19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Dossier incomplet</w:t>
            </w:r>
          </w:p>
        </w:tc>
      </w:tr>
      <w:tr>
        <w:trPr>
          <w:cantSplit/>
        </w:trPr>
        <w:tc>
          <w:tcPr>
            <w:tcW w:type="dxa" w:w="900"/>
            <w:tcMar>
              <w:top w:type="dxa" w:w="40"/>
              <w:left w:type="dxa" w:w="80"/>
              <w:bottom w:type="dxa" w:w="40"/>
              <w:right w:type="dxa" w:w="80"/>
            </w:tcMar>
          </w:tcPr>
          <w:p>
            <w:pPr>
              <w:spacing w:after="0" w:line="240"/>
            </w:pPr>
            <w:r>
              <w:rPr>
                <w:rFonts w:ascii="Calibri" w:cs="Calibri" w:eastAsia="Calibri" w:hAnsi="Calibri"/>
                <w:sz w:val="17"/>
                <w:szCs w:val="17"/>
              </w:rPr>
              <w:t xml:space="preserve">5</w:t>
            </w:r>
          </w:p>
        </w:tc>
        <w:tc>
          <w:tcPr>
            <w:tcW w:type="dxa" w:w="3700"/>
            <w:tcMar>
              <w:top w:type="dxa" w:w="40"/>
              <w:left w:type="dxa" w:w="80"/>
              <w:bottom w:type="dxa" w:w="40"/>
              <w:right w:type="dxa" w:w="80"/>
            </w:tcMar>
          </w:tcPr>
          <w:p>
            <w:pPr>
              <w:spacing w:after="0" w:line="240"/>
            </w:pPr>
            <w:r>
              <w:rPr>
                <w:rFonts w:ascii="Calibri" w:cs="Calibri" w:eastAsia="Calibri" w:hAnsi="Calibri"/>
                <w:sz w:val="17"/>
                <w:szCs w:val="17"/>
              </w:rPr>
              <w:t xml:space="preserve">Critère éliminatoire franchi (gate)</w:t>
            </w:r>
          </w:p>
        </w:tc>
        <w:tc>
          <w:tcPr>
            <w:tcW w:type="dxa" w:w="2500"/>
            <w:tcMar>
              <w:top w:type="dxa" w:w="40"/>
              <w:left w:type="dxa" w:w="80"/>
              <w:bottom w:type="dxa" w:w="40"/>
              <w:right w:type="dxa" w:w="80"/>
            </w:tcMar>
          </w:tcPr>
          <w:p>
            <w:pPr>
              <w:spacing w:after="0" w:line="240"/>
            </w:pPr>
            <w:r>
              <w:rPr>
                <w:rFonts w:ascii="Calibri" w:cs="Calibri" w:eastAsia="Calibri" w:hAnsi="Calibri"/>
                <w:color w:val="C00000"/>
                <w:sz w:val="17"/>
                <w:szCs w:val="17"/>
              </w:rPr>
              <w:t xml:space="preserve">NO_GO</w:t>
            </w:r>
          </w:p>
        </w:tc>
        <w:tc>
          <w:tcPr>
            <w:tcW w:type="dxa" w:w="1926"/>
            <w:tcMar>
              <w:top w:type="dxa" w:w="40"/>
              <w:left w:type="dxa" w:w="80"/>
              <w:bottom w:type="dxa" w:w="40"/>
              <w:right w:type="dxa" w:w="80"/>
            </w:tcMar>
          </w:tcPr>
          <w:p>
            <w:pPr>
              <w:spacing w:after="0" w:line="240"/>
            </w:pPr>
            <w:r>
              <w:rPr>
                <w:rFonts w:ascii="Calibri" w:cs="Calibri" w:eastAsia="Calibri" w:hAnsi="Calibri"/>
                <w:sz w:val="17"/>
                <w:szCs w:val="17"/>
              </w:rPr>
              <w:t xml:space="preserve">selon le score</w:t>
            </w:r>
          </w:p>
        </w:tc>
      </w:tr>
      <w:tr>
        <w:trPr>
          <w:cantSplit/>
        </w:trPr>
        <w:tc>
          <w:tcPr>
            <w:tcW w:type="dxa" w:w="9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6</w:t>
            </w:r>
          </w:p>
        </w:tc>
        <w:tc>
          <w:tcPr>
            <w:tcW w:type="dxa" w:w="37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Score ≥ 75 · ≥ 65 · ≥ 50 · &lt; 50</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GO · GO sous conditions · Watch list · NO_GO</w:t>
            </w:r>
          </w:p>
        </w:tc>
        <w:tc>
          <w:tcPr>
            <w:tcW w:type="dxa" w:w="19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Sain · Surveillance · Sensible probable · Sensible</w:t>
            </w:r>
          </w:p>
        </w:tc>
      </w:tr>
    </w:tbl>
    <w:p>
      <w:pPr>
        <w:spacing w:after="120" w:before="120" w:line="276"/>
      </w:pPr>
      <w:r>
        <w:rPr>
          <w:rFonts w:ascii="Calibri" w:cs="Calibri" w:eastAsia="Calibri" w:hAnsi="Calibri"/>
          <w:b/>
          <w:bCs/>
          <w:sz w:val="21"/>
          <w:szCs w:val="21"/>
        </w:rPr>
        <w:t xml:space="preserve">Invariant : </w:t>
      </w:r>
      <w:r>
        <w:rPr>
          <w:rFonts w:ascii="Calibri" w:cs="Calibri" w:eastAsia="Calibri" w:hAnsi="Calibri"/>
          <w:i/>
          <w:iCs/>
          <w:sz w:val="21"/>
          <w:szCs w:val="21"/>
        </w:rPr>
        <w:t xml:space="preserve">supprimer une information défavorable ne peut jamais améliorer la décision.</w:t>
      </w:r>
    </w:p>
    <w:p>
      <w:pPr>
        <w:pStyle w:val="Heading2"/>
        <w:spacing w:after="120" w:before="0" w:line="276"/>
      </w:pPr>
      <w:r>
        <w:rPr>
          <w:rFonts w:ascii="Calibri" w:cs="Calibri" w:eastAsia="Calibri" w:hAnsi="Calibri"/>
          <w:sz w:val="21"/>
          <w:szCs w:val="21"/>
        </w:rPr>
        <w:t xml:space="preserve">1.3 Domaines</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900"/>
        <w:gridCol w:w="5326"/>
        <w:gridCol w:w="1400"/>
        <w:gridCol w:w="1400"/>
      </w:tblGrid>
      <w:tr>
        <w:trPr>
          <w:cantSplit/>
          <w:tblHeader/>
        </w:trPr>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Code</w:t>
            </w:r>
          </w:p>
        </w:tc>
        <w:tc>
          <w:tcPr>
            <w:tcW w:type="dxa" w:w="53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Domaine</w:t>
            </w:r>
          </w:p>
        </w:tc>
        <w:tc>
          <w:tcPr>
            <w:tcW w:type="dxa" w:w="1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Poids</w:t>
            </w:r>
          </w:p>
        </w:tc>
        <w:tc>
          <w:tcPr>
            <w:tcW w:type="dxa" w:w="1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Critères</w:t>
            </w:r>
          </w:p>
        </w:tc>
      </w:tr>
      <w:tr>
        <w:trPr>
          <w:cantSplit/>
        </w:trPr>
        <w:tc>
          <w:tcPr>
            <w:tcW w:type="dxa" w:w="900"/>
            <w:tcMar>
              <w:top w:type="dxa" w:w="40"/>
              <w:left w:type="dxa" w:w="80"/>
              <w:bottom w:type="dxa" w:w="40"/>
              <w:right w:type="dxa" w:w="80"/>
            </w:tcMar>
          </w:tcPr>
          <w:p>
            <w:pPr>
              <w:spacing w:after="0" w:line="240"/>
            </w:pPr>
            <w:r>
              <w:rPr>
                <w:rFonts w:ascii="Calibri" w:cs="Calibri" w:eastAsia="Calibri" w:hAnsi="Calibri"/>
                <w:b/>
                <w:bCs/>
                <w:sz w:val="17"/>
                <w:szCs w:val="17"/>
              </w:rPr>
              <w:t xml:space="preserve">D1</w:t>
            </w:r>
          </w:p>
        </w:tc>
        <w:tc>
          <w:tcPr>
            <w:tcW w:type="dxa" w:w="5326"/>
            <w:tcMar>
              <w:top w:type="dxa" w:w="40"/>
              <w:left w:type="dxa" w:w="80"/>
              <w:bottom w:type="dxa" w:w="40"/>
              <w:right w:type="dxa" w:w="80"/>
            </w:tcMar>
          </w:tcPr>
          <w:p>
            <w:pPr>
              <w:spacing w:after="0" w:line="240"/>
            </w:pPr>
            <w:r>
              <w:rPr>
                <w:rFonts w:ascii="Calibri" w:cs="Calibri" w:eastAsia="Calibri" w:hAnsi="Calibri"/>
                <w:sz w:val="17"/>
                <w:szCs w:val="17"/>
              </w:rPr>
              <w:t xml:space="preserve">Sponsor &amp; Gouvernance</w:t>
            </w:r>
          </w:p>
        </w:tc>
        <w:tc>
          <w:tcPr>
            <w:tcW w:type="dxa" w:w="1400"/>
            <w:tcMar>
              <w:top w:type="dxa" w:w="40"/>
              <w:left w:type="dxa" w:w="80"/>
              <w:bottom w:type="dxa" w:w="40"/>
              <w:right w:type="dxa" w:w="80"/>
            </w:tcMar>
          </w:tcPr>
          <w:p>
            <w:pPr>
              <w:spacing w:after="0" w:line="240"/>
              <w:jc w:val="center"/>
            </w:pPr>
            <w:r>
              <w:rPr>
                <w:rFonts w:ascii="Calibri" w:cs="Calibri" w:eastAsia="Calibri" w:hAnsi="Calibri"/>
                <w:sz w:val="17"/>
                <w:szCs w:val="17"/>
              </w:rPr>
              <w:t xml:space="preserve">25 %</w:t>
            </w:r>
          </w:p>
        </w:tc>
        <w:tc>
          <w:tcPr>
            <w:tcW w:type="dxa" w:w="1400"/>
            <w:tcMar>
              <w:top w:type="dxa" w:w="40"/>
              <w:left w:type="dxa" w:w="80"/>
              <w:bottom w:type="dxa" w:w="40"/>
              <w:right w:type="dxa" w:w="80"/>
            </w:tcMar>
          </w:tcPr>
          <w:p>
            <w:pPr>
              <w:spacing w:after="0" w:line="240"/>
              <w:jc w:val="center"/>
            </w:pPr>
            <w:r>
              <w:rPr>
                <w:rFonts w:ascii="Calibri" w:cs="Calibri" w:eastAsia="Calibri" w:hAnsi="Calibri"/>
                <w:sz w:val="17"/>
                <w:szCs w:val="17"/>
              </w:rPr>
              <w:t xml:space="preserve">6</w:t>
            </w:r>
          </w:p>
        </w:tc>
      </w:tr>
      <w:tr>
        <w:trPr>
          <w:cantSplit/>
        </w:trPr>
        <w:tc>
          <w:tcPr>
            <w:tcW w:type="dxa" w:w="9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D2</w:t>
            </w:r>
          </w:p>
        </w:tc>
        <w:tc>
          <w:tcPr>
            <w:tcW w:type="dxa" w:w="53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Qualité intrinsèque du projet</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20 %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8</w:t>
            </w:r>
          </w:p>
        </w:tc>
      </w:tr>
      <w:tr>
        <w:trPr>
          <w:cantSplit/>
        </w:trPr>
        <w:tc>
          <w:tcPr>
            <w:tcW w:type="dxa" w:w="900"/>
            <w:tcMar>
              <w:top w:type="dxa" w:w="40"/>
              <w:left w:type="dxa" w:w="80"/>
              <w:bottom w:type="dxa" w:w="40"/>
              <w:right w:type="dxa" w:w="80"/>
            </w:tcMar>
          </w:tcPr>
          <w:p>
            <w:pPr>
              <w:spacing w:after="0" w:line="240"/>
            </w:pPr>
            <w:r>
              <w:rPr>
                <w:rFonts w:ascii="Calibri" w:cs="Calibri" w:eastAsia="Calibri" w:hAnsi="Calibri"/>
                <w:b/>
                <w:bCs/>
                <w:sz w:val="17"/>
                <w:szCs w:val="17"/>
              </w:rPr>
              <w:t xml:space="preserve">D3</w:t>
            </w:r>
          </w:p>
        </w:tc>
        <w:tc>
          <w:tcPr>
            <w:tcW w:type="dxa" w:w="5326"/>
            <w:tcMar>
              <w:top w:type="dxa" w:w="40"/>
              <w:left w:type="dxa" w:w="80"/>
              <w:bottom w:type="dxa" w:w="40"/>
              <w:right w:type="dxa" w:w="80"/>
            </w:tcMar>
          </w:tcPr>
          <w:p>
            <w:pPr>
              <w:spacing w:after="0" w:line="240"/>
            </w:pPr>
            <w:r>
              <w:rPr>
                <w:rFonts w:ascii="Calibri" w:cs="Calibri" w:eastAsia="Calibri" w:hAnsi="Calibri"/>
                <w:sz w:val="17"/>
                <w:szCs w:val="17"/>
              </w:rPr>
              <w:t xml:space="preserve">Commercial &amp; Cash-flow</w:t>
            </w:r>
          </w:p>
        </w:tc>
        <w:tc>
          <w:tcPr>
            <w:tcW w:type="dxa" w:w="1400"/>
            <w:tcMar>
              <w:top w:type="dxa" w:w="40"/>
              <w:left w:type="dxa" w:w="80"/>
              <w:bottom w:type="dxa" w:w="40"/>
              <w:right w:type="dxa" w:w="80"/>
            </w:tcMar>
          </w:tcPr>
          <w:p>
            <w:pPr>
              <w:spacing w:after="0" w:line="240"/>
              <w:jc w:val="center"/>
            </w:pPr>
            <w:r>
              <w:rPr>
                <w:rFonts w:ascii="Calibri" w:cs="Calibri" w:eastAsia="Calibri" w:hAnsi="Calibri"/>
                <w:sz w:val="17"/>
                <w:szCs w:val="17"/>
              </w:rPr>
              <w:t xml:space="preserve">31 %</w:t>
            </w:r>
          </w:p>
        </w:tc>
        <w:tc>
          <w:tcPr>
            <w:tcW w:type="dxa" w:w="1400"/>
            <w:tcMar>
              <w:top w:type="dxa" w:w="40"/>
              <w:left w:type="dxa" w:w="80"/>
              <w:bottom w:type="dxa" w:w="40"/>
              <w:right w:type="dxa" w:w="80"/>
            </w:tcMar>
          </w:tcPr>
          <w:p>
            <w:pPr>
              <w:spacing w:after="0" w:line="240"/>
              <w:jc w:val="center"/>
            </w:pPr>
            <w:r>
              <w:rPr>
                <w:rFonts w:ascii="Calibri" w:cs="Calibri" w:eastAsia="Calibri" w:hAnsi="Calibri"/>
                <w:sz w:val="17"/>
                <w:szCs w:val="17"/>
              </w:rPr>
              <w:t xml:space="preserve">8</w:t>
            </w:r>
          </w:p>
        </w:tc>
      </w:tr>
      <w:tr>
        <w:trPr>
          <w:cantSplit/>
        </w:trPr>
        <w:tc>
          <w:tcPr>
            <w:tcW w:type="dxa" w:w="9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D4</w:t>
            </w:r>
          </w:p>
        </w:tc>
        <w:tc>
          <w:tcPr>
            <w:tcW w:type="dxa" w:w="53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Structuration financière &amp; LGD</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24 %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7</w:t>
            </w:r>
          </w:p>
        </w:tc>
      </w:tr>
      <w:tr>
        <w:trPr>
          <w:cantSplit/>
        </w:trPr>
        <w:tc>
          <w:tcPr>
            <w:tcW w:type="dxa" w:w="900"/>
            <w:tcMar>
              <w:top w:type="dxa" w:w="40"/>
              <w:left w:type="dxa" w:w="80"/>
              <w:bottom w:type="dxa" w:w="40"/>
              <w:right w:type="dxa" w:w="80"/>
            </w:tcMar>
          </w:tcPr>
          <w:p>
            <w:pPr>
              <w:spacing w:after="0" w:line="240"/>
            </w:pPr>
            <w:r>
              <w:rPr>
                <w:rFonts w:ascii="Calibri" w:cs="Calibri" w:eastAsia="Calibri" w:hAnsi="Calibri"/>
                <w:b/>
                <w:bCs/>
                <w:sz w:val="17"/>
                <w:szCs w:val="17"/>
              </w:rPr>
              <w:t xml:space="preserve">Total</w:t>
            </w:r>
          </w:p>
        </w:tc>
        <w:tc>
          <w:tcPr>
            <w:tcW w:type="dxa" w:w="5326"/>
            <w:tcMar>
              <w:top w:type="dxa" w:w="40"/>
              <w:left w:type="dxa" w:w="80"/>
              <w:bottom w:type="dxa" w:w="40"/>
              <w:right w:type="dxa" w:w="80"/>
            </w:tcMar>
          </w:tcPr>
          <w:p>
            <w:pPr>
              <w:spacing w:after="0" w:line="240"/>
            </w:pPr>
            <w:r>
              <w:rPr>
                <w:rFonts w:ascii="Calibri" w:cs="Calibri" w:eastAsia="Calibri" w:hAnsi="Calibri"/>
                <w:sz w:val="17"/>
                <w:szCs w:val="17"/>
              </w:rPr>
              <w:t xml:space="preserve"/>
            </w:r>
          </w:p>
        </w:tc>
        <w:tc>
          <w:tcPr>
            <w:tcW w:type="dxa" w:w="1400"/>
            <w:tcMar>
              <w:top w:type="dxa" w:w="40"/>
              <w:left w:type="dxa" w:w="80"/>
              <w:bottom w:type="dxa" w:w="40"/>
              <w:right w:type="dxa" w:w="80"/>
            </w:tcMar>
          </w:tcPr>
          <w:p>
            <w:pPr>
              <w:spacing w:after="0" w:line="240"/>
              <w:jc w:val="center"/>
            </w:pPr>
            <w:r>
              <w:rPr>
                <w:rFonts w:ascii="Calibri" w:cs="Calibri" w:eastAsia="Calibri" w:hAnsi="Calibri"/>
                <w:b/>
                <w:bCs/>
                <w:sz w:val="17"/>
                <w:szCs w:val="17"/>
              </w:rPr>
              <w:t xml:space="preserve">100 %</w:t>
            </w:r>
          </w:p>
        </w:tc>
        <w:tc>
          <w:tcPr>
            <w:tcW w:type="dxa" w:w="1400"/>
            <w:tcMar>
              <w:top w:type="dxa" w:w="40"/>
              <w:left w:type="dxa" w:w="80"/>
              <w:bottom w:type="dxa" w:w="40"/>
              <w:right w:type="dxa" w:w="80"/>
            </w:tcMar>
          </w:tcPr>
          <w:p>
            <w:pPr>
              <w:spacing w:after="0" w:line="240"/>
              <w:jc w:val="center"/>
            </w:pPr>
            <w:r>
              <w:rPr>
                <w:rFonts w:ascii="Calibri" w:cs="Calibri" w:eastAsia="Calibri" w:hAnsi="Calibri"/>
                <w:b/>
                <w:bCs/>
                <w:sz w:val="17"/>
                <w:szCs w:val="17"/>
              </w:rPr>
              <w:t xml:space="preserve">29</w:t>
            </w:r>
          </w:p>
        </w:tc>
      </w:tr>
    </w:tbl>
    <w:p>
      <w:pPr>
        <w:pStyle w:val="Heading2"/>
        <w:spacing w:after="120" w:before="0" w:line="276"/>
      </w:pPr>
      <w:r>
        <w:rPr>
          <w:rFonts w:ascii="Calibri" w:cs="Calibri" w:eastAsia="Calibri" w:hAnsi="Calibri"/>
          <w:sz w:val="21"/>
          <w:szCs w:val="21"/>
        </w:rPr>
        <w:t xml:space="preserve">1.4 Critères et barèmes</w:t>
      </w:r>
    </w:p>
    <w:p>
      <w:pPr>
        <w:spacing w:after="120" w:before="0" w:line="276"/>
      </w:pPr>
      <w:r>
        <w:rPr>
          <w:rFonts w:ascii="Calibri" w:cs="Calibri" w:eastAsia="Calibri" w:hAnsi="Calibri"/>
          <w:sz w:val="21"/>
          <w:szCs w:val="21"/>
        </w:rPr>
        <w:t xml:space="preserve">Poids exprimés au sein du domaine. Note de 1 (critique) à 10 (favorable). « Gate » : critère éliminatoire ; « Crit. » : donnée décisionnelle (son absence rend le dossier incomplet) ; « S » : appartient à la note de sûretés.</w:t>
      </w:r>
    </w:p>
    <w:p>
      <w:pPr>
        <w:pStyle w:val="Heading2"/>
        <w:keepNext/>
        <w:spacing w:after="120" w:before="0" w:line="276"/>
      </w:pPr>
      <w:r>
        <w:rPr>
          <w:rFonts w:ascii="Calibri" w:cs="Calibri" w:eastAsia="Calibri" w:hAnsi="Calibri"/>
          <w:sz w:val="21"/>
          <w:szCs w:val="21"/>
        </w:rPr>
        <w:t xml:space="preserve">D1 — Sponsor &amp; Gouvernance (25 %)</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700"/>
        <w:gridCol w:w="2500"/>
        <w:gridCol w:w="700"/>
        <w:gridCol w:w="4026"/>
        <w:gridCol w:w="1100"/>
      </w:tblGrid>
      <w:tr>
        <w:trPr>
          <w:cantSplit/>
          <w:tblHeader/>
        </w:trPr>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Code</w:t>
            </w:r>
          </w:p>
        </w:tc>
        <w:tc>
          <w:tcPr>
            <w:tcW w:type="dxa" w:w="2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Critère</w:t>
            </w:r>
          </w:p>
        </w:tc>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Poids</w:t>
            </w:r>
          </w:p>
        </w:tc>
        <w:tc>
          <w:tcPr>
            <w:tcW w:type="dxa" w:w="40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Barème (valeur → note)</w:t>
            </w:r>
          </w:p>
        </w:tc>
        <w:tc>
          <w:tcPr>
            <w:tcW w:type="dxa" w:w="11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Statut</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D1C1</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Projets similaires livrés (5 ans)</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20 %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&lt; 1 → 1 · 1 à &lt; 3 → 6 · ≥ 3 → 10</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D1C2</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Gearing promoteur (dettes nettes / FP)</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25 %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 100 → 10 · 100 à &lt; 150 → 6 · ≥ 150 → 1</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D1C3</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Gouvernance &amp; structure juridique</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15 %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Opaque → 1 · Partielle → 6 · Claire / structurée → 10</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D1C4</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Concentration mono-projet (CA projet / CA total)</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15 %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 40 → 10 · 40 à &lt; 60 → 6 · ≥ 60 → 1</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D1C5</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Typologie promoteur</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10 %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Opportuniste → 2 · Régional → 6 · Structuré → 10</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D1C6</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Apport effectif (injecté / prévu)</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15 %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 80 → 1 · 80 à &lt; 100 → 6 · ≥ 100 → 10</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C00000"/>
                <w:sz w:val="15"/>
                <w:szCs w:val="15"/>
              </w:rPr>
              <w:t xml:space="preserve">Gate</w:t>
            </w:r>
          </w:p>
        </w:tc>
      </w:tr>
    </w:tbl>
    <w:p>
      <w:pPr>
        <w:pStyle w:val="Heading2"/>
        <w:keepNext/>
        <w:spacing w:after="120" w:before="0" w:line="276"/>
      </w:pPr>
      <w:r>
        <w:rPr>
          <w:rFonts w:ascii="Calibri" w:cs="Calibri" w:eastAsia="Calibri" w:hAnsi="Calibri"/>
          <w:sz w:val="21"/>
          <w:szCs w:val="21"/>
        </w:rPr>
        <w:t xml:space="preserve">D2 — Qualité intrinsèque du projet (20 %)</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700"/>
        <w:gridCol w:w="2500"/>
        <w:gridCol w:w="700"/>
        <w:gridCol w:w="4026"/>
        <w:gridCol w:w="1100"/>
      </w:tblGrid>
      <w:tr>
        <w:trPr>
          <w:cantSplit/>
          <w:tblHeader/>
        </w:trPr>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Code</w:t>
            </w:r>
          </w:p>
        </w:tc>
        <w:tc>
          <w:tcPr>
            <w:tcW w:type="dxa" w:w="2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Critère</w:t>
            </w:r>
          </w:p>
        </w:tc>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Poids</w:t>
            </w:r>
          </w:p>
        </w:tc>
        <w:tc>
          <w:tcPr>
            <w:tcW w:type="dxa" w:w="40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Barème (valeur → note)</w:t>
            </w:r>
          </w:p>
        </w:tc>
        <w:tc>
          <w:tcPr>
            <w:tcW w:type="dxa" w:w="11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Statut</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D2C1</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Foncier &amp; autorisations</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10 %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Titre non purgé / autorisations absentes → 1 · Partielles → 6 · Titre purgé + autorisations définitives → 10</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C00000"/>
                <w:sz w:val="15"/>
                <w:szCs w:val="15"/>
              </w:rPr>
              <w:t xml:space="preserve">Gate</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D2C2</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Marché &amp; positionnement</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20 %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Sur-positionné / sur-offre → 2 · Correct → 6 · Aligné / forte demande → 10</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D2C3</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Complexité technique</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15 %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Élevée → 2 · Moyenne → 6 · Standard → 10</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D2C4</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Avancement vs planning</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15 %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 80 → 1 · 80 à &lt; 100 → 6 · ≥ 100 → 10</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D2C5</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Litiges clients / SAV</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10 %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Élevé → 2 · Moyen → 6 · Faible → 10</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D2C6</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Sensibilité macro / subvention</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10 %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Élevée → 2 · Moyenne → 6 · Faible → 10</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D2C7</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Coût foncier / CA</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10 %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&lt; 25 → 10 · 25 à &lt; 35 → 6 · ≥ 35 → 1</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D2C8</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Chaîne d'autorisations (complétude)</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10 %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 50 % → 1 · 50 à &lt; 100 % → 6 · ≥ 100 % → 10</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bl>
    <w:p>
      <w:pPr>
        <w:pStyle w:val="Heading2"/>
        <w:keepNext/>
        <w:spacing w:after="120" w:before="0" w:line="276"/>
      </w:pPr>
      <w:r>
        <w:rPr>
          <w:rFonts w:ascii="Calibri" w:cs="Calibri" w:eastAsia="Calibri" w:hAnsi="Calibri"/>
          <w:sz w:val="21"/>
          <w:szCs w:val="21"/>
        </w:rPr>
        <w:t xml:space="preserve">D3 — Commercial &amp; Cash-flow (31 %)</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700"/>
        <w:gridCol w:w="2500"/>
        <w:gridCol w:w="700"/>
        <w:gridCol w:w="4026"/>
        <w:gridCol w:w="1100"/>
      </w:tblGrid>
      <w:tr>
        <w:trPr>
          <w:cantSplit/>
          <w:tblHeader/>
        </w:trPr>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Code</w:t>
            </w:r>
          </w:p>
        </w:tc>
        <w:tc>
          <w:tcPr>
            <w:tcW w:type="dxa" w:w="2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Critère</w:t>
            </w:r>
          </w:p>
        </w:tc>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Poids</w:t>
            </w:r>
          </w:p>
        </w:tc>
        <w:tc>
          <w:tcPr>
            <w:tcW w:type="dxa" w:w="40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Barème (valeur → note)</w:t>
            </w:r>
          </w:p>
        </w:tc>
        <w:tc>
          <w:tcPr>
            <w:tcW w:type="dxa" w:w="11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Statut</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D3C1</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Préventes sécurisées (encaissées / CA)</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15 %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&lt; 25 → 1 · 25 à &lt; 40 → 6 · ≥ 40 → 10</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Crit.</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D3C2</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Ventes vs planning</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10 %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 80 → 1 · 80 à &lt; 100 → 6 · ≥ 100 → 10</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D3C3</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DSO (jours)</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10 %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&lt; 120 → 10 · 120 à &lt; 240 → 6 · ≥ 240 → 1</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D3C4</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Cash coverage (cash / échéances)</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20 %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 1 → 1 · 1 à &lt; 1,2 → 6 · ≥ 1,2 → 10</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Crit.</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D3C5</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Impasse brute</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15 %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 0 — aucune impasse → 10 · &gt; 0 à &lt; 10 → 6 · ≥ 10 → 1</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Crit.</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D3C6</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Rotation stock (mois)</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10 %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 18 → 10 · 18 à &lt; 30 → 6 · ≥ 30 → 1</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D3C7</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Marge brute stressée (prix -10%)</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10 %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&lt; 10 → 1 · 10 à &lt; 15 → 6 · ≥ 15 → 10</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D3C8</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Ventes sécurisées (financement acquéreur)</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10 %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 25 % → 1 · 25 à &lt; 40 % → 6 · ≥ 40 % → 10</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bl>
    <w:p>
      <w:pPr>
        <w:pStyle w:val="Heading2"/>
        <w:keepNext/>
        <w:spacing w:after="120" w:before="0" w:line="276"/>
      </w:pPr>
      <w:r>
        <w:rPr>
          <w:rFonts w:ascii="Calibri" w:cs="Calibri" w:eastAsia="Calibri" w:hAnsi="Calibri"/>
          <w:sz w:val="21"/>
          <w:szCs w:val="21"/>
        </w:rPr>
        <w:t xml:space="preserve">D4 — Structuration financière &amp; LGD (24 %)</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700"/>
        <w:gridCol w:w="2500"/>
        <w:gridCol w:w="700"/>
        <w:gridCol w:w="4026"/>
        <w:gridCol w:w="1100"/>
      </w:tblGrid>
      <w:tr>
        <w:trPr>
          <w:cantSplit/>
          <w:tblHeader/>
        </w:trPr>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Code</w:t>
            </w:r>
          </w:p>
        </w:tc>
        <w:tc>
          <w:tcPr>
            <w:tcW w:type="dxa" w:w="2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Critère</w:t>
            </w:r>
          </w:p>
        </w:tc>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Poids</w:t>
            </w:r>
          </w:p>
        </w:tc>
        <w:tc>
          <w:tcPr>
            <w:tcW w:type="dxa" w:w="40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Barème (valeur → note)</w:t>
            </w:r>
          </w:p>
        </w:tc>
        <w:tc>
          <w:tcPr>
            <w:tcW w:type="dxa" w:w="11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Statut</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D4C1</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Marge brute (CA - coûts directs)/CA</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20 %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&lt; 15 → 1 · 15 à &lt; 25 → 6 · ≥ 25 → 10</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Crit.</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D4C2</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LTC (dette / coût total)</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15 %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 60 → 10 · 60 à &lt; 80 → 6 · ≥ 80 → 1</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D4C3</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LTV stressée (dette / valeur×0,90)</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20 %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&lt; 70 → 10 · 70 à &lt; 85 → 6 · ≥ 85 → 1</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S</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D4C4</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Couverture garanties réalisable</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15 %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 90 → 1 · 90 à &lt; 120 → 6 · ≥ 120 → 10</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S</w:t>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D4C5</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Rang bancaire 1er rang</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10 %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Non 1er rang → 1 · 1er rang → 10</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S</w:t>
            </w:r>
          </w:p>
        </w:tc>
      </w:tr>
      <w:tr>
        <w:trPr>
          <w:cantSplit/>
        </w:trPr>
        <w:tc>
          <w:tcPr>
            <w:tcW w:type="dxa" w:w="7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D4C6</w:t>
            </w:r>
          </w:p>
        </w:tc>
        <w:tc>
          <w:tcPr>
            <w:tcW w:type="dxa" w:w="2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Interest coverage (EBITDA / charges fin.)</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sz w:val="17"/>
                <w:szCs w:val="17"/>
              </w:rPr>
              <w:t xml:space="preserve">15 %</w:t>
            </w:r>
          </w:p>
        </w:tc>
        <w:tc>
          <w:tcPr>
            <w:tcW w:type="dxa" w:w="4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&lt; 1,5 → 1 · 1,5 à &lt; 3 → 6 · ≥ 3 → 10</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
            </w:r>
          </w:p>
        </w:tc>
      </w:tr>
      <w:tr>
        <w:trPr>
          <w:cantSplit/>
        </w:trPr>
        <w:tc>
          <w:tcPr>
            <w:tcW w:type="dxa" w:w="700"/>
            <w:tcMar>
              <w:top w:type="dxa" w:w="40"/>
              <w:left w:type="dxa" w:w="80"/>
              <w:bottom w:type="dxa" w:w="40"/>
              <w:right w:type="dxa" w:w="80"/>
            </w:tcMar>
          </w:tcPr>
          <w:p>
            <w:pPr>
              <w:spacing w:after="0" w:line="240"/>
            </w:pPr>
            <w:r>
              <w:rPr>
                <w:rFonts w:ascii="Calibri" w:cs="Calibri" w:eastAsia="Calibri" w:hAnsi="Calibri"/>
                <w:b/>
                <w:bCs/>
                <w:sz w:val="17"/>
                <w:szCs w:val="17"/>
              </w:rPr>
              <w:t xml:space="preserve">D4C7</w:t>
            </w:r>
          </w:p>
        </w:tc>
        <w:tc>
          <w:tcPr>
            <w:tcW w:type="dxa" w:w="2500"/>
            <w:tcMar>
              <w:top w:type="dxa" w:w="40"/>
              <w:left w:type="dxa" w:w="80"/>
              <w:bottom w:type="dxa" w:w="40"/>
              <w:right w:type="dxa" w:w="80"/>
            </w:tcMar>
          </w:tcPr>
          <w:p>
            <w:pPr>
              <w:spacing w:after="0" w:line="240"/>
            </w:pPr>
            <w:r>
              <w:rPr>
                <w:rFonts w:ascii="Calibri" w:cs="Calibri" w:eastAsia="Calibri" w:hAnsi="Calibri"/>
                <w:sz w:val="17"/>
                <w:szCs w:val="17"/>
              </w:rPr>
              <w:t xml:space="preserve">Quotité de désengagement vs équilibre</w:t>
            </w:r>
          </w:p>
        </w:tc>
        <w:tc>
          <w:tcPr>
            <w:tcW w:type="dxa" w:w="700"/>
            <w:tcMar>
              <w:top w:type="dxa" w:w="40"/>
              <w:left w:type="dxa" w:w="80"/>
              <w:bottom w:type="dxa" w:w="40"/>
              <w:right w:type="dxa" w:w="80"/>
            </w:tcMar>
          </w:tcPr>
          <w:p>
            <w:pPr>
              <w:spacing w:after="0" w:line="240"/>
              <w:jc w:val="center"/>
            </w:pPr>
            <w:r>
              <w:rPr>
                <w:rFonts w:ascii="Calibri" w:cs="Calibri" w:eastAsia="Calibri" w:hAnsi="Calibri"/>
                <w:sz w:val="17"/>
                <w:szCs w:val="17"/>
              </w:rPr>
              <w:t xml:space="preserve">5 %</w:t>
            </w:r>
          </w:p>
        </w:tc>
        <w:tc>
          <w:tcPr>
            <w:tcW w:type="dxa" w:w="4026"/>
            <w:tcMar>
              <w:top w:type="dxa" w:w="40"/>
              <w:left w:type="dxa" w:w="80"/>
              <w:bottom w:type="dxa" w:w="40"/>
              <w:right w:type="dxa" w:w="80"/>
            </w:tcMar>
          </w:tcPr>
          <w:p>
            <w:pPr>
              <w:spacing w:after="0" w:line="240"/>
            </w:pPr>
            <w:r>
              <w:rPr>
                <w:rFonts w:ascii="Calibri" w:cs="Calibri" w:eastAsia="Calibri" w:hAnsi="Calibri"/>
                <w:sz w:val="17"/>
                <w:szCs w:val="17"/>
              </w:rPr>
              <w:t xml:space="preserve">&lt; −10 pts → 1 · −10 à &lt; 0 pt → 6 · ≥ 0 pt → 10</w:t>
            </w:r>
          </w:p>
        </w:tc>
        <w:tc>
          <w:tcPr>
            <w:tcW w:type="dxa" w:w="1100"/>
            <w:tcMar>
              <w:top w:type="dxa" w:w="40"/>
              <w:left w:type="dxa" w:w="80"/>
              <w:bottom w:type="dxa" w:w="40"/>
              <w:right w:type="dxa" w:w="80"/>
            </w:tcMar>
          </w:tcPr>
          <w:p>
            <w:pPr>
              <w:spacing w:after="0" w:line="240"/>
              <w:jc w:val="center"/>
            </w:pPr>
            <w:r>
              <w:rPr>
                <w:rFonts w:ascii="Calibri" w:cs="Calibri" w:eastAsia="Calibri" w:hAnsi="Calibri"/>
                <w:color w:val="595959"/>
                <w:sz w:val="15"/>
                <w:szCs w:val="15"/>
              </w:rPr>
              <w:t xml:space="preserve">S</w:t>
            </w:r>
          </w:p>
        </w:tc>
      </w:tr>
    </w:tbl>
    <w:p>
      <w:pPr>
        <w:spacing w:after="120" w:before="120" w:line="276"/>
      </w:pPr>
      <w:r>
        <w:rPr>
          <w:rFonts w:ascii="Calibri" w:cs="Calibri" w:eastAsia="Calibri" w:hAnsi="Calibri"/>
          <w:sz w:val="21"/>
          <w:szCs w:val="21"/>
        </w:rPr>
        <w:t xml:space="preserve">Critères éliminatoires : D1C6 (apport effectif, seuil de note ≤ 1) et D2C1 (foncier et autorisations, seuil ≤ 1).</w:t>
      </w:r>
    </w:p>
    <w:p>
      <w:pPr>
        <w:pStyle w:val="Heading2"/>
        <w:spacing w:after="120" w:before="0" w:line="276"/>
      </w:pPr>
      <w:r>
        <w:rPr>
          <w:rFonts w:ascii="Calibri" w:cs="Calibri" w:eastAsia="Calibri" w:hAnsi="Calibri"/>
          <w:sz w:val="21"/>
          <w:szCs w:val="21"/>
        </w:rPr>
        <w:t xml:space="preserve">1.5 Alertes (couche D5)</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1900"/>
        <w:gridCol w:w="2900"/>
        <w:gridCol w:w="1000"/>
        <w:gridCol w:w="900"/>
        <w:gridCol w:w="1626"/>
        <w:gridCol w:w="700"/>
      </w:tblGrid>
      <w:tr>
        <w:trPr>
          <w:cantSplit/>
          <w:tblHeader/>
        </w:trPr>
        <w:tc>
          <w:tcPr>
            <w:tcW w:type="dxa" w:w="1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Code</w:t>
            </w:r>
          </w:p>
        </w:tc>
        <w:tc>
          <w:tcPr>
            <w:tcW w:type="dxa" w:w="2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Alerte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Sévérité</w:t>
            </w:r>
          </w:p>
        </w:tc>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Malus</w:t>
            </w:r>
          </w:p>
        </w:tc>
        <w:tc>
          <w:tcPr>
            <w:tcW w:type="dxa" w:w="16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Règle</w:t>
            </w:r>
          </w:p>
        </w:tc>
        <w:tc>
          <w:tcPr>
            <w:tcW w:type="dxa" w:w="7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Comité</w:t>
            </w:r>
          </w:p>
        </w:tc>
      </w:tr>
      <w:tr>
        <w:trPr>
          <w:cantSplit/>
        </w:trPr>
        <w:tc>
          <w:tcPr>
            <w:tcW w:type="dxa" w:w="1900"/>
            <w:tcMar>
              <w:top w:type="dxa" w:w="40"/>
              <w:left w:type="dxa" w:w="80"/>
              <w:bottom w:type="dxa" w:w="40"/>
              <w:right w:type="dxa" w:w="80"/>
            </w:tcMar>
          </w:tcPr>
          <w:p>
            <w:pPr>
              <w:spacing w:after="0" w:line="240"/>
            </w:pPr>
            <w:r>
              <w:rPr>
                <w:rFonts w:ascii="Calibri" w:cs="Calibri" w:eastAsia="Calibri" w:hAnsi="Calibri"/>
                <w:b/>
                <w:bCs/>
                <w:sz w:val="14"/>
                <w:szCs w:val="14"/>
              </w:rPr>
              <w:t xml:space="preserve">RF_ACQUEREURS_NON_FINANCES</w:t>
            </w:r>
          </w:p>
        </w:tc>
        <w:tc>
          <w:tcPr>
            <w:tcW w:type="dxa" w:w="2900"/>
            <w:tcMar>
              <w:top w:type="dxa" w:w="40"/>
              <w:left w:type="dxa" w:w="80"/>
              <w:bottom w:type="dxa" w:w="40"/>
              <w:right w:type="dxa" w:w="80"/>
            </w:tcMar>
          </w:tcPr>
          <w:p>
            <w:pPr>
              <w:spacing w:after="0" w:line="240"/>
            </w:pPr>
            <w:r>
              <w:rPr>
                <w:rFonts w:ascii="Calibri" w:cs="Calibri" w:eastAsia="Calibri" w:hAnsi="Calibri"/>
                <w:sz w:val="17"/>
                <w:szCs w:val="17"/>
              </w:rPr>
              <w:t xml:space="preserve">Financement acquéreur majoritairement non sécurisé</w:t>
            </w:r>
          </w:p>
        </w:tc>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595959"/>
                <w:sz w:val="17"/>
                <w:szCs w:val="17"/>
              </w:rPr>
              <w:t xml:space="preserve">Moyenne</w:t>
            </w:r>
          </w:p>
        </w:tc>
        <w:tc>
          <w:tcPr>
            <w:tcW w:type="dxa" w:w="900"/>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−10</w:t>
            </w:r>
          </w:p>
        </w:tc>
        <w:tc>
          <w:tcPr>
            <w:tcW w:type="dxa" w:w="1626"/>
            <w:tcMar>
              <w:top w:type="dxa" w:w="40"/>
              <w:left w:type="dxa" w:w="80"/>
              <w:bottom w:type="dxa" w:w="40"/>
              <w:right w:type="dxa" w:w="80"/>
            </w:tcMar>
          </w:tcPr>
          <w:p>
            <w:pPr>
              <w:spacing w:after="0" w:line="240"/>
            </w:pPr>
            <w:r>
              <w:rPr>
                <w:rFonts w:ascii="Calibri" w:cs="Calibri" w:eastAsia="Calibri" w:hAnsi="Calibri"/>
                <w:sz w:val="17"/>
                <w:szCs w:val="17"/>
              </w:rPr>
              <w:t xml:space="preserve">buyers_financing_at_risk = vrai</w:t>
            </w:r>
          </w:p>
        </w:tc>
        <w:tc>
          <w:tcPr>
            <w:tcW w:type="dxa" w:w="70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7"/>
                <w:szCs w:val="17"/>
              </w:rPr>
              <w:t xml:space="preserve">—</w:t>
            </w:r>
          </w:p>
        </w:tc>
      </w:tr>
      <w:tr>
        <w:trPr>
          <w:cantSplit/>
        </w:trPr>
        <w:tc>
          <w:tcPr>
            <w:tcW w:type="dxa" w:w="1900"/>
            <w:shd w:fill="F2F5FB" w:color="auto" w:val="clear"/>
            <w:tcMar>
              <w:top w:type="dxa" w:w="40"/>
              <w:left w:type="dxa" w:w="80"/>
              <w:bottom w:type="dxa" w:w="40"/>
              <w:right w:type="dxa" w:w="80"/>
            </w:tcMar>
          </w:tcPr>
          <w:p>
            <w:pPr>
              <w:spacing w:after="0" w:line="240"/>
            </w:pPr>
            <w:r>
              <w:rPr>
                <w:rFonts w:ascii="Calibri" w:cs="Calibri" w:eastAsia="Calibri" w:hAnsi="Calibri"/>
                <w:b/>
                <w:bCs/>
                <w:sz w:val="14"/>
                <w:szCs w:val="14"/>
              </w:rPr>
              <w:t xml:space="preserve">RF_AUTORISATION_TIRAGE</w:t>
            </w:r>
          </w:p>
        </w:tc>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Autorisation indispensable aux travaux non levée</w:t>
            </w:r>
          </w:p>
        </w:tc>
        <w:tc>
          <w:tcPr>
            <w:tcW w:type="dxa" w:w="1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color w:val="BF8F00"/>
                <w:sz w:val="17"/>
                <w:szCs w:val="17"/>
              </w:rPr>
              <w:t xml:space="preserve">Élevée</w:t>
            </w:r>
          </w:p>
        </w:tc>
        <w:tc>
          <w:tcPr>
            <w:tcW w:type="dxa" w:w="9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−15</w:t>
            </w:r>
          </w:p>
        </w:tc>
        <w:tc>
          <w:tcPr>
            <w:tcW w:type="dxa" w:w="16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works_authorization_blocked = vrai</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7"/>
                <w:szCs w:val="17"/>
              </w:rPr>
              <w:t xml:space="preserve">—</w:t>
            </w:r>
          </w:p>
        </w:tc>
      </w:tr>
      <w:tr>
        <w:trPr>
          <w:cantSplit/>
        </w:trPr>
        <w:tc>
          <w:tcPr>
            <w:tcW w:type="dxa" w:w="1900"/>
            <w:tcMar>
              <w:top w:type="dxa" w:w="40"/>
              <w:left w:type="dxa" w:w="80"/>
              <w:bottom w:type="dxa" w:w="40"/>
              <w:right w:type="dxa" w:w="80"/>
            </w:tcMar>
          </w:tcPr>
          <w:p>
            <w:pPr>
              <w:spacing w:after="0" w:line="240"/>
            </w:pPr>
            <w:r>
              <w:rPr>
                <w:rFonts w:ascii="Calibri" w:cs="Calibri" w:eastAsia="Calibri" w:hAnsi="Calibri"/>
                <w:b/>
                <w:bCs/>
                <w:sz w:val="14"/>
                <w:szCs w:val="14"/>
              </w:rPr>
              <w:t xml:space="preserve">RF_CASH_LT_ECH</w:t>
            </w:r>
          </w:p>
        </w:tc>
        <w:tc>
          <w:tcPr>
            <w:tcW w:type="dxa" w:w="2900"/>
            <w:tcMar>
              <w:top w:type="dxa" w:w="40"/>
              <w:left w:type="dxa" w:w="80"/>
              <w:bottom w:type="dxa" w:w="40"/>
              <w:right w:type="dxa" w:w="80"/>
            </w:tcMar>
          </w:tcPr>
          <w:p>
            <w:pPr>
              <w:spacing w:after="0" w:line="240"/>
            </w:pPr>
            <w:r>
              <w:rPr>
                <w:rFonts w:ascii="Calibri" w:cs="Calibri" w:eastAsia="Calibri" w:hAnsi="Calibri"/>
                <w:sz w:val="17"/>
                <w:szCs w:val="17"/>
              </w:rPr>
              <w:t xml:space="preserve">Cash coverage &lt; 1,0x</w:t>
            </w:r>
          </w:p>
        </w:tc>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BF8F00"/>
                <w:sz w:val="17"/>
                <w:szCs w:val="17"/>
              </w:rPr>
              <w:t xml:space="preserve">Élevée</w:t>
            </w:r>
          </w:p>
        </w:tc>
        <w:tc>
          <w:tcPr>
            <w:tcW w:type="dxa" w:w="900"/>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−25</w:t>
            </w:r>
          </w:p>
        </w:tc>
        <w:tc>
          <w:tcPr>
            <w:tcW w:type="dxa" w:w="1626"/>
            <w:tcMar>
              <w:top w:type="dxa" w:w="40"/>
              <w:left w:type="dxa" w:w="80"/>
              <w:bottom w:type="dxa" w:w="40"/>
              <w:right w:type="dxa" w:w="80"/>
            </w:tcMar>
          </w:tcPr>
          <w:p>
            <w:pPr>
              <w:spacing w:after="0" w:line="240"/>
            </w:pPr>
            <w:r>
              <w:rPr>
                <w:rFonts w:ascii="Calibri" w:cs="Calibri" w:eastAsia="Calibri" w:hAnsi="Calibri"/>
                <w:sz w:val="17"/>
                <w:szCs w:val="17"/>
              </w:rPr>
              <w:t xml:space="preserve">cash_coverage &lt; 1</w:t>
            </w:r>
          </w:p>
        </w:tc>
        <w:tc>
          <w:tcPr>
            <w:tcW w:type="dxa" w:w="70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7"/>
                <w:szCs w:val="17"/>
              </w:rPr>
              <w:t xml:space="preserve">—</w:t>
            </w:r>
          </w:p>
        </w:tc>
      </w:tr>
      <w:tr>
        <w:trPr>
          <w:cantSplit/>
        </w:trPr>
        <w:tc>
          <w:tcPr>
            <w:tcW w:type="dxa" w:w="1900"/>
            <w:shd w:fill="F2F5FB" w:color="auto" w:val="clear"/>
            <w:tcMar>
              <w:top w:type="dxa" w:w="40"/>
              <w:left w:type="dxa" w:w="80"/>
              <w:bottom w:type="dxa" w:w="40"/>
              <w:right w:type="dxa" w:w="80"/>
            </w:tcMar>
          </w:tcPr>
          <w:p>
            <w:pPr>
              <w:spacing w:after="0" w:line="240"/>
            </w:pPr>
            <w:r>
              <w:rPr>
                <w:rFonts w:ascii="Calibri" w:cs="Calibri" w:eastAsia="Calibri" w:hAnsi="Calibri"/>
                <w:b/>
                <w:bCs/>
                <w:sz w:val="14"/>
                <w:szCs w:val="14"/>
              </w:rPr>
              <w:t xml:space="preserve">RF_DIVISION_RISQUES</w:t>
            </w:r>
          </w:p>
        </w:tc>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Limite de division des risques dépassée</w:t>
            </w:r>
          </w:p>
        </w:tc>
        <w:tc>
          <w:tcPr>
            <w:tcW w:type="dxa" w:w="1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color w:val="595959"/>
                <w:sz w:val="17"/>
                <w:szCs w:val="17"/>
              </w:rPr>
              <w:t xml:space="preserve">Moyenne</w:t>
            </w:r>
          </w:p>
        </w:tc>
        <w:tc>
          <w:tcPr>
            <w:tcW w:type="dxa" w:w="9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7"/>
                <w:szCs w:val="17"/>
              </w:rPr>
              <w:t xml:space="preserve">0</w:t>
            </w:r>
          </w:p>
        </w:tc>
        <w:tc>
          <w:tcPr>
            <w:tcW w:type="dxa" w:w="16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division_limit_breach = vrai</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Oui</w:t>
            </w:r>
          </w:p>
        </w:tc>
      </w:tr>
      <w:tr>
        <w:trPr>
          <w:cantSplit/>
        </w:trPr>
        <w:tc>
          <w:tcPr>
            <w:tcW w:type="dxa" w:w="1900"/>
            <w:tcMar>
              <w:top w:type="dxa" w:w="40"/>
              <w:left w:type="dxa" w:w="80"/>
              <w:bottom w:type="dxa" w:w="40"/>
              <w:right w:type="dxa" w:w="80"/>
            </w:tcMar>
          </w:tcPr>
          <w:p>
            <w:pPr>
              <w:spacing w:after="0" w:line="240"/>
            </w:pPr>
            <w:r>
              <w:rPr>
                <w:rFonts w:ascii="Calibri" w:cs="Calibri" w:eastAsia="Calibri" w:hAnsi="Calibri"/>
                <w:b/>
                <w:bCs/>
                <w:sz w:val="14"/>
                <w:szCs w:val="14"/>
              </w:rPr>
              <w:t xml:space="preserve">RF_FP_NEG</w:t>
            </w:r>
          </w:p>
        </w:tc>
        <w:tc>
          <w:tcPr>
            <w:tcW w:type="dxa" w:w="2900"/>
            <w:tcMar>
              <w:top w:type="dxa" w:w="40"/>
              <w:left w:type="dxa" w:w="80"/>
              <w:bottom w:type="dxa" w:w="40"/>
              <w:right w:type="dxa" w:w="80"/>
            </w:tcMar>
          </w:tcPr>
          <w:p>
            <w:pPr>
              <w:spacing w:after="0" w:line="240"/>
            </w:pPr>
            <w:r>
              <w:rPr>
                <w:rFonts w:ascii="Calibri" w:cs="Calibri" w:eastAsia="Calibri" w:hAnsi="Calibri"/>
                <w:sz w:val="17"/>
                <w:szCs w:val="17"/>
              </w:rPr>
              <w:t xml:space="preserve">Fonds propres négatifs</w:t>
            </w:r>
          </w:p>
        </w:tc>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BF8F00"/>
                <w:sz w:val="17"/>
                <w:szCs w:val="17"/>
              </w:rPr>
              <w:t xml:space="preserve">Élevée</w:t>
            </w:r>
          </w:p>
        </w:tc>
        <w:tc>
          <w:tcPr>
            <w:tcW w:type="dxa" w:w="900"/>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−25</w:t>
            </w:r>
          </w:p>
        </w:tc>
        <w:tc>
          <w:tcPr>
            <w:tcW w:type="dxa" w:w="1626"/>
            <w:tcMar>
              <w:top w:type="dxa" w:w="40"/>
              <w:left w:type="dxa" w:w="80"/>
              <w:bottom w:type="dxa" w:w="40"/>
              <w:right w:type="dxa" w:w="80"/>
            </w:tcMar>
          </w:tcPr>
          <w:p>
            <w:pPr>
              <w:spacing w:after="0" w:line="240"/>
            </w:pPr>
            <w:r>
              <w:rPr>
                <w:rFonts w:ascii="Calibri" w:cs="Calibri" w:eastAsia="Calibri" w:hAnsi="Calibri"/>
                <w:sz w:val="17"/>
                <w:szCs w:val="17"/>
              </w:rPr>
              <w:t xml:space="preserve">equity_negative = vrai</w:t>
            </w:r>
          </w:p>
        </w:tc>
        <w:tc>
          <w:tcPr>
            <w:tcW w:type="dxa" w:w="70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7"/>
                <w:szCs w:val="17"/>
              </w:rPr>
              <w:t xml:space="preserve">—</w:t>
            </w:r>
          </w:p>
        </w:tc>
      </w:tr>
      <w:tr>
        <w:trPr>
          <w:cantSplit/>
        </w:trPr>
        <w:tc>
          <w:tcPr>
            <w:tcW w:type="dxa" w:w="1900"/>
            <w:shd w:fill="F2F5FB" w:color="auto" w:val="clear"/>
            <w:tcMar>
              <w:top w:type="dxa" w:w="40"/>
              <w:left w:type="dxa" w:w="80"/>
              <w:bottom w:type="dxa" w:w="40"/>
              <w:right w:type="dxa" w:w="80"/>
            </w:tcMar>
          </w:tcPr>
          <w:p>
            <w:pPr>
              <w:spacing w:after="0" w:line="240"/>
            </w:pPr>
            <w:r>
              <w:rPr>
                <w:rFonts w:ascii="Calibri" w:cs="Calibri" w:eastAsia="Calibri" w:hAnsi="Calibri"/>
                <w:b/>
                <w:bCs/>
                <w:sz w:val="14"/>
                <w:szCs w:val="14"/>
              </w:rPr>
              <w:t xml:space="preserve">RF_IMPASSE_PERSIST</w:t>
            </w:r>
          </w:p>
        </w:tc>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Impasse de trésorerie persistante</w:t>
            </w:r>
          </w:p>
        </w:tc>
        <w:tc>
          <w:tcPr>
            <w:tcW w:type="dxa" w:w="1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color w:val="BF8F00"/>
                <w:sz w:val="17"/>
                <w:szCs w:val="17"/>
              </w:rPr>
              <w:t xml:space="preserve">Élevée</w:t>
            </w:r>
          </w:p>
        </w:tc>
        <w:tc>
          <w:tcPr>
            <w:tcW w:type="dxa" w:w="9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−20</w:t>
            </w:r>
          </w:p>
        </w:tc>
        <w:tc>
          <w:tcPr>
            <w:tcW w:type="dxa" w:w="16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funding_gap_persistent = vrai</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7"/>
                <w:szCs w:val="17"/>
              </w:rPr>
              <w:t xml:space="preserve">—</w:t>
            </w:r>
          </w:p>
        </w:tc>
      </w:tr>
      <w:tr>
        <w:trPr>
          <w:cantSplit/>
        </w:trPr>
        <w:tc>
          <w:tcPr>
            <w:tcW w:type="dxa" w:w="1900"/>
            <w:tcMar>
              <w:top w:type="dxa" w:w="40"/>
              <w:left w:type="dxa" w:w="80"/>
              <w:bottom w:type="dxa" w:w="40"/>
              <w:right w:type="dxa" w:w="80"/>
            </w:tcMar>
          </w:tcPr>
          <w:p>
            <w:pPr>
              <w:spacing w:after="0" w:line="240"/>
            </w:pPr>
            <w:r>
              <w:rPr>
                <w:rFonts w:ascii="Calibri" w:cs="Calibri" w:eastAsia="Calibri" w:hAnsi="Calibri"/>
                <w:b/>
                <w:bCs/>
                <w:sz w:val="14"/>
                <w:szCs w:val="14"/>
              </w:rPr>
              <w:t xml:space="preserve">RF_IMPAYE_90J</w:t>
            </w:r>
          </w:p>
        </w:tc>
        <w:tc>
          <w:tcPr>
            <w:tcW w:type="dxa" w:w="2900"/>
            <w:tcMar>
              <w:top w:type="dxa" w:w="40"/>
              <w:left w:type="dxa" w:w="80"/>
              <w:bottom w:type="dxa" w:w="40"/>
              <w:right w:type="dxa" w:w="80"/>
            </w:tcMar>
          </w:tcPr>
          <w:p>
            <w:pPr>
              <w:spacing w:after="0" w:line="240"/>
            </w:pPr>
            <w:r>
              <w:rPr>
                <w:rFonts w:ascii="Calibri" w:cs="Calibri" w:eastAsia="Calibri" w:hAnsi="Calibri"/>
                <w:sz w:val="17"/>
                <w:szCs w:val="17"/>
              </w:rPr>
              <w:t xml:space="preserve">Impayé ≥ 90 jours (souffrance automatique)</w:t>
            </w:r>
          </w:p>
        </w:tc>
        <w:tc>
          <w:tcPr>
            <w:tcW w:type="dxa" w:w="1000"/>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Bloquante</w:t>
            </w:r>
          </w:p>
        </w:tc>
        <w:tc>
          <w:tcPr>
            <w:tcW w:type="dxa" w:w="900"/>
            <w:tcMar>
              <w:top w:type="dxa" w:w="40"/>
              <w:left w:type="dxa" w:w="80"/>
              <w:bottom w:type="dxa" w:w="40"/>
              <w:right w:type="dxa" w:w="80"/>
            </w:tcMar>
          </w:tcPr>
          <w:p>
            <w:pPr>
              <w:spacing w:after="0" w:line="240"/>
              <w:jc w:val="center"/>
            </w:pPr>
            <w:r>
              <w:rPr>
                <w:rFonts w:ascii="Calibri" w:cs="Calibri" w:eastAsia="Calibri" w:hAnsi="Calibri"/>
                <w:color w:val="595959"/>
                <w:sz w:val="17"/>
                <w:szCs w:val="17"/>
              </w:rPr>
              <w:t xml:space="preserve">souffrance</w:t>
            </w:r>
          </w:p>
        </w:tc>
        <w:tc>
          <w:tcPr>
            <w:tcW w:type="dxa" w:w="1626"/>
            <w:tcMar>
              <w:top w:type="dxa" w:w="40"/>
              <w:left w:type="dxa" w:w="80"/>
              <w:bottom w:type="dxa" w:w="40"/>
              <w:right w:type="dxa" w:w="80"/>
            </w:tcMar>
          </w:tcPr>
          <w:p>
            <w:pPr>
              <w:spacing w:after="0" w:line="240"/>
            </w:pPr>
            <w:r>
              <w:rPr>
                <w:rFonts w:ascii="Calibri" w:cs="Calibri" w:eastAsia="Calibri" w:hAnsi="Calibri"/>
                <w:sz w:val="17"/>
                <w:szCs w:val="17"/>
              </w:rPr>
              <w:t xml:space="preserve">dpd_days ≥ 90</w:t>
            </w:r>
          </w:p>
        </w:tc>
        <w:tc>
          <w:tcPr>
            <w:tcW w:type="dxa" w:w="70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7"/>
                <w:szCs w:val="17"/>
              </w:rPr>
              <w:t xml:space="preserve">—</w:t>
            </w:r>
          </w:p>
        </w:tc>
      </w:tr>
      <w:tr>
        <w:trPr>
          <w:cantSplit/>
        </w:trPr>
        <w:tc>
          <w:tcPr>
            <w:tcW w:type="dxa" w:w="1900"/>
            <w:shd w:fill="F2F5FB" w:color="auto" w:val="clear"/>
            <w:tcMar>
              <w:top w:type="dxa" w:w="40"/>
              <w:left w:type="dxa" w:w="80"/>
              <w:bottom w:type="dxa" w:w="40"/>
              <w:right w:type="dxa" w:w="80"/>
            </w:tcMar>
          </w:tcPr>
          <w:p>
            <w:pPr>
              <w:spacing w:after="0" w:line="240"/>
            </w:pPr>
            <w:r>
              <w:rPr>
                <w:rFonts w:ascii="Calibri" w:cs="Calibri" w:eastAsia="Calibri" w:hAnsi="Calibri"/>
                <w:b/>
                <w:bCs/>
                <w:sz w:val="14"/>
                <w:szCs w:val="14"/>
              </w:rPr>
              <w:t xml:space="preserve">RF_LITIGE</w:t>
            </w:r>
          </w:p>
        </w:tc>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Action en justice / contentieux (CTX)</w:t>
            </w:r>
          </w:p>
        </w:tc>
        <w:tc>
          <w:tcPr>
            <w:tcW w:type="dxa" w:w="1000"/>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Bloquante</w:t>
            </w:r>
          </w:p>
        </w:tc>
        <w:tc>
          <w:tcPr>
            <w:tcW w:type="dxa" w:w="9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7"/>
                <w:szCs w:val="17"/>
              </w:rPr>
              <w:t xml:space="preserve">souffrance</w:t>
            </w:r>
          </w:p>
        </w:tc>
        <w:tc>
          <w:tcPr>
            <w:tcW w:type="dxa" w:w="16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legal_exposure = litigation</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7"/>
                <w:szCs w:val="17"/>
              </w:rPr>
              <w:t xml:space="preserve">—</w:t>
            </w:r>
          </w:p>
        </w:tc>
      </w:tr>
      <w:tr>
        <w:trPr>
          <w:cantSplit/>
        </w:trPr>
        <w:tc>
          <w:tcPr>
            <w:tcW w:type="dxa" w:w="1900"/>
            <w:tcMar>
              <w:top w:type="dxa" w:w="40"/>
              <w:left w:type="dxa" w:w="80"/>
              <w:bottom w:type="dxa" w:w="40"/>
              <w:right w:type="dxa" w:w="80"/>
            </w:tcMar>
          </w:tcPr>
          <w:p>
            <w:pPr>
              <w:spacing w:after="0" w:line="240"/>
            </w:pPr>
            <w:r>
              <w:rPr>
                <w:rFonts w:ascii="Calibri" w:cs="Calibri" w:eastAsia="Calibri" w:hAnsi="Calibri"/>
                <w:b/>
                <w:bCs/>
                <w:sz w:val="14"/>
                <w:szCs w:val="14"/>
              </w:rPr>
              <w:t xml:space="preserve">RF_MAINLEVEE_SOUS_TARIFEE</w:t>
            </w:r>
          </w:p>
        </w:tc>
        <w:tc>
          <w:tcPr>
            <w:tcW w:type="dxa" w:w="2900"/>
            <w:tcMar>
              <w:top w:type="dxa" w:w="40"/>
              <w:left w:type="dxa" w:w="80"/>
              <w:bottom w:type="dxa" w:w="40"/>
              <w:right w:type="dxa" w:w="80"/>
            </w:tcMar>
          </w:tcPr>
          <w:p>
            <w:pPr>
              <w:spacing w:after="0" w:line="240"/>
            </w:pPr>
            <w:r>
              <w:rPr>
                <w:rFonts w:ascii="Calibri" w:cs="Calibri" w:eastAsia="Calibri" w:hAnsi="Calibri"/>
                <w:sz w:val="17"/>
                <w:szCs w:val="17"/>
              </w:rPr>
              <w:t xml:space="preserve">Prix de mainlevée sous-tarifé</w:t>
            </w:r>
          </w:p>
        </w:tc>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BF8F00"/>
                <w:sz w:val="17"/>
                <w:szCs w:val="17"/>
              </w:rPr>
              <w:t xml:space="preserve">Élevée</w:t>
            </w:r>
          </w:p>
        </w:tc>
        <w:tc>
          <w:tcPr>
            <w:tcW w:type="dxa" w:w="900"/>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−15</w:t>
            </w:r>
          </w:p>
        </w:tc>
        <w:tc>
          <w:tcPr>
            <w:tcW w:type="dxa" w:w="1626"/>
            <w:tcMar>
              <w:top w:type="dxa" w:w="40"/>
              <w:left w:type="dxa" w:w="80"/>
              <w:bottom w:type="dxa" w:w="40"/>
              <w:right w:type="dxa" w:w="80"/>
            </w:tcMar>
          </w:tcPr>
          <w:p>
            <w:pPr>
              <w:spacing w:after="0" w:line="240"/>
            </w:pPr>
            <w:r>
              <w:rPr>
                <w:rFonts w:ascii="Calibri" w:cs="Calibri" w:eastAsia="Calibri" w:hAnsi="Calibri"/>
                <w:sz w:val="17"/>
                <w:szCs w:val="17"/>
              </w:rPr>
              <w:t xml:space="preserve">release_underpriced = vrai</w:t>
            </w:r>
          </w:p>
        </w:tc>
        <w:tc>
          <w:tcPr>
            <w:tcW w:type="dxa" w:w="700"/>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Oui</w:t>
            </w:r>
          </w:p>
        </w:tc>
      </w:tr>
      <w:tr>
        <w:trPr>
          <w:cantSplit/>
        </w:trPr>
        <w:tc>
          <w:tcPr>
            <w:tcW w:type="dxa" w:w="1900"/>
            <w:shd w:fill="F2F5FB" w:color="auto" w:val="clear"/>
            <w:tcMar>
              <w:top w:type="dxa" w:w="40"/>
              <w:left w:type="dxa" w:w="80"/>
              <w:bottom w:type="dxa" w:w="40"/>
              <w:right w:type="dxa" w:w="80"/>
            </w:tcMar>
          </w:tcPr>
          <w:p>
            <w:pPr>
              <w:spacing w:after="0" w:line="240"/>
            </w:pPr>
            <w:r>
              <w:rPr>
                <w:rFonts w:ascii="Calibri" w:cs="Calibri" w:eastAsia="Calibri" w:hAnsi="Calibri"/>
                <w:b/>
                <w:bCs/>
                <w:sz w:val="14"/>
                <w:szCs w:val="14"/>
              </w:rPr>
              <w:t xml:space="preserve">RF_NON_1ER_RANG</w:t>
            </w:r>
          </w:p>
        </w:tc>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Garantie non 1er rang</w:t>
            </w:r>
          </w:p>
        </w:tc>
        <w:tc>
          <w:tcPr>
            <w:tcW w:type="dxa" w:w="1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color w:val="595959"/>
                <w:sz w:val="17"/>
                <w:szCs w:val="17"/>
              </w:rPr>
              <w:t xml:space="preserve">Moyenne</w:t>
            </w:r>
          </w:p>
        </w:tc>
        <w:tc>
          <w:tcPr>
            <w:tcW w:type="dxa" w:w="9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−25</w:t>
            </w:r>
          </w:p>
        </w:tc>
        <w:tc>
          <w:tcPr>
            <w:tcW w:type="dxa" w:w="16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first_rank = non</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7"/>
                <w:szCs w:val="17"/>
              </w:rPr>
              <w:t xml:space="preserve">—</w:t>
            </w:r>
          </w:p>
        </w:tc>
      </w:tr>
      <w:tr>
        <w:trPr>
          <w:cantSplit/>
        </w:trPr>
        <w:tc>
          <w:tcPr>
            <w:tcW w:type="dxa" w:w="1900"/>
            <w:tcMar>
              <w:top w:type="dxa" w:w="40"/>
              <w:left w:type="dxa" w:w="80"/>
              <w:bottom w:type="dxa" w:w="40"/>
              <w:right w:type="dxa" w:w="80"/>
            </w:tcMar>
          </w:tcPr>
          <w:p>
            <w:pPr>
              <w:spacing w:after="0" w:line="240"/>
            </w:pPr>
            <w:r>
              <w:rPr>
                <w:rFonts w:ascii="Calibri" w:cs="Calibri" w:eastAsia="Calibri" w:hAnsi="Calibri"/>
                <w:b/>
                <w:bCs/>
                <w:sz w:val="14"/>
                <w:szCs w:val="14"/>
              </w:rPr>
              <w:t xml:space="preserve">RF_PROJET_ARRET_12M</w:t>
            </w:r>
          </w:p>
        </w:tc>
        <w:tc>
          <w:tcPr>
            <w:tcW w:type="dxa" w:w="2900"/>
            <w:tcMar>
              <w:top w:type="dxa" w:w="40"/>
              <w:left w:type="dxa" w:w="80"/>
              <w:bottom w:type="dxa" w:w="40"/>
              <w:right w:type="dxa" w:w="80"/>
            </w:tcMar>
          </w:tcPr>
          <w:p>
            <w:pPr>
              <w:spacing w:after="0" w:line="240"/>
            </w:pPr>
            <w:r>
              <w:rPr>
                <w:rFonts w:ascii="Calibri" w:cs="Calibri" w:eastAsia="Calibri" w:hAnsi="Calibri"/>
                <w:sz w:val="17"/>
                <w:szCs w:val="17"/>
              </w:rPr>
              <w:t xml:space="preserve">Projet à l'arrêt ≥ 12 mois (souffrance automatique)</w:t>
            </w:r>
          </w:p>
        </w:tc>
        <w:tc>
          <w:tcPr>
            <w:tcW w:type="dxa" w:w="1000"/>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Bloquante</w:t>
            </w:r>
          </w:p>
        </w:tc>
        <w:tc>
          <w:tcPr>
            <w:tcW w:type="dxa" w:w="900"/>
            <w:tcMar>
              <w:top w:type="dxa" w:w="40"/>
              <w:left w:type="dxa" w:w="80"/>
              <w:bottom w:type="dxa" w:w="40"/>
              <w:right w:type="dxa" w:w="80"/>
            </w:tcMar>
          </w:tcPr>
          <w:p>
            <w:pPr>
              <w:spacing w:after="0" w:line="240"/>
              <w:jc w:val="center"/>
            </w:pPr>
            <w:r>
              <w:rPr>
                <w:rFonts w:ascii="Calibri" w:cs="Calibri" w:eastAsia="Calibri" w:hAnsi="Calibri"/>
                <w:color w:val="595959"/>
                <w:sz w:val="17"/>
                <w:szCs w:val="17"/>
              </w:rPr>
              <w:t xml:space="preserve">souffrance</w:t>
            </w:r>
          </w:p>
        </w:tc>
        <w:tc>
          <w:tcPr>
            <w:tcW w:type="dxa" w:w="1626"/>
            <w:tcMar>
              <w:top w:type="dxa" w:w="40"/>
              <w:left w:type="dxa" w:w="80"/>
              <w:bottom w:type="dxa" w:w="40"/>
              <w:right w:type="dxa" w:w="80"/>
            </w:tcMar>
          </w:tcPr>
          <w:p>
            <w:pPr>
              <w:spacing w:after="0" w:line="240"/>
            </w:pPr>
            <w:r>
              <w:rPr>
                <w:rFonts w:ascii="Calibri" w:cs="Calibri" w:eastAsia="Calibri" w:hAnsi="Calibri"/>
                <w:sz w:val="17"/>
                <w:szCs w:val="17"/>
              </w:rPr>
              <w:t xml:space="preserve">project_stopped_months ≥ 12</w:t>
            </w:r>
          </w:p>
        </w:tc>
        <w:tc>
          <w:tcPr>
            <w:tcW w:type="dxa" w:w="700"/>
            <w:tcMar>
              <w:top w:type="dxa" w:w="40"/>
              <w:left w:type="dxa" w:w="80"/>
              <w:bottom w:type="dxa" w:w="40"/>
              <w:right w:type="dxa" w:w="80"/>
            </w:tcMar>
          </w:tcPr>
          <w:p>
            <w:pPr>
              <w:spacing w:after="0" w:line="240"/>
              <w:jc w:val="center"/>
            </w:pPr>
            <w:r>
              <w:rPr>
                <w:rFonts w:ascii="Calibri" w:cs="Calibri" w:eastAsia="Calibri" w:hAnsi="Calibri"/>
                <w:b w:val="false"/>
                <w:bCs w:val="false"/>
                <w:color w:val="595959"/>
                <w:sz w:val="17"/>
                <w:szCs w:val="17"/>
              </w:rPr>
              <w:t xml:space="preserve">—</w:t>
            </w:r>
          </w:p>
        </w:tc>
      </w:tr>
      <w:tr>
        <w:trPr>
          <w:cantSplit/>
        </w:trPr>
        <w:tc>
          <w:tcPr>
            <w:tcW w:type="dxa" w:w="1900"/>
            <w:shd w:fill="F2F5FB" w:color="auto" w:val="clear"/>
            <w:tcMar>
              <w:top w:type="dxa" w:w="40"/>
              <w:left w:type="dxa" w:w="80"/>
              <w:bottom w:type="dxa" w:w="40"/>
              <w:right w:type="dxa" w:w="80"/>
            </w:tcMar>
          </w:tcPr>
          <w:p>
            <w:pPr>
              <w:spacing w:after="0" w:line="240"/>
            </w:pPr>
            <w:r>
              <w:rPr>
                <w:rFonts w:ascii="Calibri" w:cs="Calibri" w:eastAsia="Calibri" w:hAnsi="Calibri"/>
                <w:b/>
                <w:bCs/>
                <w:sz w:val="14"/>
                <w:szCs w:val="14"/>
              </w:rPr>
              <w:t xml:space="preserve">RF_RESTRUCT</w:t>
            </w:r>
          </w:p>
        </w:tc>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Première restructuration</w:t>
            </w:r>
          </w:p>
        </w:tc>
        <w:tc>
          <w:tcPr>
            <w:tcW w:type="dxa" w:w="1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color w:val="595959"/>
                <w:sz w:val="17"/>
                <w:szCs w:val="17"/>
              </w:rPr>
              <w:t xml:space="preserve">Moyenne</w:t>
            </w:r>
          </w:p>
        </w:tc>
        <w:tc>
          <w:tcPr>
            <w:tcW w:type="dxa" w:w="900"/>
            <w:shd w:fill="F2F5FB" w:color="auto" w:val="clear"/>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−25</w:t>
            </w:r>
          </w:p>
        </w:tc>
        <w:tc>
          <w:tcPr>
            <w:tcW w:type="dxa" w:w="16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restructured = yes</w:t>
            </w:r>
          </w:p>
        </w:tc>
        <w:tc>
          <w:tcPr>
            <w:tcW w:type="dxa" w:w="7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Oui</w:t>
            </w:r>
          </w:p>
        </w:tc>
      </w:tr>
      <w:tr>
        <w:trPr>
          <w:cantSplit/>
        </w:trPr>
        <w:tc>
          <w:tcPr>
            <w:tcW w:type="dxa" w:w="1900"/>
            <w:tcMar>
              <w:top w:type="dxa" w:w="40"/>
              <w:left w:type="dxa" w:w="80"/>
              <w:bottom w:type="dxa" w:w="40"/>
              <w:right w:type="dxa" w:w="80"/>
            </w:tcMar>
          </w:tcPr>
          <w:p>
            <w:pPr>
              <w:spacing w:after="0" w:line="240"/>
            </w:pPr>
            <w:r>
              <w:rPr>
                <w:rFonts w:ascii="Calibri" w:cs="Calibri" w:eastAsia="Calibri" w:hAnsi="Calibri"/>
                <w:b/>
                <w:bCs/>
                <w:sz w:val="14"/>
                <w:szCs w:val="14"/>
              </w:rPr>
              <w:t xml:space="preserve">RF_RETARD_6M</w:t>
            </w:r>
          </w:p>
        </w:tc>
        <w:tc>
          <w:tcPr>
            <w:tcW w:type="dxa" w:w="2900"/>
            <w:tcMar>
              <w:top w:type="dxa" w:w="40"/>
              <w:left w:type="dxa" w:w="80"/>
              <w:bottom w:type="dxa" w:w="40"/>
              <w:right w:type="dxa" w:w="80"/>
            </w:tcMar>
          </w:tcPr>
          <w:p>
            <w:pPr>
              <w:spacing w:after="0" w:line="240"/>
            </w:pPr>
            <w:r>
              <w:rPr>
                <w:rFonts w:ascii="Calibri" w:cs="Calibri" w:eastAsia="Calibri" w:hAnsi="Calibri"/>
                <w:sz w:val="17"/>
                <w:szCs w:val="17"/>
              </w:rPr>
              <w:t xml:space="preserve">Retard chantier ≥ 6 mois</w:t>
            </w:r>
          </w:p>
        </w:tc>
        <w:tc>
          <w:tcPr>
            <w:tcW w:type="dxa" w:w="1000"/>
            <w:tcMar>
              <w:top w:type="dxa" w:w="40"/>
              <w:left w:type="dxa" w:w="80"/>
              <w:bottom w:type="dxa" w:w="40"/>
              <w:right w:type="dxa" w:w="80"/>
            </w:tcMar>
          </w:tcPr>
          <w:p>
            <w:pPr>
              <w:spacing w:after="0" w:line="240"/>
            </w:pPr>
            <w:r>
              <w:rPr>
                <w:rFonts w:ascii="Calibri" w:cs="Calibri" w:eastAsia="Calibri" w:hAnsi="Calibri"/>
                <w:b w:val="false"/>
                <w:bCs w:val="false"/>
                <w:color w:val="BF8F00"/>
                <w:sz w:val="17"/>
                <w:szCs w:val="17"/>
              </w:rPr>
              <w:t xml:space="preserve">Élevée</w:t>
            </w:r>
          </w:p>
        </w:tc>
        <w:tc>
          <w:tcPr>
            <w:tcW w:type="dxa" w:w="900"/>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−15</w:t>
            </w:r>
          </w:p>
        </w:tc>
        <w:tc>
          <w:tcPr>
            <w:tcW w:type="dxa" w:w="1626"/>
            <w:tcMar>
              <w:top w:type="dxa" w:w="40"/>
              <w:left w:type="dxa" w:w="80"/>
              <w:bottom w:type="dxa" w:w="40"/>
              <w:right w:type="dxa" w:w="80"/>
            </w:tcMar>
          </w:tcPr>
          <w:p>
            <w:pPr>
              <w:spacing w:after="0" w:line="240"/>
            </w:pPr>
            <w:r>
              <w:rPr>
                <w:rFonts w:ascii="Calibri" w:cs="Calibri" w:eastAsia="Calibri" w:hAnsi="Calibri"/>
                <w:sz w:val="17"/>
                <w:szCs w:val="17"/>
              </w:rPr>
              <w:t xml:space="preserve">construction_delay_months ≥ 6</w:t>
            </w:r>
          </w:p>
        </w:tc>
        <w:tc>
          <w:tcPr>
            <w:tcW w:type="dxa" w:w="700"/>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Oui</w:t>
            </w:r>
          </w:p>
        </w:tc>
      </w:tr>
    </w:tbl>
    <w:p>
      <w:pPr>
        <w:spacing w:after="120" w:before="120" w:line="276"/>
      </w:pPr>
      <w:r>
        <w:rPr>
          <w:rFonts w:ascii="Calibri" w:cs="Calibri" w:eastAsia="Calibri" w:hAnsi="Calibri"/>
          <w:sz w:val="21"/>
          <w:szCs w:val="21"/>
        </w:rPr>
        <w:t xml:space="preserve">Le dépassement de la limite de division des risques porte un malus 0 et exige un retour en comité : on ne masque pas un dépassement en dégradant la note.</w:t>
      </w:r>
    </w:p>
    <w:p>
      <w:pPr>
        <w:pStyle w:val="Heading2"/>
        <w:spacing w:after="120" w:before="0" w:line="276"/>
      </w:pPr>
      <w:r>
        <w:rPr>
          <w:rFonts w:ascii="Calibri" w:cs="Calibri" w:eastAsia="Calibri" w:hAnsi="Calibri"/>
          <w:sz w:val="21"/>
          <w:szCs w:val="21"/>
        </w:rPr>
        <w:t xml:space="preserve">1.6 Ajustements territoriaux et sectoriels</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6000"/>
        <w:gridCol w:w="3026"/>
      </w:tblGrid>
      <w:tr>
        <w:trPr>
          <w:cantSplit/>
          <w:tblHeader/>
        </w:trPr>
        <w:tc>
          <w:tcPr>
            <w:tcW w:type="dxa" w:w="6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Segment</w:t>
            </w:r>
          </w:p>
        </w:tc>
        <w:tc>
          <w:tcPr>
            <w:tcW w:type="dxa" w:w="30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α</w:t>
            </w:r>
          </w:p>
        </w:tc>
      </w:tr>
      <w:tr>
        <w:trPr>
          <w:cantSplit/>
        </w:trPr>
        <w:tc>
          <w:tcPr>
            <w:tcW w:type="dxa" w:w="6000"/>
            <w:tcMar>
              <w:top w:type="dxa" w:w="40"/>
              <w:left w:type="dxa" w:w="80"/>
              <w:bottom w:type="dxa" w:w="40"/>
              <w:right w:type="dxa" w:w="80"/>
            </w:tcMar>
          </w:tcPr>
          <w:p>
            <w:pPr>
              <w:spacing w:after="0" w:line="240"/>
            </w:pPr>
            <w:r>
              <w:rPr>
                <w:rFonts w:ascii="Calibri" w:cs="Calibri" w:eastAsia="Calibri" w:hAnsi="Calibri"/>
                <w:sz w:val="17"/>
                <w:szCs w:val="17"/>
              </w:rPr>
              <w:t xml:space="preserve">Logement social</w:t>
            </w:r>
          </w:p>
        </w:tc>
        <w:tc>
          <w:tcPr>
            <w:tcW w:type="dxa" w:w="3026"/>
            <w:tcMar>
              <w:top w:type="dxa" w:w="40"/>
              <w:left w:type="dxa" w:w="80"/>
              <w:bottom w:type="dxa" w:w="40"/>
              <w:right w:type="dxa" w:w="80"/>
            </w:tcMar>
          </w:tcPr>
          <w:p>
            <w:pPr>
              <w:spacing w:after="0" w:line="240"/>
              <w:jc w:val="center"/>
            </w:pPr>
            <w:r>
              <w:rPr>
                <w:rFonts w:ascii="Calibri" w:cs="Calibri" w:eastAsia="Calibri" w:hAnsi="Calibri"/>
                <w:color w:val="595959"/>
                <w:sz w:val="17"/>
                <w:szCs w:val="17"/>
              </w:rPr>
              <w:t xml:space="preserve">0 %</w:t>
            </w:r>
          </w:p>
        </w:tc>
      </w:tr>
      <w:tr>
        <w:trPr>
          <w:cantSplit/>
        </w:trPr>
        <w:tc>
          <w:tcPr>
            <w:tcW w:type="dxa" w:w="6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Logement intermédiaire</w:t>
            </w:r>
          </w:p>
        </w:tc>
        <w:tc>
          <w:tcPr>
            <w:tcW w:type="dxa" w:w="3026"/>
            <w:shd w:fill="F2F5FB" w:color="auto" w:val="clear"/>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−5 %</w:t>
            </w:r>
          </w:p>
        </w:tc>
      </w:tr>
      <w:tr>
        <w:trPr>
          <w:cantSplit/>
        </w:trPr>
        <w:tc>
          <w:tcPr>
            <w:tcW w:type="dxa" w:w="6000"/>
            <w:tcMar>
              <w:top w:type="dxa" w:w="40"/>
              <w:left w:type="dxa" w:w="80"/>
              <w:bottom w:type="dxa" w:w="40"/>
              <w:right w:type="dxa" w:w="80"/>
            </w:tcMar>
          </w:tcPr>
          <w:p>
            <w:pPr>
              <w:spacing w:after="0" w:line="240"/>
            </w:pPr>
            <w:r>
              <w:rPr>
                <w:rFonts w:ascii="Calibri" w:cs="Calibri" w:eastAsia="Calibri" w:hAnsi="Calibri"/>
                <w:sz w:val="17"/>
                <w:szCs w:val="17"/>
              </w:rPr>
              <w:t xml:space="preserve">Moyen-haut standing</w:t>
            </w:r>
          </w:p>
        </w:tc>
        <w:tc>
          <w:tcPr>
            <w:tcW w:type="dxa" w:w="3026"/>
            <w:tcMar>
              <w:top w:type="dxa" w:w="40"/>
              <w:left w:type="dxa" w:w="80"/>
              <w:bottom w:type="dxa" w:w="40"/>
              <w:right w:type="dxa" w:w="80"/>
            </w:tcMar>
          </w:tcPr>
          <w:p>
            <w:pPr>
              <w:spacing w:after="0" w:line="240"/>
              <w:jc w:val="center"/>
            </w:pPr>
            <w:r>
              <w:rPr>
                <w:rFonts w:ascii="Calibri" w:cs="Calibri" w:eastAsia="Calibri" w:hAnsi="Calibri"/>
                <w:color w:val="595959"/>
                <w:sz w:val="17"/>
                <w:szCs w:val="17"/>
              </w:rPr>
              <w:t xml:space="preserve">0 %</w:t>
            </w:r>
          </w:p>
        </w:tc>
      </w:tr>
      <w:tr>
        <w:trPr>
          <w:cantSplit/>
        </w:trPr>
        <w:tc>
          <w:tcPr>
            <w:tcW w:type="dxa" w:w="6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Touristique / hôtelier</w:t>
            </w:r>
          </w:p>
        </w:tc>
        <w:tc>
          <w:tcPr>
            <w:tcW w:type="dxa" w:w="3026"/>
            <w:shd w:fill="F2F5FB" w:color="auto" w:val="clear"/>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−7,000000000000001 %</w:t>
            </w:r>
          </w:p>
        </w:tc>
      </w:tr>
      <w:tr>
        <w:trPr>
          <w:cantSplit/>
        </w:trPr>
        <w:tc>
          <w:tcPr>
            <w:tcW w:type="dxa" w:w="6000"/>
            <w:tcMar>
              <w:top w:type="dxa" w:w="40"/>
              <w:left w:type="dxa" w:w="80"/>
              <w:bottom w:type="dxa" w:w="40"/>
              <w:right w:type="dxa" w:w="80"/>
            </w:tcMar>
          </w:tcPr>
          <w:p>
            <w:pPr>
              <w:spacing w:after="0" w:line="240"/>
            </w:pPr>
            <w:r>
              <w:rPr>
                <w:rFonts w:ascii="Calibri" w:cs="Calibri" w:eastAsia="Calibri" w:hAnsi="Calibri"/>
                <w:sz w:val="17"/>
                <w:szCs w:val="17"/>
              </w:rPr>
              <w:t xml:space="preserve">Bureaux</w:t>
            </w:r>
          </w:p>
        </w:tc>
        <w:tc>
          <w:tcPr>
            <w:tcW w:type="dxa" w:w="3026"/>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−5 %</w:t>
            </w:r>
          </w:p>
        </w:tc>
      </w:tr>
      <w:tr>
        <w:trPr>
          <w:cantSplit/>
        </w:trPr>
        <w:tc>
          <w:tcPr>
            <w:tcW w:type="dxa" w:w="6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Commerces</w:t>
            </w:r>
          </w:p>
        </w:tc>
        <w:tc>
          <w:tcPr>
            <w:tcW w:type="dxa" w:w="3026"/>
            <w:shd w:fill="F2F5FB" w:color="auto" w:val="clear"/>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−3 %</w:t>
            </w:r>
          </w:p>
        </w:tc>
      </w:tr>
      <w:tr>
        <w:trPr>
          <w:cantSplit/>
        </w:trPr>
        <w:tc>
          <w:tcPr>
            <w:tcW w:type="dxa" w:w="6000"/>
            <w:tcMar>
              <w:top w:type="dxa" w:w="40"/>
              <w:left w:type="dxa" w:w="80"/>
              <w:bottom w:type="dxa" w:w="40"/>
              <w:right w:type="dxa" w:w="80"/>
            </w:tcMar>
          </w:tcPr>
          <w:p>
            <w:pPr>
              <w:spacing w:after="0" w:line="240"/>
            </w:pPr>
            <w:r>
              <w:rPr>
                <w:rFonts w:ascii="Calibri" w:cs="Calibri" w:eastAsia="Calibri" w:hAnsi="Calibri"/>
                <w:sz w:val="17"/>
                <w:szCs w:val="17"/>
              </w:rPr>
              <w:t xml:space="preserve">Villas</w:t>
            </w:r>
          </w:p>
        </w:tc>
        <w:tc>
          <w:tcPr>
            <w:tcW w:type="dxa" w:w="3026"/>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−4 %</w:t>
            </w:r>
          </w:p>
        </w:tc>
      </w:tr>
    </w:tbl>
    <w:p>
      <w:pPr>
        <w:spacing w:after="80" w:before="0" w:line="276"/>
      </w:pPr>
      <w:r>
        <w:rPr>
          <w:rFonts w:ascii="Calibri" w:cs="Calibri" w:eastAsia="Calibri" w:hAnsi="Calibri"/>
          <w:sz w:val="21"/>
          <w:szCs w:val="21"/>
        </w:rPr>
        <w:t xml:space="preserve"/>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6000"/>
        <w:gridCol w:w="3026"/>
      </w:tblGrid>
      <w:tr>
        <w:trPr>
          <w:cantSplit/>
          <w:tblHeader/>
        </w:trPr>
        <w:tc>
          <w:tcPr>
            <w:tcW w:type="dxa" w:w="6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Zone</w:t>
            </w:r>
          </w:p>
        </w:tc>
        <w:tc>
          <w:tcPr>
            <w:tcW w:type="dxa" w:w="30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β</w:t>
            </w:r>
          </w:p>
        </w:tc>
      </w:tr>
      <w:tr>
        <w:trPr>
          <w:cantSplit/>
        </w:trPr>
        <w:tc>
          <w:tcPr>
            <w:tcW w:type="dxa" w:w="6000"/>
            <w:tcMar>
              <w:top w:type="dxa" w:w="40"/>
              <w:left w:type="dxa" w:w="80"/>
              <w:bottom w:type="dxa" w:w="40"/>
              <w:right w:type="dxa" w:w="80"/>
            </w:tcMar>
          </w:tcPr>
          <w:p>
            <w:pPr>
              <w:spacing w:after="0" w:line="240"/>
            </w:pPr>
            <w:r>
              <w:rPr>
                <w:rFonts w:ascii="Calibri" w:cs="Calibri" w:eastAsia="Calibri" w:hAnsi="Calibri"/>
                <w:sz w:val="17"/>
                <w:szCs w:val="17"/>
              </w:rPr>
              <w:t xml:space="preserve">Casablanca — centre</w:t>
            </w:r>
          </w:p>
        </w:tc>
        <w:tc>
          <w:tcPr>
            <w:tcW w:type="dxa" w:w="3026"/>
            <w:tcMar>
              <w:top w:type="dxa" w:w="40"/>
              <w:left w:type="dxa" w:w="80"/>
              <w:bottom w:type="dxa" w:w="40"/>
              <w:right w:type="dxa" w:w="80"/>
            </w:tcMar>
          </w:tcPr>
          <w:p>
            <w:pPr>
              <w:spacing w:after="0" w:line="240"/>
              <w:jc w:val="center"/>
            </w:pPr>
            <w:r>
              <w:rPr>
                <w:rFonts w:ascii="Calibri" w:cs="Calibri" w:eastAsia="Calibri" w:hAnsi="Calibri"/>
                <w:color w:val="595959"/>
                <w:sz w:val="17"/>
                <w:szCs w:val="17"/>
              </w:rPr>
              <w:t xml:space="preserve">0 %</w:t>
            </w:r>
          </w:p>
        </w:tc>
      </w:tr>
      <w:tr>
        <w:trPr>
          <w:cantSplit/>
        </w:trPr>
        <w:tc>
          <w:tcPr>
            <w:tcW w:type="dxa" w:w="6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Casablanca — périphérie</w:t>
            </w:r>
          </w:p>
        </w:tc>
        <w:tc>
          <w:tcPr>
            <w:tcW w:type="dxa" w:w="3026"/>
            <w:shd w:fill="F2F5FB" w:color="auto" w:val="clear"/>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−5 %</w:t>
            </w:r>
          </w:p>
        </w:tc>
      </w:tr>
      <w:tr>
        <w:trPr>
          <w:cantSplit/>
        </w:trPr>
        <w:tc>
          <w:tcPr>
            <w:tcW w:type="dxa" w:w="6000"/>
            <w:tcMar>
              <w:top w:type="dxa" w:w="40"/>
              <w:left w:type="dxa" w:w="80"/>
              <w:bottom w:type="dxa" w:w="40"/>
              <w:right w:type="dxa" w:w="80"/>
            </w:tcMar>
          </w:tcPr>
          <w:p>
            <w:pPr>
              <w:spacing w:after="0" w:line="240"/>
            </w:pPr>
            <w:r>
              <w:rPr>
                <w:rFonts w:ascii="Calibri" w:cs="Calibri" w:eastAsia="Calibri" w:hAnsi="Calibri"/>
                <w:sz w:val="17"/>
                <w:szCs w:val="17"/>
              </w:rPr>
              <w:t xml:space="preserve">Rabat — centre</w:t>
            </w:r>
          </w:p>
        </w:tc>
        <w:tc>
          <w:tcPr>
            <w:tcW w:type="dxa" w:w="3026"/>
            <w:tcMar>
              <w:top w:type="dxa" w:w="40"/>
              <w:left w:type="dxa" w:w="80"/>
              <w:bottom w:type="dxa" w:w="40"/>
              <w:right w:type="dxa" w:w="80"/>
            </w:tcMar>
          </w:tcPr>
          <w:p>
            <w:pPr>
              <w:spacing w:after="0" w:line="240"/>
              <w:jc w:val="center"/>
            </w:pPr>
            <w:r>
              <w:rPr>
                <w:rFonts w:ascii="Calibri" w:cs="Calibri" w:eastAsia="Calibri" w:hAnsi="Calibri"/>
                <w:color w:val="548235"/>
                <w:sz w:val="17"/>
                <w:szCs w:val="17"/>
              </w:rPr>
              <w:t xml:space="preserve">+2 %</w:t>
            </w:r>
          </w:p>
        </w:tc>
      </w:tr>
      <w:tr>
        <w:trPr>
          <w:cantSplit/>
        </w:trPr>
        <w:tc>
          <w:tcPr>
            <w:tcW w:type="dxa" w:w="6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Rabat — périphérie</w:t>
            </w:r>
          </w:p>
        </w:tc>
        <w:tc>
          <w:tcPr>
            <w:tcW w:type="dxa" w:w="3026"/>
            <w:shd w:fill="F2F5FB" w:color="auto" w:val="clear"/>
            <w:tcMar>
              <w:top w:type="dxa" w:w="40"/>
              <w:left w:type="dxa" w:w="80"/>
              <w:bottom w:type="dxa" w:w="40"/>
              <w:right w:type="dxa" w:w="80"/>
            </w:tcMar>
          </w:tcPr>
          <w:p>
            <w:pPr>
              <w:spacing w:after="0" w:line="240"/>
              <w:jc w:val="center"/>
            </w:pPr>
            <w:r>
              <w:rPr>
                <w:rFonts w:ascii="Calibri" w:cs="Calibri" w:eastAsia="Calibri" w:hAnsi="Calibri"/>
                <w:color w:val="595959"/>
                <w:sz w:val="17"/>
                <w:szCs w:val="17"/>
              </w:rPr>
              <w:t xml:space="preserve">0 %</w:t>
            </w:r>
          </w:p>
        </w:tc>
      </w:tr>
      <w:tr>
        <w:trPr>
          <w:cantSplit/>
        </w:trPr>
        <w:tc>
          <w:tcPr>
            <w:tcW w:type="dxa" w:w="6000"/>
            <w:tcMar>
              <w:top w:type="dxa" w:w="40"/>
              <w:left w:type="dxa" w:w="80"/>
              <w:bottom w:type="dxa" w:w="40"/>
              <w:right w:type="dxa" w:w="80"/>
            </w:tcMar>
          </w:tcPr>
          <w:p>
            <w:pPr>
              <w:spacing w:after="0" w:line="240"/>
            </w:pPr>
            <w:r>
              <w:rPr>
                <w:rFonts w:ascii="Calibri" w:cs="Calibri" w:eastAsia="Calibri" w:hAnsi="Calibri"/>
                <w:sz w:val="17"/>
                <w:szCs w:val="17"/>
              </w:rPr>
              <w:t xml:space="preserve">Tanger</w:t>
            </w:r>
          </w:p>
        </w:tc>
        <w:tc>
          <w:tcPr>
            <w:tcW w:type="dxa" w:w="3026"/>
            <w:tcMar>
              <w:top w:type="dxa" w:w="40"/>
              <w:left w:type="dxa" w:w="80"/>
              <w:bottom w:type="dxa" w:w="40"/>
              <w:right w:type="dxa" w:w="80"/>
            </w:tcMar>
          </w:tcPr>
          <w:p>
            <w:pPr>
              <w:spacing w:after="0" w:line="240"/>
              <w:jc w:val="center"/>
            </w:pPr>
            <w:r>
              <w:rPr>
                <w:rFonts w:ascii="Calibri" w:cs="Calibri" w:eastAsia="Calibri" w:hAnsi="Calibri"/>
                <w:color w:val="595959"/>
                <w:sz w:val="17"/>
                <w:szCs w:val="17"/>
              </w:rPr>
              <w:t xml:space="preserve">0 %</w:t>
            </w:r>
          </w:p>
        </w:tc>
      </w:tr>
      <w:tr>
        <w:trPr>
          <w:cantSplit/>
        </w:trPr>
        <w:tc>
          <w:tcPr>
            <w:tcW w:type="dxa" w:w="6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Marrakech</w:t>
            </w:r>
          </w:p>
        </w:tc>
        <w:tc>
          <w:tcPr>
            <w:tcW w:type="dxa" w:w="3026"/>
            <w:shd w:fill="F2F5FB" w:color="auto" w:val="clear"/>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−7,000000000000001 %</w:t>
            </w:r>
          </w:p>
        </w:tc>
      </w:tr>
      <w:tr>
        <w:trPr>
          <w:cantSplit/>
        </w:trPr>
        <w:tc>
          <w:tcPr>
            <w:tcW w:type="dxa" w:w="6000"/>
            <w:tcMar>
              <w:top w:type="dxa" w:w="40"/>
              <w:left w:type="dxa" w:w="80"/>
              <w:bottom w:type="dxa" w:w="40"/>
              <w:right w:type="dxa" w:w="80"/>
            </w:tcMar>
          </w:tcPr>
          <w:p>
            <w:pPr>
              <w:spacing w:after="0" w:line="240"/>
            </w:pPr>
            <w:r>
              <w:rPr>
                <w:rFonts w:ascii="Calibri" w:cs="Calibri" w:eastAsia="Calibri" w:hAnsi="Calibri"/>
                <w:sz w:val="17"/>
                <w:szCs w:val="17"/>
              </w:rPr>
              <w:t xml:space="preserve">Agadir</w:t>
            </w:r>
          </w:p>
        </w:tc>
        <w:tc>
          <w:tcPr>
            <w:tcW w:type="dxa" w:w="3026"/>
            <w:tcMar>
              <w:top w:type="dxa" w:w="40"/>
              <w:left w:type="dxa" w:w="80"/>
              <w:bottom w:type="dxa" w:w="40"/>
              <w:right w:type="dxa" w:w="80"/>
            </w:tcMar>
          </w:tcPr>
          <w:p>
            <w:pPr>
              <w:spacing w:after="0" w:line="240"/>
              <w:jc w:val="center"/>
            </w:pPr>
            <w:r>
              <w:rPr>
                <w:rFonts w:ascii="Calibri" w:cs="Calibri" w:eastAsia="Calibri" w:hAnsi="Calibri"/>
                <w:color w:val="595959"/>
                <w:sz w:val="17"/>
                <w:szCs w:val="17"/>
              </w:rPr>
              <w:t xml:space="preserve">0 %</w:t>
            </w:r>
          </w:p>
        </w:tc>
      </w:tr>
      <w:tr>
        <w:trPr>
          <w:cantSplit/>
        </w:trPr>
        <w:tc>
          <w:tcPr>
            <w:tcW w:type="dxa" w:w="6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Fès / Oriental</w:t>
            </w:r>
          </w:p>
        </w:tc>
        <w:tc>
          <w:tcPr>
            <w:tcW w:type="dxa" w:w="3026"/>
            <w:shd w:fill="F2F5FB" w:color="auto" w:val="clear"/>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−3 %</w:t>
            </w:r>
          </w:p>
        </w:tc>
      </w:tr>
      <w:tr>
        <w:trPr>
          <w:cantSplit/>
        </w:trPr>
        <w:tc>
          <w:tcPr>
            <w:tcW w:type="dxa" w:w="6000"/>
            <w:tcMar>
              <w:top w:type="dxa" w:w="40"/>
              <w:left w:type="dxa" w:w="80"/>
              <w:bottom w:type="dxa" w:w="40"/>
              <w:right w:type="dxa" w:w="80"/>
            </w:tcMar>
          </w:tcPr>
          <w:p>
            <w:pPr>
              <w:spacing w:after="0" w:line="240"/>
            </w:pPr>
            <w:r>
              <w:rPr>
                <w:rFonts w:ascii="Calibri" w:cs="Calibri" w:eastAsia="Calibri" w:hAnsi="Calibri"/>
                <w:sz w:val="17"/>
                <w:szCs w:val="17"/>
              </w:rPr>
              <w:t xml:space="preserve">Régions intérieures</w:t>
            </w:r>
          </w:p>
        </w:tc>
        <w:tc>
          <w:tcPr>
            <w:tcW w:type="dxa" w:w="3026"/>
            <w:tcMar>
              <w:top w:type="dxa" w:w="40"/>
              <w:left w:type="dxa" w:w="80"/>
              <w:bottom w:type="dxa" w:w="40"/>
              <w:right w:type="dxa" w:w="80"/>
            </w:tcMar>
          </w:tcPr>
          <w:p>
            <w:pPr>
              <w:spacing w:after="0" w:line="240"/>
              <w:jc w:val="center"/>
            </w:pPr>
            <w:r>
              <w:rPr>
                <w:rFonts w:ascii="Calibri" w:cs="Calibri" w:eastAsia="Calibri" w:hAnsi="Calibri"/>
                <w:color w:val="C00000"/>
                <w:sz w:val="17"/>
                <w:szCs w:val="17"/>
              </w:rPr>
              <w:t xml:space="preserve">−5 %</w:t>
            </w:r>
          </w:p>
        </w:tc>
      </w:tr>
    </w:tbl>
    <w:p>
      <w:pPr>
        <w:spacing w:after="120" w:before="120" w:line="276"/>
      </w:pPr>
      <w:r>
        <w:rPr>
          <w:rFonts w:ascii="Calibri" w:cs="Calibri" w:eastAsia="Calibri" w:hAnsi="Calibri"/>
          <w:b/>
          <w:bCs/>
          <w:sz w:val="21"/>
          <w:szCs w:val="21"/>
        </w:rPr>
        <w:t xml:space="preserve">Statut : </w:t>
      </w:r>
      <w:r>
        <w:rPr>
          <w:rFonts w:ascii="Calibri" w:cs="Calibri" w:eastAsia="Calibri" w:hAnsi="Calibri"/>
          <w:i/>
          <w:iCs/>
          <w:sz w:val="21"/>
          <w:szCs w:val="21"/>
        </w:rPr>
        <w:t xml:space="preserve">ces coefficients ne sont pas encore étayés par une analyse de micro-marché. L'outil affiche le score avec et sans coefficients (challenger) et signale tout segment ou zone hors référentiel. Ils ne sont pas à présenter comme calibrés.</w:t>
      </w:r>
    </w:p>
    <w:p>
      <w:r>
        <w:br w:type="page"/>
      </w:r>
    </w:p>
    <w:p>
      <w:pPr>
        <w:pStyle w:val="Heading2"/>
        <w:spacing w:after="120" w:before="0" w:line="276"/>
      </w:pPr>
      <w:r>
        <w:rPr>
          <w:rFonts w:ascii="Calibri" w:cs="Calibri" w:eastAsia="Calibri" w:hAnsi="Calibri"/>
          <w:sz w:val="21"/>
          <w:szCs w:val="21"/>
        </w:rPr>
        <w:t xml:space="preserve">1.7 Historique des versions</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7026"/>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Version</w:t>
            </w:r>
          </w:p>
        </w:tc>
        <w:tc>
          <w:tcPr>
            <w:tcW w:type="dxa" w:w="70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Apport</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v2.0.0 (juin 2026)</w:t>
            </w:r>
          </w:p>
        </w:tc>
        <w:tc>
          <w:tcPr>
            <w:tcW w:type="dxa" w:w="7026"/>
            <w:tcMar>
              <w:top w:type="dxa" w:w="40"/>
              <w:left w:type="dxa" w:w="80"/>
              <w:bottom w:type="dxa" w:w="40"/>
              <w:right w:type="dxa" w:w="80"/>
            </w:tcMar>
          </w:tcPr>
          <w:p>
            <w:pPr>
              <w:spacing w:after="0" w:line="240"/>
            </w:pPr>
            <w:r>
              <w:rPr>
                <w:rFonts w:ascii="Calibri" w:cs="Calibri" w:eastAsia="Calibri" w:hAnsi="Calibri"/>
                <w:sz w:val="17"/>
                <w:szCs w:val="17"/>
              </w:rPr>
              <w:t xml:space="preserve">Échelle 1–10, 26 critères, 9 alertes, poids de domaines portés à 100 %.</w:t>
            </w:r>
          </w:p>
        </w:tc>
      </w:tr>
      <w:tr>
        <w:trPr>
          <w:cantSplit/>
        </w:trPr>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v3.0.0 (20 sept.)</w:t>
            </w:r>
          </w:p>
        </w:tc>
        <w:tc>
          <w:tcPr>
            <w:tcW w:type="dxa" w:w="7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Remédiation du diagnostic : invariants de décision (donnée manquante, défaut avéré, classe non renseignée), notes économique et sûretés séparées, gates par jalon, stress aux identités comptables, libellés de bornes alignés sur l'exécution.</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sz w:val="17"/>
                <w:szCs w:val="17"/>
              </w:rPr>
              <w:t xml:space="preserve">v4.0.0 (28 sept.)</w:t>
            </w:r>
          </w:p>
        </w:tc>
        <w:tc>
          <w:tcPr>
            <w:tcW w:type="dxa" w:w="7026"/>
            <w:tcMar>
              <w:top w:type="dxa" w:w="40"/>
              <w:left w:type="dxa" w:w="80"/>
              <w:bottom w:type="dxa" w:w="40"/>
              <w:right w:type="dxa" w:w="80"/>
            </w:tcMar>
          </w:tcPr>
          <w:p>
            <w:pPr>
              <w:spacing w:after="0" w:line="240"/>
            </w:pPr>
            <w:r>
              <w:rPr>
                <w:rFonts w:ascii="Calibri" w:cs="Calibri" w:eastAsia="Calibri" w:hAnsi="Calibri"/>
                <w:sz w:val="17"/>
                <w:szCs w:val="17"/>
              </w:rPr>
              <w:t xml:space="preserve">Alignement Maroc : chaîne d'autorisations (D2C8), ventes sécurisées par le financement acquéreur (D3C8), quotité de désengagement vs équilibre (D4C7) ; 4 alertes (verrou d'autorisation, division des risques, mainlevée sous-tarifée, acquéreurs non financés) ; correction d'un trou de plages sur l'impasse.</w:t>
            </w:r>
          </w:p>
        </w:tc>
      </w:tr>
      <w:tr>
        <w:trPr>
          <w:cantSplit/>
        </w:trPr>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Correctif (29 sept.)</w:t>
            </w:r>
          </w:p>
        </w:tc>
        <w:tc>
          <w:tcPr>
            <w:tcW w:type="dxa" w:w="70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Correction de libellés de bornes affichés à l'arrondi entier sur deux critères (D3C4 et D4C6). Les valeurs de calcul étaient exactes ; seul l'affichage était erroné.</w:t>
            </w:r>
          </w:p>
        </w:tc>
      </w:tr>
    </w:tbl>
    <w:p>
      <w:r>
        <w:br w:type="page"/>
      </w:r>
    </w:p>
    <w:p>
      <w:pPr>
        <w:pStyle w:val="Heading1"/>
        <w:spacing w:after="120" w:before="0" w:line="276"/>
      </w:pPr>
      <w:r>
        <w:rPr>
          <w:rFonts w:ascii="Calibri" w:cs="Calibri" w:eastAsia="Calibri" w:hAnsi="Calibri"/>
          <w:sz w:val="21"/>
          <w:szCs w:val="21"/>
        </w:rPr>
        <w:t xml:space="preserve">2. Perspectives d'évolution et possibilités</w:t>
      </w:r>
    </w:p>
    <w:p>
      <w:pPr>
        <w:spacing w:after="120" w:before="0" w:line="276"/>
      </w:pPr>
      <w:r>
        <w:rPr>
          <w:rFonts w:ascii="Calibri" w:cs="Calibri" w:eastAsia="Calibri" w:hAnsi="Calibri"/>
          <w:sz w:val="21"/>
          <w:szCs w:val="21"/>
        </w:rPr>
        <w:t xml:space="preserve">Les évolutions sont classées selon ce qui les conditionne réellement : ce qui peut être fait maintenant, ce qui exige vos données, ce qui exige un raccordement, et ce qui relève d'une décision de gouvernance. Cette distinction évite de promettre une calibration sans base de défauts.</w:t>
      </w:r>
    </w:p>
    <w:p>
      <w:pPr>
        <w:pStyle w:val="Heading2"/>
        <w:spacing w:after="120" w:before="0" w:line="276"/>
      </w:pPr>
      <w:r>
        <w:rPr>
          <w:rFonts w:ascii="Calibri" w:cs="Calibri" w:eastAsia="Calibri" w:hAnsi="Calibri"/>
          <w:sz w:val="21"/>
          <w:szCs w:val="21"/>
        </w:rPr>
        <w:t xml:space="preserve">2.1 Ce que le dispositif permet aujourd'hui</w:t>
      </w:r>
    </w:p>
    <w:p>
      <w:pPr>
        <w:pStyle w:val="ListParagraph"/>
        <w:numPr>
          <w:ilvl w:val="0"/>
          <w:numId w:val="2"/>
        </w:numPr>
        <w:spacing w:after="60" w:line="276"/>
      </w:pPr>
      <w:r>
        <w:rPr>
          <w:rFonts w:ascii="Calibri" w:cs="Calibri" w:eastAsia="Calibri" w:hAnsi="Calibri"/>
          <w:sz w:val="21"/>
          <w:szCs w:val="21"/>
        </w:rPr>
        <w:t xml:space="preserve">Scoring des projets de promotion et d'exploitation, avec décision, classe interne et PD indicative.</w:t>
      </w:r>
    </w:p>
    <w:p>
      <w:pPr>
        <w:pStyle w:val="ListParagraph"/>
        <w:numPr>
          <w:ilvl w:val="0"/>
          <w:numId w:val="2"/>
        </w:numPr>
        <w:spacing w:after="60" w:line="276"/>
      </w:pPr>
      <w:r>
        <w:rPr>
          <w:rFonts w:ascii="Calibri" w:cs="Calibri" w:eastAsia="Calibri" w:hAnsi="Calibri"/>
          <w:sz w:val="21"/>
          <w:szCs w:val="21"/>
        </w:rPr>
        <w:t xml:space="preserve">Classification BAM (19/G/2002 et 1/W/2025), provisionnement, garanties, GFA/VEFA, IFRS 9 indicatif.</w:t>
      </w:r>
    </w:p>
    <w:p>
      <w:pPr>
        <w:pStyle w:val="ListParagraph"/>
        <w:numPr>
          <w:ilvl w:val="0"/>
          <w:numId w:val="2"/>
        </w:numPr>
        <w:spacing w:after="60" w:line="276"/>
      </w:pPr>
      <w:r>
        <w:rPr>
          <w:rFonts w:ascii="Calibri" w:cs="Calibri" w:eastAsia="Calibri" w:hAnsi="Calibri"/>
          <w:sz w:val="21"/>
          <w:szCs w:val="21"/>
        </w:rPr>
        <w:t xml:space="preserve">Suivi lot par lot (déblocages, commercialisation), journal d'événements, retour en comité et nouveau scoring sur événement structurant.</w:t>
      </w:r>
    </w:p>
    <w:p>
      <w:pPr>
        <w:pStyle w:val="ListParagraph"/>
        <w:numPr>
          <w:ilvl w:val="0"/>
          <w:numId w:val="2"/>
        </w:numPr>
        <w:spacing w:after="60" w:line="276"/>
      </w:pPr>
      <w:r>
        <w:rPr>
          <w:rFonts w:ascii="Calibri" w:cs="Calibri" w:eastAsia="Calibri" w:hAnsi="Calibri"/>
          <w:sz w:val="21"/>
          <w:szCs w:val="21"/>
        </w:rPr>
        <w:t xml:space="preserve">Trésorerie mensuelle reconstituée avec besoin de financement maximal et date de rupture ; LGD par waterfall de recouvrement.</w:t>
      </w:r>
    </w:p>
    <w:p>
      <w:pPr>
        <w:pStyle w:val="ListParagraph"/>
        <w:numPr>
          <w:ilvl w:val="0"/>
          <w:numId w:val="2"/>
        </w:numPr>
        <w:spacing w:after="60" w:line="276"/>
      </w:pPr>
      <w:r>
        <w:rPr>
          <w:rFonts w:ascii="Calibri" w:cs="Calibri" w:eastAsia="Calibri" w:hAnsi="Calibri"/>
          <w:sz w:val="21"/>
          <w:szCs w:val="21"/>
        </w:rPr>
        <w:t xml:space="preserve">Challengers de pondération par phase et sans coefficients territoriaux, comparés au score officiel sans le modifier.</w:t>
      </w:r>
    </w:p>
    <w:p>
      <w:pPr>
        <w:pStyle w:val="ListParagraph"/>
        <w:numPr>
          <w:ilvl w:val="0"/>
          <w:numId w:val="2"/>
        </w:numPr>
        <w:spacing w:after="60" w:line="276"/>
      </w:pPr>
      <w:r>
        <w:rPr>
          <w:rFonts w:ascii="Calibri" w:cs="Calibri" w:eastAsia="Calibri" w:hAnsi="Calibri"/>
          <w:sz w:val="21"/>
          <w:szCs w:val="21"/>
        </w:rPr>
        <w:t xml:space="preserve">Référentiels métier marocains administrables sans redéploiement ; import Excel/CSV ; lecture de documents par IA ; interface de connexion au SI.</w:t>
      </w:r>
    </w:p>
    <w:p>
      <w:pPr>
        <w:pStyle w:val="ListParagraph"/>
        <w:numPr>
          <w:ilvl w:val="0"/>
          <w:numId w:val="2"/>
        </w:numPr>
        <w:spacing w:after="60" w:line="276"/>
      </w:pPr>
      <w:r>
        <w:rPr>
          <w:rFonts w:ascii="Calibri" w:cs="Calibri" w:eastAsia="Calibri" w:hAnsi="Calibri"/>
          <w:sz w:val="21"/>
          <w:szCs w:val="21"/>
        </w:rPr>
        <w:t xml:space="preserve">Workflow d'approbation (centre d'affaires, direction régionale, comité), rôles et traçabilité.</w:t>
      </w:r>
    </w:p>
    <w:p>
      <w:pPr>
        <w:pStyle w:val="Heading2"/>
        <w:spacing w:after="120" w:before="0" w:line="276"/>
      </w:pPr>
      <w:r>
        <w:rPr>
          <w:rFonts w:ascii="Calibri" w:cs="Calibri" w:eastAsia="Calibri" w:hAnsi="Calibri"/>
          <w:sz w:val="21"/>
          <w:szCs w:val="21"/>
        </w:rPr>
        <w:t xml:space="preserve">2.2 Court terme — sans donnée nouvelle</w:t>
      </w:r>
    </w:p>
    <w:p>
      <w:pPr>
        <w:pStyle w:val="ListParagraph"/>
        <w:numPr>
          <w:ilvl w:val="0"/>
          <w:numId w:val="2"/>
        </w:numPr>
        <w:spacing w:after="60" w:line="276"/>
      </w:pPr>
      <w:r>
        <w:rPr>
          <w:rFonts w:ascii="Calibri" w:cs="Calibri" w:eastAsia="Calibri" w:hAnsi="Calibri"/>
          <w:b/>
          <w:bCs/>
          <w:sz w:val="21"/>
          <w:szCs w:val="21"/>
        </w:rPr>
        <w:t xml:space="preserve">Indicateur de complétude sur la liste des projets : </w:t>
      </w:r>
      <w:r>
        <w:rPr>
          <w:rFonts w:ascii="Calibri" w:cs="Calibri" w:eastAsia="Calibri" w:hAnsi="Calibri"/>
          <w:sz w:val="21"/>
          <w:szCs w:val="21"/>
        </w:rPr>
        <w:t xml:space="preserve">repérer d'un coup d'œil les dossiers dont les autorisations, le financement acquéreur ou la quotité de désengagement restent à renseigner.</w:t>
      </w:r>
    </w:p>
    <w:p>
      <w:pPr>
        <w:pStyle w:val="ListParagraph"/>
        <w:numPr>
          <w:ilvl w:val="0"/>
          <w:numId w:val="2"/>
        </w:numPr>
        <w:spacing w:after="60" w:line="276"/>
      </w:pPr>
      <w:r>
        <w:rPr>
          <w:rFonts w:ascii="Calibri" w:cs="Calibri" w:eastAsia="Calibri" w:hAnsi="Calibri"/>
          <w:b/>
          <w:bCs/>
          <w:sz w:val="21"/>
          <w:szCs w:val="21"/>
        </w:rPr>
        <w:t xml:space="preserve">Rapport de comité automatique : </w:t>
      </w:r>
      <w:r>
        <w:rPr>
          <w:rFonts w:ascii="Calibri" w:cs="Calibri" w:eastAsia="Calibri" w:hAnsi="Calibri"/>
          <w:sz w:val="21"/>
          <w:szCs w:val="21"/>
        </w:rPr>
        <w:t xml:space="preserve">note Word ou PDF générée depuis le dossier : score, alertes, conditions nommées, verrous de tirage, stress, LGD, trésorerie.</w:t>
      </w:r>
    </w:p>
    <w:p>
      <w:pPr>
        <w:pStyle w:val="ListParagraph"/>
        <w:numPr>
          <w:ilvl w:val="0"/>
          <w:numId w:val="2"/>
        </w:numPr>
        <w:spacing w:after="60" w:line="276"/>
      </w:pPr>
      <w:r>
        <w:rPr>
          <w:rFonts w:ascii="Calibri" w:cs="Calibri" w:eastAsia="Calibri" w:hAnsi="Calibri"/>
          <w:b/>
          <w:bCs/>
          <w:sz w:val="21"/>
          <w:szCs w:val="21"/>
        </w:rPr>
        <w:t xml:space="preserve">Test de soutien du sponsor (F12) : </w:t>
      </w:r>
      <w:r>
        <w:rPr>
          <w:rFonts w:ascii="Calibri" w:cs="Calibri" w:eastAsia="Calibri" w:hAnsi="Calibri"/>
          <w:sz w:val="21"/>
          <w:szCs w:val="21"/>
        </w:rPr>
        <w:t xml:space="preserve">saisie du bilan de soutien (fonds propres tangibles, liquidité, engagements concomitants, cautions croisées) et test de tension sur plusieurs projets.</w:t>
      </w:r>
    </w:p>
    <w:p>
      <w:pPr>
        <w:pStyle w:val="ListParagraph"/>
        <w:numPr>
          <w:ilvl w:val="0"/>
          <w:numId w:val="2"/>
        </w:numPr>
        <w:spacing w:after="60" w:line="276"/>
      </w:pPr>
      <w:r>
        <w:rPr>
          <w:rFonts w:ascii="Calibri" w:cs="Calibri" w:eastAsia="Calibri" w:hAnsi="Calibri"/>
          <w:b/>
          <w:bCs/>
          <w:sz w:val="21"/>
          <w:szCs w:val="21"/>
        </w:rPr>
        <w:t xml:space="preserve">Budget mensuel réel : </w:t>
      </w:r>
      <w:r>
        <w:rPr>
          <w:rFonts w:ascii="Calibri" w:cs="Calibri" w:eastAsia="Calibri" w:hAnsi="Calibri"/>
          <w:sz w:val="21"/>
          <w:szCs w:val="21"/>
        </w:rPr>
        <w:t xml:space="preserve">remplacer les hypothèses de répartition par un échéancier saisi, et alimenter automatiquement les ratios de liquidité du scoring.</w:t>
      </w:r>
    </w:p>
    <w:p>
      <w:pPr>
        <w:pStyle w:val="ListParagraph"/>
        <w:numPr>
          <w:ilvl w:val="0"/>
          <w:numId w:val="2"/>
        </w:numPr>
        <w:spacing w:after="60" w:line="276"/>
      </w:pPr>
      <w:r>
        <w:rPr>
          <w:rFonts w:ascii="Calibri" w:cs="Calibri" w:eastAsia="Calibri" w:hAnsi="Calibri"/>
          <w:b/>
          <w:bCs/>
          <w:sz w:val="21"/>
          <w:szCs w:val="21"/>
        </w:rPr>
        <w:t xml:space="preserve">Tableau de bord de qualité des données : </w:t>
      </w:r>
      <w:r>
        <w:rPr>
          <w:rFonts w:ascii="Calibri" w:cs="Calibri" w:eastAsia="Calibri" w:hAnsi="Calibri"/>
          <w:sz w:val="21"/>
          <w:szCs w:val="21"/>
        </w:rPr>
        <w:t xml:space="preserve">dossiers incomplets, scores périmés, événements sans nouveau comité, relances.</w:t>
      </w:r>
    </w:p>
    <w:p>
      <w:pPr>
        <w:pStyle w:val="ListParagraph"/>
        <w:numPr>
          <w:ilvl w:val="0"/>
          <w:numId w:val="2"/>
        </w:numPr>
        <w:spacing w:after="60" w:line="276"/>
      </w:pPr>
      <w:r>
        <w:rPr>
          <w:rFonts w:ascii="Calibri" w:cs="Calibri" w:eastAsia="Calibri" w:hAnsi="Calibri"/>
          <w:b/>
          <w:bCs/>
          <w:sz w:val="21"/>
          <w:szCs w:val="21"/>
        </w:rPr>
        <w:t xml:space="preserve">Publication contrôlée (F17) : </w:t>
      </w:r>
      <w:r>
        <w:rPr>
          <w:rFonts w:ascii="Calibri" w:cs="Calibri" w:eastAsia="Calibri" w:hAnsi="Calibri"/>
          <w:sz w:val="21"/>
          <w:szCs w:val="21"/>
        </w:rPr>
        <w:t xml:space="preserve">approbation par une seconde personne et rejeu des scores anciens : les contrôles sémantiques existent, l'approbation indépendante reste à finaliser.</w:t>
      </w:r>
    </w:p>
    <w:p>
      <w:pPr>
        <w:pStyle w:val="Heading2"/>
        <w:spacing w:after="120" w:before="0" w:line="276"/>
      </w:pPr>
      <w:r>
        <w:rPr>
          <w:rFonts w:ascii="Calibri" w:cs="Calibri" w:eastAsia="Calibri" w:hAnsi="Calibri"/>
          <w:sz w:val="21"/>
          <w:szCs w:val="21"/>
        </w:rPr>
        <w:t xml:space="preserve">2.3 Moyen terme — conditionné par vos données</w:t>
      </w:r>
    </w:p>
    <w:p>
      <w:pPr>
        <w:pStyle w:val="ListParagraph"/>
        <w:numPr>
          <w:ilvl w:val="0"/>
          <w:numId w:val="2"/>
        </w:numPr>
        <w:spacing w:after="60" w:line="276"/>
      </w:pPr>
      <w:r>
        <w:rPr>
          <w:rFonts w:ascii="Calibri" w:cs="Calibri" w:eastAsia="Calibri" w:hAnsi="Calibri"/>
          <w:b/>
          <w:bCs/>
          <w:sz w:val="21"/>
          <w:szCs w:val="21"/>
        </w:rPr>
        <w:t xml:space="preserve">Calibration de la PD (F16) : </w:t>
      </w:r>
      <w:r>
        <w:rPr>
          <w:rFonts w:ascii="Calibri" w:cs="Calibri" w:eastAsia="Calibri" w:hAnsi="Calibri"/>
          <w:sz w:val="21"/>
          <w:szCs w:val="21"/>
        </w:rPr>
        <w:t xml:space="preserve">définition du défaut, horizon de 12 mois, base historique horodatée, validation hors période, marges de prudence. Sans historique de défauts, la PD reste indicative et ne doit servir ni aux pertes attendues ni au capital.</w:t>
      </w:r>
    </w:p>
    <w:p>
      <w:pPr>
        <w:pStyle w:val="ListParagraph"/>
        <w:numPr>
          <w:ilvl w:val="0"/>
          <w:numId w:val="2"/>
        </w:numPr>
        <w:spacing w:after="60" w:line="276"/>
      </w:pPr>
      <w:r>
        <w:rPr>
          <w:rFonts w:ascii="Calibri" w:cs="Calibri" w:eastAsia="Calibri" w:hAnsi="Calibri"/>
          <w:b/>
          <w:bCs/>
          <w:sz w:val="21"/>
          <w:szCs w:val="21"/>
        </w:rPr>
        <w:t xml:space="preserve">Calibration de la LGD : </w:t>
      </w:r>
      <w:r>
        <w:rPr>
          <w:rFonts w:ascii="Calibri" w:cs="Calibri" w:eastAsia="Calibri" w:hAnsi="Calibri"/>
          <w:sz w:val="21"/>
          <w:szCs w:val="21"/>
        </w:rPr>
        <w:t xml:space="preserve">sur les dossiers clos et en recouvrement, sans exclure ceux dont l'issue est inconnue.</w:t>
      </w:r>
    </w:p>
    <w:p>
      <w:pPr>
        <w:pStyle w:val="ListParagraph"/>
        <w:numPr>
          <w:ilvl w:val="0"/>
          <w:numId w:val="2"/>
        </w:numPr>
        <w:spacing w:after="60" w:line="276"/>
      </w:pPr>
      <w:r>
        <w:rPr>
          <w:rFonts w:ascii="Calibri" w:cs="Calibri" w:eastAsia="Calibri" w:hAnsi="Calibri"/>
          <w:b/>
          <w:bCs/>
          <w:sz w:val="21"/>
          <w:szCs w:val="21"/>
        </w:rPr>
        <w:t xml:space="preserve">Calibrage des facteurs v4 : </w:t>
      </w:r>
      <w:r>
        <w:rPr>
          <w:rFonts w:ascii="Calibri" w:cs="Calibri" w:eastAsia="Calibri" w:hAnsi="Calibri"/>
          <w:sz w:val="21"/>
          <w:szCs w:val="21"/>
        </w:rPr>
        <w:t xml:space="preserve">facteurs de sécurisation du financement acquéreur, marge sur la quotité de désengagement, paramètres de réalisation des sûretés : à caler sur l'historique de la banque.</w:t>
      </w:r>
    </w:p>
    <w:p>
      <w:pPr>
        <w:pStyle w:val="ListParagraph"/>
        <w:numPr>
          <w:ilvl w:val="0"/>
          <w:numId w:val="2"/>
        </w:numPr>
        <w:spacing w:after="60" w:line="276"/>
      </w:pPr>
      <w:r>
        <w:rPr>
          <w:rFonts w:ascii="Calibri" w:cs="Calibri" w:eastAsia="Calibri" w:hAnsi="Calibri"/>
          <w:b/>
          <w:bCs/>
          <w:sz w:val="21"/>
          <w:szCs w:val="21"/>
        </w:rPr>
        <w:t xml:space="preserve">Adoption des grilles par phase : </w:t>
      </w:r>
      <w:r>
        <w:rPr>
          <w:rFonts w:ascii="Calibri" w:cs="Calibri" w:eastAsia="Calibri" w:hAnsi="Calibri"/>
          <w:sz w:val="21"/>
          <w:szCs w:val="21"/>
        </w:rPr>
        <w:t xml:space="preserve">pilote sur 30 à 50 dossiers diversifiés (sains, sensibles, restructurés, défaillants, achevés invendus), puis décision d'adoption.</w:t>
      </w:r>
    </w:p>
    <w:p>
      <w:pPr>
        <w:pStyle w:val="ListParagraph"/>
        <w:numPr>
          <w:ilvl w:val="0"/>
          <w:numId w:val="2"/>
        </w:numPr>
        <w:spacing w:after="60" w:line="276"/>
      </w:pPr>
      <w:r>
        <w:rPr>
          <w:rFonts w:ascii="Calibri" w:cs="Calibri" w:eastAsia="Calibri" w:hAnsi="Calibri"/>
          <w:b/>
          <w:bCs/>
          <w:sz w:val="21"/>
          <w:szCs w:val="21"/>
        </w:rPr>
        <w:t xml:space="preserve">Coefficients territoriaux étayés : </w:t>
      </w:r>
      <w:r>
        <w:rPr>
          <w:rFonts w:ascii="Calibri" w:cs="Calibri" w:eastAsia="Calibri" w:hAnsi="Calibri"/>
          <w:sz w:val="21"/>
          <w:szCs w:val="21"/>
        </w:rPr>
        <w:t xml:space="preserve">analyse de micro-marché (prix réalisables, rythme net des ventes, stock concurrent, indice de prix Bank Al-Maghrib / ANCFCC) — ou neutralisation.</w:t>
      </w:r>
    </w:p>
    <w:p>
      <w:pPr>
        <w:pStyle w:val="ListParagraph"/>
        <w:numPr>
          <w:ilvl w:val="0"/>
          <w:numId w:val="2"/>
        </w:numPr>
        <w:spacing w:after="60" w:line="276"/>
      </w:pPr>
      <w:r>
        <w:rPr>
          <w:rFonts w:ascii="Calibri" w:cs="Calibri" w:eastAsia="Calibri" w:hAnsi="Calibri"/>
          <w:b/>
          <w:bCs/>
          <w:sz w:val="21"/>
          <w:szCs w:val="21"/>
        </w:rPr>
        <w:t xml:space="preserve">Suivi de performance du modèle : </w:t>
      </w:r>
      <w:r>
        <w:rPr>
          <w:rFonts w:ascii="Calibri" w:cs="Calibri" w:eastAsia="Calibri" w:hAnsi="Calibri"/>
          <w:sz w:val="21"/>
          <w:szCs w:val="21"/>
        </w:rPr>
        <w:t xml:space="preserve">stabilité des distributions, matrices de migration, rétrotests, discrimination, alertes de dérive.</w:t>
      </w:r>
    </w:p>
    <w:p>
      <w:pPr>
        <w:pStyle w:val="ListParagraph"/>
        <w:numPr>
          <w:ilvl w:val="0"/>
          <w:numId w:val="2"/>
        </w:numPr>
        <w:spacing w:after="60" w:line="276"/>
      </w:pPr>
      <w:r>
        <w:rPr>
          <w:rFonts w:ascii="Calibri" w:cs="Calibri" w:eastAsia="Calibri" w:hAnsi="Calibri"/>
          <w:b/>
          <w:bCs/>
          <w:sz w:val="21"/>
          <w:szCs w:val="21"/>
        </w:rPr>
        <w:t xml:space="preserve">Validation indépendante : </w:t>
      </w:r>
      <w:r>
        <w:rPr>
          <w:rFonts w:ascii="Calibri" w:cs="Calibri" w:eastAsia="Calibri" w:hAnsi="Calibri"/>
          <w:sz w:val="21"/>
          <w:szCs w:val="21"/>
        </w:rPr>
        <w:t xml:space="preserve">avec l'une de trois conclusions : utilisable dans le périmètre approuvé, sous restrictions datées, ou non utilisable pour l'usage proposé.</w:t>
      </w:r>
    </w:p>
    <w:p>
      <w:pPr>
        <w:pStyle w:val="Heading2"/>
        <w:spacing w:after="120" w:before="0" w:line="276"/>
      </w:pPr>
      <w:r>
        <w:rPr>
          <w:rFonts w:ascii="Calibri" w:cs="Calibri" w:eastAsia="Calibri" w:hAnsi="Calibri"/>
          <w:sz w:val="21"/>
          <w:szCs w:val="21"/>
        </w:rPr>
        <w:t xml:space="preserve">2.4 Raccordements — conditionnés par l'accès aux systèmes</w:t>
      </w:r>
    </w:p>
    <w:p>
      <w:pPr>
        <w:pStyle w:val="ListParagraph"/>
        <w:numPr>
          <w:ilvl w:val="0"/>
          <w:numId w:val="2"/>
        </w:numPr>
        <w:spacing w:after="60" w:line="276"/>
      </w:pPr>
      <w:r>
        <w:rPr>
          <w:rFonts w:ascii="Calibri" w:cs="Calibri" w:eastAsia="Calibri" w:hAnsi="Calibri"/>
          <w:b/>
          <w:bCs/>
          <w:sz w:val="21"/>
          <w:szCs w:val="21"/>
        </w:rPr>
        <w:t xml:space="preserve">SI bancaire (T24 / Evolan) : </w:t>
      </w:r>
      <w:r>
        <w:rPr>
          <w:rFonts w:ascii="Calibri" w:cs="Calibri" w:eastAsia="Calibri" w:hAnsi="Calibri"/>
          <w:sz w:val="21"/>
          <w:szCs w:val="21"/>
        </w:rPr>
        <w:t xml:space="preserve">synchronisation automatique des déblocages, encours, impayés et restructurations : le retard de paiement et les événements cessent d'être ressaisis. L'interface existe ; le raccordement dépend de l'accès au système.</w:t>
      </w:r>
    </w:p>
    <w:p>
      <w:pPr>
        <w:pStyle w:val="ListParagraph"/>
        <w:numPr>
          <w:ilvl w:val="0"/>
          <w:numId w:val="2"/>
        </w:numPr>
        <w:spacing w:after="60" w:line="276"/>
      </w:pPr>
      <w:r>
        <w:rPr>
          <w:rFonts w:ascii="Calibri" w:cs="Calibri" w:eastAsia="Calibri" w:hAnsi="Calibri"/>
          <w:b/>
          <w:bCs/>
          <w:sz w:val="21"/>
          <w:szCs w:val="21"/>
        </w:rPr>
        <w:t xml:space="preserve">Centrale d'information de crédit : </w:t>
      </w:r>
      <w:r>
        <w:rPr>
          <w:rFonts w:ascii="Calibri" w:cs="Calibri" w:eastAsia="Calibri" w:hAnsi="Calibri"/>
          <w:sz w:val="21"/>
          <w:szCs w:val="21"/>
        </w:rPr>
        <w:t xml:space="preserve">déclenchement automatique du signal d'information négative.</w:t>
      </w:r>
    </w:p>
    <w:p>
      <w:pPr>
        <w:pStyle w:val="ListParagraph"/>
        <w:numPr>
          <w:ilvl w:val="0"/>
          <w:numId w:val="2"/>
        </w:numPr>
        <w:spacing w:after="60" w:line="276"/>
      </w:pPr>
      <w:r>
        <w:rPr>
          <w:rFonts w:ascii="Calibri" w:cs="Calibri" w:eastAsia="Calibri" w:hAnsi="Calibri"/>
          <w:b/>
          <w:bCs/>
          <w:sz w:val="21"/>
          <w:szCs w:val="21"/>
        </w:rPr>
        <w:t xml:space="preserve">Données de marché publiques : </w:t>
      </w:r>
      <w:r>
        <w:rPr>
          <w:rFonts w:ascii="Calibri" w:cs="Calibri" w:eastAsia="Calibri" w:hAnsi="Calibri"/>
          <w:sz w:val="21"/>
          <w:szCs w:val="21"/>
        </w:rPr>
        <w:t xml:space="preserve">indices de prix et statistiques du logement pour documenter le micro-marché.</w:t>
      </w:r>
    </w:p>
    <w:p>
      <w:pPr>
        <w:pStyle w:val="ListParagraph"/>
        <w:numPr>
          <w:ilvl w:val="0"/>
          <w:numId w:val="2"/>
        </w:numPr>
        <w:spacing w:after="60" w:line="276"/>
      </w:pPr>
      <w:r>
        <w:rPr>
          <w:rFonts w:ascii="Calibri" w:cs="Calibri" w:eastAsia="Calibri" w:hAnsi="Calibri"/>
          <w:b/>
          <w:bCs/>
          <w:sz w:val="21"/>
          <w:szCs w:val="21"/>
        </w:rPr>
        <w:t xml:space="preserve">Lecture de documents par IA : </w:t>
      </w:r>
      <w:r>
        <w:rPr>
          <w:rFonts w:ascii="Calibri" w:cs="Calibri" w:eastAsia="Calibri" w:hAnsi="Calibri"/>
          <w:sz w:val="21"/>
          <w:szCs w:val="21"/>
        </w:rPr>
        <w:t xml:space="preserve">extension aux situations de travaux visées, actes de vente et attestations, avec contrôle humain avant enregistrement.</w:t>
      </w:r>
    </w:p>
    <w:p>
      <w:pPr>
        <w:pStyle w:val="Heading2"/>
        <w:spacing w:after="120" w:before="0" w:line="276"/>
      </w:pPr>
      <w:r>
        <w:rPr>
          <w:rFonts w:ascii="Calibri" w:cs="Calibri" w:eastAsia="Calibri" w:hAnsi="Calibri"/>
          <w:sz w:val="21"/>
          <w:szCs w:val="21"/>
        </w:rPr>
        <w:t xml:space="preserve">2.5 Extensions de périmètre</w:t>
      </w:r>
    </w:p>
    <w:p>
      <w:pPr>
        <w:pStyle w:val="ListParagraph"/>
        <w:numPr>
          <w:ilvl w:val="0"/>
          <w:numId w:val="2"/>
        </w:numPr>
        <w:spacing w:after="60" w:line="276"/>
      </w:pPr>
      <w:r>
        <w:rPr>
          <w:rFonts w:ascii="Calibri" w:cs="Calibri" w:eastAsia="Calibri" w:hAnsi="Calibri"/>
          <w:sz w:val="21"/>
          <w:szCs w:val="21"/>
        </w:rPr>
        <w:t xml:space="preserve">Consolidation du sponsor et du groupe : analyse des besoins simultanés de plusieurs projets, cautions croisées, capacité de soutien réelle.</w:t>
      </w:r>
    </w:p>
    <w:p>
      <w:pPr>
        <w:pStyle w:val="ListParagraph"/>
        <w:numPr>
          <w:ilvl w:val="0"/>
          <w:numId w:val="2"/>
        </w:numPr>
        <w:spacing w:after="60" w:line="276"/>
      </w:pPr>
      <w:r>
        <w:rPr>
          <w:rFonts w:ascii="Calibri" w:cs="Calibri" w:eastAsia="Calibri" w:hAnsi="Calibri"/>
          <w:sz w:val="21"/>
          <w:szCs w:val="21"/>
        </w:rPr>
        <w:t xml:space="preserve">Gestion de portefeuille : limites par zone, segment, entrepreneur et expert, stress de portefeuille, concentration bancaire.</w:t>
      </w:r>
    </w:p>
    <w:p>
      <w:pPr>
        <w:pStyle w:val="ListParagraph"/>
        <w:numPr>
          <w:ilvl w:val="0"/>
          <w:numId w:val="2"/>
        </w:numPr>
        <w:spacing w:after="60" w:line="276"/>
      </w:pPr>
      <w:r>
        <w:rPr>
          <w:rFonts w:ascii="Calibri" w:cs="Calibri" w:eastAsia="Calibri" w:hAnsi="Calibri"/>
          <w:sz w:val="21"/>
          <w:szCs w:val="21"/>
        </w:rPr>
        <w:t xml:space="preserve">Autres natures d'actifs : affinage du modèle d'exploitation existant, hôtellerie et touristique, aménageur-lotisseur.</w:t>
      </w:r>
    </w:p>
    <w:p>
      <w:pPr>
        <w:pStyle w:val="ListParagraph"/>
        <w:numPr>
          <w:ilvl w:val="0"/>
          <w:numId w:val="2"/>
        </w:numPr>
        <w:spacing w:after="60" w:line="276"/>
      </w:pPr>
      <w:r>
        <w:rPr>
          <w:rFonts w:ascii="Calibri" w:cs="Calibri" w:eastAsia="Calibri" w:hAnsi="Calibri"/>
          <w:sz w:val="21"/>
          <w:szCs w:val="21"/>
        </w:rPr>
        <w:t xml:space="preserve">Risques physiques et climatiques (F18) : géolocalisation, eau, inondation, raccordements, traduits en flux de trésorerie — sans bonus ESG générique.</w:t>
      </w:r>
    </w:p>
    <w:p>
      <w:pPr>
        <w:pStyle w:val="ListParagraph"/>
        <w:numPr>
          <w:ilvl w:val="0"/>
          <w:numId w:val="2"/>
        </w:numPr>
        <w:spacing w:after="60" w:line="276"/>
      </w:pPr>
      <w:r>
        <w:rPr>
          <w:rFonts w:ascii="Calibri" w:cs="Calibri" w:eastAsia="Calibri" w:hAnsi="Calibri"/>
          <w:sz w:val="21"/>
          <w:szCs w:val="21"/>
        </w:rPr>
        <w:t xml:space="preserve">Structures de financement non conventionnelles : cartographie des flux propres au montage, sans simple substitution de libellé.</w:t>
      </w:r>
    </w:p>
    <w:p>
      <w:pPr>
        <w:pStyle w:val="ListParagraph"/>
        <w:numPr>
          <w:ilvl w:val="0"/>
          <w:numId w:val="2"/>
        </w:numPr>
        <w:spacing w:after="60" w:line="276"/>
      </w:pPr>
      <w:r>
        <w:rPr>
          <w:rFonts w:ascii="Calibri" w:cs="Calibri" w:eastAsia="Calibri" w:hAnsi="Calibri"/>
          <w:sz w:val="21"/>
          <w:szCs w:val="21"/>
        </w:rPr>
        <w:t xml:space="preserve">IFRS 9 : stades et pertes attendues alimentés par une PD calibrée, une fois celle-ci validée.</w:t>
      </w:r>
    </w:p>
    <w:p>
      <w:pPr>
        <w:pStyle w:val="Heading2"/>
        <w:spacing w:after="120" w:before="0" w:line="276"/>
      </w:pPr>
      <w:r>
        <w:rPr>
          <w:rFonts w:ascii="Calibri" w:cs="Calibri" w:eastAsia="Calibri" w:hAnsi="Calibri"/>
          <w:sz w:val="21"/>
          <w:szCs w:val="21"/>
        </w:rPr>
        <w:t xml:space="preserve">2.6 Priorisation indicative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3500"/>
        <w:gridCol w:w="1000"/>
        <w:gridCol w:w="1000"/>
        <w:gridCol w:w="2526"/>
        <w:gridCol w:w="1000"/>
      </w:tblGrid>
      <w:tr>
        <w:trPr>
          <w:cantSplit/>
          <w:tblHeader/>
        </w:trPr>
        <w:tc>
          <w:tcPr>
            <w:tcW w:type="dxa" w:w="3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Initiative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Valeur</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Effort</w:t>
            </w:r>
          </w:p>
        </w:tc>
        <w:tc>
          <w:tcPr>
            <w:tcW w:type="dxa" w:w="25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Dépend de</w:t>
            </w:r>
          </w:p>
        </w:tc>
        <w:tc>
          <w:tcPr>
            <w:tcW w:type="dxa" w:w="1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Horizon</w:t>
            </w:r>
          </w:p>
        </w:tc>
      </w:tr>
      <w:tr>
        <w:trPr>
          <w:cantSplit/>
        </w:trPr>
        <w:tc>
          <w:tcPr>
            <w:tcW w:type="dxa" w:w="3500"/>
            <w:tcMar>
              <w:top w:type="dxa" w:w="40"/>
              <w:left w:type="dxa" w:w="80"/>
              <w:bottom w:type="dxa" w:w="40"/>
              <w:right w:type="dxa" w:w="80"/>
            </w:tcMar>
          </w:tcPr>
          <w:p>
            <w:pPr>
              <w:spacing w:after="0" w:line="240"/>
            </w:pPr>
            <w:r>
              <w:rPr>
                <w:rFonts w:ascii="Calibri" w:cs="Calibri" w:eastAsia="Calibri" w:hAnsi="Calibri"/>
                <w:sz w:val="17"/>
                <w:szCs w:val="17"/>
              </w:rPr>
              <w:t xml:space="preserve">Indicateur de complétude portefeuille</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548235"/>
                <w:sz w:val="17"/>
                <w:szCs w:val="17"/>
              </w:rPr>
              <w:t xml:space="preserve">Élevée</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548235"/>
                <w:sz w:val="17"/>
                <w:szCs w:val="17"/>
              </w:rPr>
              <w:t xml:space="preserve">Faible</w:t>
            </w:r>
          </w:p>
        </w:tc>
        <w:tc>
          <w:tcPr>
            <w:tcW w:type="dxa" w:w="2526"/>
            <w:tcMar>
              <w:top w:type="dxa" w:w="40"/>
              <w:left w:type="dxa" w:w="80"/>
              <w:bottom w:type="dxa" w:w="40"/>
              <w:right w:type="dxa" w:w="80"/>
            </w:tcMar>
          </w:tcPr>
          <w:p>
            <w:pPr>
              <w:spacing w:after="0" w:line="240"/>
            </w:pPr>
            <w:r>
              <w:rPr>
                <w:rFonts w:ascii="Calibri" w:cs="Calibri" w:eastAsia="Calibri" w:hAnsi="Calibri"/>
                <w:sz w:val="17"/>
                <w:szCs w:val="17"/>
              </w:rPr>
              <w:t xml:space="preserve">—</w:t>
            </w:r>
          </w:p>
        </w:tc>
        <w:tc>
          <w:tcPr>
            <w:tcW w:type="dxa" w:w="1000"/>
            <w:tcMar>
              <w:top w:type="dxa" w:w="40"/>
              <w:left w:type="dxa" w:w="80"/>
              <w:bottom w:type="dxa" w:w="40"/>
              <w:right w:type="dxa" w:w="80"/>
            </w:tcMar>
          </w:tcPr>
          <w:p>
            <w:pPr>
              <w:spacing w:after="0" w:line="240"/>
            </w:pPr>
            <w:r>
              <w:rPr>
                <w:rFonts w:ascii="Calibri" w:cs="Calibri" w:eastAsia="Calibri" w:hAnsi="Calibri"/>
                <w:sz w:val="17"/>
                <w:szCs w:val="17"/>
              </w:rPr>
              <w:t xml:space="preserve">Immédiat</w:t>
            </w:r>
          </w:p>
        </w:tc>
      </w:tr>
      <w:tr>
        <w:trPr>
          <w:cantSplit/>
        </w:trPr>
        <w:tc>
          <w:tcPr>
            <w:tcW w:type="dxa" w:w="3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Rapport de comité automatique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548235"/>
                <w:sz w:val="17"/>
                <w:szCs w:val="17"/>
              </w:rPr>
              <w:t xml:space="preserve">Élevée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BF8F00"/>
                <w:sz w:val="17"/>
                <w:szCs w:val="17"/>
              </w:rPr>
              <w:t xml:space="preserve">Moyen</w:t>
            </w:r>
          </w:p>
        </w:tc>
        <w:tc>
          <w:tcPr>
            <w:tcW w:type="dxa" w:w="25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w:t>
            </w:r>
          </w:p>
        </w:tc>
        <w:tc>
          <w:tcPr>
            <w:tcW w:type="dxa" w:w="1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Court</w:t>
            </w:r>
          </w:p>
        </w:tc>
      </w:tr>
      <w:tr>
        <w:trPr>
          <w:cantSplit/>
        </w:trPr>
        <w:tc>
          <w:tcPr>
            <w:tcW w:type="dxa" w:w="3500"/>
            <w:tcMar>
              <w:top w:type="dxa" w:w="40"/>
              <w:left w:type="dxa" w:w="80"/>
              <w:bottom w:type="dxa" w:w="40"/>
              <w:right w:type="dxa" w:w="80"/>
            </w:tcMar>
          </w:tcPr>
          <w:p>
            <w:pPr>
              <w:spacing w:after="0" w:line="240"/>
            </w:pPr>
            <w:r>
              <w:rPr>
                <w:rFonts w:ascii="Calibri" w:cs="Calibri" w:eastAsia="Calibri" w:hAnsi="Calibri"/>
                <w:sz w:val="17"/>
                <w:szCs w:val="17"/>
              </w:rPr>
              <w:t xml:space="preserve">Budget mensuel réel de trésorerie</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548235"/>
                <w:sz w:val="17"/>
                <w:szCs w:val="17"/>
              </w:rPr>
              <w:t xml:space="preserve">Élevée</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BF8F00"/>
                <w:sz w:val="17"/>
                <w:szCs w:val="17"/>
              </w:rPr>
              <w:t xml:space="preserve">Moyen</w:t>
            </w:r>
          </w:p>
        </w:tc>
        <w:tc>
          <w:tcPr>
            <w:tcW w:type="dxa" w:w="2526"/>
            <w:tcMar>
              <w:top w:type="dxa" w:w="40"/>
              <w:left w:type="dxa" w:w="80"/>
              <w:bottom w:type="dxa" w:w="40"/>
              <w:right w:type="dxa" w:w="80"/>
            </w:tcMar>
          </w:tcPr>
          <w:p>
            <w:pPr>
              <w:spacing w:after="0" w:line="240"/>
            </w:pPr>
            <w:r>
              <w:rPr>
                <w:rFonts w:ascii="Calibri" w:cs="Calibri" w:eastAsia="Calibri" w:hAnsi="Calibri"/>
                <w:sz w:val="17"/>
                <w:szCs w:val="17"/>
              </w:rPr>
              <w:t xml:space="preserve">Saisie utilisateurs</w:t>
            </w:r>
          </w:p>
        </w:tc>
        <w:tc>
          <w:tcPr>
            <w:tcW w:type="dxa" w:w="1000"/>
            <w:tcMar>
              <w:top w:type="dxa" w:w="40"/>
              <w:left w:type="dxa" w:w="80"/>
              <w:bottom w:type="dxa" w:w="40"/>
              <w:right w:type="dxa" w:w="80"/>
            </w:tcMar>
          </w:tcPr>
          <w:p>
            <w:pPr>
              <w:spacing w:after="0" w:line="240"/>
            </w:pPr>
            <w:r>
              <w:rPr>
                <w:rFonts w:ascii="Calibri" w:cs="Calibri" w:eastAsia="Calibri" w:hAnsi="Calibri"/>
                <w:sz w:val="17"/>
                <w:szCs w:val="17"/>
              </w:rPr>
              <w:t xml:space="preserve">Court</w:t>
            </w:r>
          </w:p>
        </w:tc>
      </w:tr>
      <w:tr>
        <w:trPr>
          <w:cantSplit/>
        </w:trPr>
        <w:tc>
          <w:tcPr>
            <w:tcW w:type="dxa" w:w="3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Test de soutien du sponsor</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548235"/>
                <w:sz w:val="17"/>
                <w:szCs w:val="17"/>
              </w:rPr>
              <w:t xml:space="preserve">Élevée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BF8F00"/>
                <w:sz w:val="17"/>
                <w:szCs w:val="17"/>
              </w:rPr>
              <w:t xml:space="preserve">Moyen</w:t>
            </w:r>
          </w:p>
        </w:tc>
        <w:tc>
          <w:tcPr>
            <w:tcW w:type="dxa" w:w="25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Données de bilan</w:t>
            </w:r>
          </w:p>
        </w:tc>
        <w:tc>
          <w:tcPr>
            <w:tcW w:type="dxa" w:w="1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Court</w:t>
            </w:r>
          </w:p>
        </w:tc>
      </w:tr>
      <w:tr>
        <w:trPr>
          <w:cantSplit/>
        </w:trPr>
        <w:tc>
          <w:tcPr>
            <w:tcW w:type="dxa" w:w="3500"/>
            <w:tcMar>
              <w:top w:type="dxa" w:w="40"/>
              <w:left w:type="dxa" w:w="80"/>
              <w:bottom w:type="dxa" w:w="40"/>
              <w:right w:type="dxa" w:w="80"/>
            </w:tcMar>
          </w:tcPr>
          <w:p>
            <w:pPr>
              <w:spacing w:after="0" w:line="240"/>
            </w:pPr>
            <w:r>
              <w:rPr>
                <w:rFonts w:ascii="Calibri" w:cs="Calibri" w:eastAsia="Calibri" w:hAnsi="Calibri"/>
                <w:sz w:val="17"/>
                <w:szCs w:val="17"/>
              </w:rPr>
              <w:t xml:space="preserve">Raccordement SI (T24 / Evolan)</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548235"/>
                <w:sz w:val="17"/>
                <w:szCs w:val="17"/>
              </w:rPr>
              <w:t xml:space="preserve">Élevée</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Élevé</w:t>
            </w:r>
          </w:p>
        </w:tc>
        <w:tc>
          <w:tcPr>
            <w:tcW w:type="dxa" w:w="2526"/>
            <w:tcMar>
              <w:top w:type="dxa" w:w="40"/>
              <w:left w:type="dxa" w:w="80"/>
              <w:bottom w:type="dxa" w:w="40"/>
              <w:right w:type="dxa" w:w="80"/>
            </w:tcMar>
          </w:tcPr>
          <w:p>
            <w:pPr>
              <w:spacing w:after="0" w:line="240"/>
            </w:pPr>
            <w:r>
              <w:rPr>
                <w:rFonts w:ascii="Calibri" w:cs="Calibri" w:eastAsia="Calibri" w:hAnsi="Calibri"/>
                <w:sz w:val="17"/>
                <w:szCs w:val="17"/>
              </w:rPr>
              <w:t xml:space="preserve">Accès système, DSI</w:t>
            </w:r>
          </w:p>
        </w:tc>
        <w:tc>
          <w:tcPr>
            <w:tcW w:type="dxa" w:w="1000"/>
            <w:tcMar>
              <w:top w:type="dxa" w:w="40"/>
              <w:left w:type="dxa" w:w="80"/>
              <w:bottom w:type="dxa" w:w="40"/>
              <w:right w:type="dxa" w:w="80"/>
            </w:tcMar>
          </w:tcPr>
          <w:p>
            <w:pPr>
              <w:spacing w:after="0" w:line="240"/>
            </w:pPr>
            <w:r>
              <w:rPr>
                <w:rFonts w:ascii="Calibri" w:cs="Calibri" w:eastAsia="Calibri" w:hAnsi="Calibri"/>
                <w:sz w:val="17"/>
                <w:szCs w:val="17"/>
              </w:rPr>
              <w:t xml:space="preserve">Moyen</w:t>
            </w:r>
          </w:p>
        </w:tc>
      </w:tr>
      <w:tr>
        <w:trPr>
          <w:cantSplit/>
        </w:trPr>
        <w:tc>
          <w:tcPr>
            <w:tcW w:type="dxa" w:w="3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Calibrage des facteurs v4</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BF8F00"/>
                <w:sz w:val="17"/>
                <w:szCs w:val="17"/>
              </w:rPr>
              <w:t xml:space="preserve">Moyenne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BF8F00"/>
                <w:sz w:val="17"/>
                <w:szCs w:val="17"/>
              </w:rPr>
              <w:t xml:space="preserve">Moyen</w:t>
            </w:r>
          </w:p>
        </w:tc>
        <w:tc>
          <w:tcPr>
            <w:tcW w:type="dxa" w:w="25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Historique interne</w:t>
            </w:r>
          </w:p>
        </w:tc>
        <w:tc>
          <w:tcPr>
            <w:tcW w:type="dxa" w:w="1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Moyen</w:t>
            </w:r>
          </w:p>
        </w:tc>
      </w:tr>
      <w:tr>
        <w:trPr>
          <w:cantSplit/>
        </w:trPr>
        <w:tc>
          <w:tcPr>
            <w:tcW w:type="dxa" w:w="3500"/>
            <w:tcMar>
              <w:top w:type="dxa" w:w="40"/>
              <w:left w:type="dxa" w:w="80"/>
              <w:bottom w:type="dxa" w:w="40"/>
              <w:right w:type="dxa" w:w="80"/>
            </w:tcMar>
          </w:tcPr>
          <w:p>
            <w:pPr>
              <w:spacing w:after="0" w:line="240"/>
            </w:pPr>
            <w:r>
              <w:rPr>
                <w:rFonts w:ascii="Calibri" w:cs="Calibri" w:eastAsia="Calibri" w:hAnsi="Calibri"/>
                <w:sz w:val="17"/>
                <w:szCs w:val="17"/>
              </w:rPr>
              <w:t xml:space="preserve">Pilote des grilles par phase</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BF8F00"/>
                <w:sz w:val="17"/>
                <w:szCs w:val="17"/>
              </w:rPr>
              <w:t xml:space="preserve">Moyenne</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BF8F00"/>
                <w:sz w:val="17"/>
                <w:szCs w:val="17"/>
              </w:rPr>
              <w:t xml:space="preserve">Moyen</w:t>
            </w:r>
          </w:p>
        </w:tc>
        <w:tc>
          <w:tcPr>
            <w:tcW w:type="dxa" w:w="2526"/>
            <w:tcMar>
              <w:top w:type="dxa" w:w="40"/>
              <w:left w:type="dxa" w:w="80"/>
              <w:bottom w:type="dxa" w:w="40"/>
              <w:right w:type="dxa" w:w="80"/>
            </w:tcMar>
          </w:tcPr>
          <w:p>
            <w:pPr>
              <w:spacing w:after="0" w:line="240"/>
            </w:pPr>
            <w:r>
              <w:rPr>
                <w:rFonts w:ascii="Calibri" w:cs="Calibri" w:eastAsia="Calibri" w:hAnsi="Calibri"/>
                <w:sz w:val="17"/>
                <w:szCs w:val="17"/>
              </w:rPr>
              <w:t xml:space="preserve">30–50 dossiers</w:t>
            </w:r>
          </w:p>
        </w:tc>
        <w:tc>
          <w:tcPr>
            <w:tcW w:type="dxa" w:w="1000"/>
            <w:tcMar>
              <w:top w:type="dxa" w:w="40"/>
              <w:left w:type="dxa" w:w="80"/>
              <w:bottom w:type="dxa" w:w="40"/>
              <w:right w:type="dxa" w:w="80"/>
            </w:tcMar>
          </w:tcPr>
          <w:p>
            <w:pPr>
              <w:spacing w:after="0" w:line="240"/>
            </w:pPr>
            <w:r>
              <w:rPr>
                <w:rFonts w:ascii="Calibri" w:cs="Calibri" w:eastAsia="Calibri" w:hAnsi="Calibri"/>
                <w:sz w:val="17"/>
                <w:szCs w:val="17"/>
              </w:rPr>
              <w:t xml:space="preserve">Moyen</w:t>
            </w:r>
          </w:p>
        </w:tc>
      </w:tr>
      <w:tr>
        <w:trPr>
          <w:cantSplit/>
        </w:trPr>
        <w:tc>
          <w:tcPr>
            <w:tcW w:type="dxa" w:w="3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Calibration PD / LGD</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548235"/>
                <w:sz w:val="17"/>
                <w:szCs w:val="17"/>
              </w:rPr>
              <w:t xml:space="preserve">Élevée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Élevé</w:t>
            </w:r>
          </w:p>
        </w:tc>
        <w:tc>
          <w:tcPr>
            <w:tcW w:type="dxa" w:w="25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Base de défauts et recouvrements</w:t>
            </w:r>
          </w:p>
        </w:tc>
        <w:tc>
          <w:tcPr>
            <w:tcW w:type="dxa" w:w="1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Moyen–long</w:t>
            </w:r>
          </w:p>
        </w:tc>
      </w:tr>
      <w:tr>
        <w:trPr>
          <w:cantSplit/>
        </w:trPr>
        <w:tc>
          <w:tcPr>
            <w:tcW w:type="dxa" w:w="3500"/>
            <w:tcMar>
              <w:top w:type="dxa" w:w="40"/>
              <w:left w:type="dxa" w:w="80"/>
              <w:bottom w:type="dxa" w:w="40"/>
              <w:right w:type="dxa" w:w="80"/>
            </w:tcMar>
          </w:tcPr>
          <w:p>
            <w:pPr>
              <w:spacing w:after="0" w:line="240"/>
            </w:pPr>
            <w:r>
              <w:rPr>
                <w:rFonts w:ascii="Calibri" w:cs="Calibri" w:eastAsia="Calibri" w:hAnsi="Calibri"/>
                <w:sz w:val="17"/>
                <w:szCs w:val="17"/>
              </w:rPr>
              <w:t xml:space="preserve">Suivi de performance du modèle</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548235"/>
                <w:sz w:val="17"/>
                <w:szCs w:val="17"/>
              </w:rPr>
              <w:t xml:space="preserve">Élevée</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BF8F00"/>
                <w:sz w:val="17"/>
                <w:szCs w:val="17"/>
              </w:rPr>
              <w:t xml:space="preserve">Moyen</w:t>
            </w:r>
          </w:p>
        </w:tc>
        <w:tc>
          <w:tcPr>
            <w:tcW w:type="dxa" w:w="2526"/>
            <w:tcMar>
              <w:top w:type="dxa" w:w="40"/>
              <w:left w:type="dxa" w:w="80"/>
              <w:bottom w:type="dxa" w:w="40"/>
              <w:right w:type="dxa" w:w="80"/>
            </w:tcMar>
          </w:tcPr>
          <w:p>
            <w:pPr>
              <w:spacing w:after="0" w:line="240"/>
            </w:pPr>
            <w:r>
              <w:rPr>
                <w:rFonts w:ascii="Calibri" w:cs="Calibri" w:eastAsia="Calibri" w:hAnsi="Calibri"/>
                <w:sz w:val="17"/>
                <w:szCs w:val="17"/>
              </w:rPr>
              <w:t xml:space="preserve">Historique de scores</w:t>
            </w:r>
          </w:p>
        </w:tc>
        <w:tc>
          <w:tcPr>
            <w:tcW w:type="dxa" w:w="1000"/>
            <w:tcMar>
              <w:top w:type="dxa" w:w="40"/>
              <w:left w:type="dxa" w:w="80"/>
              <w:bottom w:type="dxa" w:w="40"/>
              <w:right w:type="dxa" w:w="80"/>
            </w:tcMar>
          </w:tcPr>
          <w:p>
            <w:pPr>
              <w:spacing w:after="0" w:line="240"/>
            </w:pPr>
            <w:r>
              <w:rPr>
                <w:rFonts w:ascii="Calibri" w:cs="Calibri" w:eastAsia="Calibri" w:hAnsi="Calibri"/>
                <w:sz w:val="17"/>
                <w:szCs w:val="17"/>
              </w:rPr>
              <w:t xml:space="preserve">Moyen</w:t>
            </w:r>
          </w:p>
        </w:tc>
      </w:tr>
      <w:tr>
        <w:trPr>
          <w:cantSplit/>
        </w:trPr>
        <w:tc>
          <w:tcPr>
            <w:tcW w:type="dxa" w:w="35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Gestion de portefeuille (limites, stress)</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BF8F00"/>
                <w:sz w:val="17"/>
                <w:szCs w:val="17"/>
              </w:rPr>
              <w:t xml:space="preserve">Moyenne</w:t>
            </w:r>
          </w:p>
        </w:tc>
        <w:tc>
          <w:tcPr>
            <w:tcW w:type="dxa" w:w="1000"/>
            <w:shd w:fill="F2F5FB" w:color="auto" w:val="clear"/>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Élevé</w:t>
            </w:r>
          </w:p>
        </w:tc>
        <w:tc>
          <w:tcPr>
            <w:tcW w:type="dxa" w:w="25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Fonds propres, politique de limites</w:t>
            </w:r>
          </w:p>
        </w:tc>
        <w:tc>
          <w:tcPr>
            <w:tcW w:type="dxa" w:w="10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Long</w:t>
            </w:r>
          </w:p>
        </w:tc>
      </w:tr>
      <w:tr>
        <w:trPr>
          <w:cantSplit/>
        </w:trPr>
        <w:tc>
          <w:tcPr>
            <w:tcW w:type="dxa" w:w="3500"/>
            <w:tcMar>
              <w:top w:type="dxa" w:w="40"/>
              <w:left w:type="dxa" w:w="80"/>
              <w:bottom w:type="dxa" w:w="40"/>
              <w:right w:type="dxa" w:w="80"/>
            </w:tcMar>
          </w:tcPr>
          <w:p>
            <w:pPr>
              <w:spacing w:after="0" w:line="240"/>
            </w:pPr>
            <w:r>
              <w:rPr>
                <w:rFonts w:ascii="Calibri" w:cs="Calibri" w:eastAsia="Calibri" w:hAnsi="Calibri"/>
                <w:sz w:val="17"/>
                <w:szCs w:val="17"/>
              </w:rPr>
              <w:t xml:space="preserve">Risques climatiques et physiques</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BF8F00"/>
                <w:sz w:val="17"/>
                <w:szCs w:val="17"/>
              </w:rPr>
              <w:t xml:space="preserve">Moyenne</w:t>
            </w:r>
          </w:p>
        </w:tc>
        <w:tc>
          <w:tcPr>
            <w:tcW w:type="dxa" w:w="1000"/>
            <w:tcMar>
              <w:top w:type="dxa" w:w="40"/>
              <w:left w:type="dxa" w:w="80"/>
              <w:bottom w:type="dxa" w:w="40"/>
              <w:right w:type="dxa" w:w="80"/>
            </w:tcMar>
          </w:tcPr>
          <w:p>
            <w:pPr>
              <w:spacing w:after="0" w:line="240"/>
              <w:jc w:val="center"/>
            </w:pPr>
            <w:r>
              <w:rPr>
                <w:rFonts w:ascii="Calibri" w:cs="Calibri" w:eastAsia="Calibri" w:hAnsi="Calibri"/>
                <w:b/>
                <w:bCs/>
                <w:color w:val="C00000"/>
                <w:sz w:val="17"/>
                <w:szCs w:val="17"/>
              </w:rPr>
              <w:t xml:space="preserve">Élevé</w:t>
            </w:r>
          </w:p>
        </w:tc>
        <w:tc>
          <w:tcPr>
            <w:tcW w:type="dxa" w:w="2526"/>
            <w:tcMar>
              <w:top w:type="dxa" w:w="40"/>
              <w:left w:type="dxa" w:w="80"/>
              <w:bottom w:type="dxa" w:w="40"/>
              <w:right w:type="dxa" w:w="80"/>
            </w:tcMar>
          </w:tcPr>
          <w:p>
            <w:pPr>
              <w:spacing w:after="0" w:line="240"/>
            </w:pPr>
            <w:r>
              <w:rPr>
                <w:rFonts w:ascii="Calibri" w:cs="Calibri" w:eastAsia="Calibri" w:hAnsi="Calibri"/>
                <w:sz w:val="17"/>
                <w:szCs w:val="17"/>
              </w:rPr>
              <w:t xml:space="preserve">Données géolocalisées externes</w:t>
            </w:r>
          </w:p>
        </w:tc>
        <w:tc>
          <w:tcPr>
            <w:tcW w:type="dxa" w:w="1000"/>
            <w:tcMar>
              <w:top w:type="dxa" w:w="40"/>
              <w:left w:type="dxa" w:w="80"/>
              <w:bottom w:type="dxa" w:w="40"/>
              <w:right w:type="dxa" w:w="80"/>
            </w:tcMar>
          </w:tcPr>
          <w:p>
            <w:pPr>
              <w:spacing w:after="0" w:line="240"/>
            </w:pPr>
            <w:r>
              <w:rPr>
                <w:rFonts w:ascii="Calibri" w:cs="Calibri" w:eastAsia="Calibri" w:hAnsi="Calibri"/>
                <w:sz w:val="17"/>
                <w:szCs w:val="17"/>
              </w:rPr>
              <w:t xml:space="preserve">Long</w:t>
            </w:r>
          </w:p>
        </w:tc>
      </w:tr>
    </w:tbl>
    <w:p>
      <w:pPr>
        <w:pStyle w:val="Heading2"/>
        <w:spacing w:after="120" w:before="0" w:line="276"/>
      </w:pPr>
      <w:r>
        <w:rPr>
          <w:rFonts w:ascii="Calibri" w:cs="Calibri" w:eastAsia="Calibri" w:hAnsi="Calibri"/>
          <w:sz w:val="21"/>
          <w:szCs w:val="21"/>
        </w:rPr>
        <w:t xml:space="preserve">2.7 Ce que je déconseille</w:t>
      </w:r>
    </w:p>
    <w:p>
      <w:pPr>
        <w:pStyle w:val="ListParagraph"/>
        <w:numPr>
          <w:ilvl w:val="0"/>
          <w:numId w:val="2"/>
        </w:numPr>
        <w:spacing w:after="60" w:line="276"/>
      </w:pPr>
      <w:r>
        <w:rPr>
          <w:rFonts w:ascii="Calibri" w:cs="Calibri" w:eastAsia="Calibri" w:hAnsi="Calibri"/>
          <w:sz w:val="21"/>
          <w:szCs w:val="21"/>
        </w:rPr>
        <w:t xml:space="preserve">Calibrer statistiquement la PD sans base de défauts : le résultat serait une apparence de précision.</w:t>
      </w:r>
    </w:p>
    <w:p>
      <w:pPr>
        <w:pStyle w:val="ListParagraph"/>
        <w:numPr>
          <w:ilvl w:val="0"/>
          <w:numId w:val="2"/>
        </w:numPr>
        <w:spacing w:after="60" w:line="276"/>
      </w:pPr>
      <w:r>
        <w:rPr>
          <w:rFonts w:ascii="Calibri" w:cs="Calibri" w:eastAsia="Calibri" w:hAnsi="Calibri"/>
          <w:sz w:val="21"/>
          <w:szCs w:val="21"/>
        </w:rPr>
        <w:t xml:space="preserve">Utiliser la PD indicative pour les pertes attendues, les provisions ou le capital avant validation indépendante.</w:t>
      </w:r>
    </w:p>
    <w:p>
      <w:pPr>
        <w:pStyle w:val="ListParagraph"/>
        <w:numPr>
          <w:ilvl w:val="0"/>
          <w:numId w:val="2"/>
        </w:numPr>
        <w:spacing w:after="60" w:line="276"/>
      </w:pPr>
      <w:r>
        <w:rPr>
          <w:rFonts w:ascii="Calibri" w:cs="Calibri" w:eastAsia="Calibri" w:hAnsi="Calibri"/>
          <w:sz w:val="21"/>
          <w:szCs w:val="21"/>
        </w:rPr>
        <w:t xml:space="preserve">Adopter les grilles par phase ou les coefficients territoriaux sans pilote : ce sont des hypothèses à tester.</w:t>
      </w:r>
    </w:p>
    <w:p>
      <w:pPr>
        <w:pStyle w:val="ListParagraph"/>
        <w:numPr>
          <w:ilvl w:val="0"/>
          <w:numId w:val="2"/>
        </w:numPr>
        <w:spacing w:after="60" w:line="276"/>
      </w:pPr>
      <w:r>
        <w:rPr>
          <w:rFonts w:ascii="Calibri" w:cs="Calibri" w:eastAsia="Calibri" w:hAnsi="Calibri"/>
          <w:sz w:val="21"/>
          <w:szCs w:val="21"/>
        </w:rPr>
        <w:t xml:space="preserve">Introduire un bonus ESG générique : le diagnostic recommande de traduire chaque risque matériel en flux, avec preuve et responsable.</w:t>
      </w:r>
    </w:p>
    <w:p>
      <w:pPr>
        <w:pStyle w:val="ListParagraph"/>
        <w:numPr>
          <w:ilvl w:val="0"/>
          <w:numId w:val="2"/>
        </w:numPr>
        <w:spacing w:after="60" w:line="276"/>
      </w:pPr>
      <w:r>
        <w:rPr>
          <w:rFonts w:ascii="Calibri" w:cs="Calibri" w:eastAsia="Calibri" w:hAnsi="Calibri"/>
          <w:sz w:val="21"/>
          <w:szCs w:val="21"/>
        </w:rPr>
        <w:t xml:space="preserve">Faire de l'outil Excel le système de référence : voir la section suivante.</w:t>
      </w:r>
    </w:p>
    <w:p>
      <w:r>
        <w:br w:type="page"/>
      </w:r>
    </w:p>
    <w:p>
      <w:pPr>
        <w:pStyle w:val="Heading1"/>
        <w:spacing w:after="120" w:before="0" w:line="276"/>
      </w:pPr>
      <w:r>
        <w:rPr>
          <w:rFonts w:ascii="Calibri" w:cs="Calibri" w:eastAsia="Calibri" w:hAnsi="Calibri"/>
          <w:sz w:val="21"/>
          <w:szCs w:val="21"/>
        </w:rPr>
        <w:t xml:space="preserve">3. L'outil Excel / VBA</w:t>
      </w:r>
    </w:p>
    <w:p>
      <w:pPr>
        <w:pStyle w:val="Heading2"/>
        <w:spacing w:after="120" w:before="0" w:line="276"/>
      </w:pPr>
      <w:r>
        <w:rPr>
          <w:rFonts w:ascii="Calibri" w:cs="Calibri" w:eastAsia="Calibri" w:hAnsi="Calibri"/>
          <w:sz w:val="21"/>
          <w:szCs w:val="21"/>
        </w:rPr>
        <w:t xml:space="preserve">3.1 Ce qui est livré</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3300"/>
        <w:gridCol w:w="5726"/>
      </w:tblGrid>
      <w:tr>
        <w:trPr>
          <w:cantSplit/>
          <w:tblHeader/>
        </w:trPr>
        <w:tc>
          <w:tcPr>
            <w:tcW w:type="dxa" w:w="3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Élément</w:t>
            </w:r>
          </w:p>
        </w:tc>
        <w:tc>
          <w:tcPr>
            <w:tcW w:type="dxa" w:w="57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Rôle</w:t>
            </w:r>
          </w:p>
        </w:tc>
      </w:tr>
      <w:tr>
        <w:trPr>
          <w:cantSplit/>
        </w:trPr>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PI_Promotion_Modele_v4.xlsx</w:t>
            </w:r>
          </w:p>
        </w:tc>
        <w:tc>
          <w:tcPr>
            <w:tcW w:type="dxa" w:w="5726"/>
            <w:tcMar>
              <w:top w:type="dxa" w:w="40"/>
              <w:left w:type="dxa" w:w="80"/>
              <w:bottom w:type="dxa" w:w="40"/>
              <w:right w:type="dxa" w:w="80"/>
            </w:tcMar>
          </w:tcPr>
          <w:p>
            <w:pPr>
              <w:spacing w:after="0" w:line="240"/>
            </w:pPr>
            <w:r>
              <w:rPr>
                <w:rFonts w:ascii="Calibri" w:cs="Calibri" w:eastAsia="Calibri" w:hAnsi="Calibri"/>
                <w:sz w:val="17"/>
                <w:szCs w:val="17"/>
              </w:rPr>
              <w:t xml:space="preserve">Classeur du modèle : saisie, moteur de calcul en formules, calculateurs, portefeuille, stress, autotests, journal, paramètres.</w:t>
            </w:r>
          </w:p>
        </w:tc>
      </w:tr>
      <w:tr>
        <w:trPr>
          <w:cantSplit/>
        </w:trPr>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vba/modOutils.bas</w:t>
            </w:r>
          </w:p>
        </w:tc>
        <w:tc>
          <w:tcPr>
            <w:tcW w:type="dxa" w:w="57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Fonctions communes, sauvegarde et restauration de la saisie.</w:t>
            </w:r>
          </w:p>
        </w:tc>
      </w:tr>
      <w:tr>
        <w:trPr>
          <w:cantSplit/>
        </w:trPr>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vba/modScoring.bas</w:t>
            </w:r>
          </w:p>
        </w:tc>
        <w:tc>
          <w:tcPr>
            <w:tcW w:type="dxa" w:w="5726"/>
            <w:tcMar>
              <w:top w:type="dxa" w:w="40"/>
              <w:left w:type="dxa" w:w="80"/>
              <w:bottom w:type="dxa" w:w="40"/>
              <w:right w:type="dxa" w:w="80"/>
            </w:tcMar>
          </w:tcPr>
          <w:p>
            <w:pPr>
              <w:spacing w:after="0" w:line="240"/>
            </w:pPr>
            <w:r>
              <w:rPr>
                <w:rFonts w:ascii="Calibri" w:cs="Calibri" w:eastAsia="Calibri" w:hAnsi="Calibri"/>
                <w:sz w:val="17"/>
                <w:szCs w:val="17"/>
              </w:rPr>
              <w:t xml:space="preserve">Scoring d'un dossier et d'un portefeuille, autotests, journal.</w:t>
            </w:r>
          </w:p>
        </w:tc>
      </w:tr>
      <w:tr>
        <w:trPr>
          <w:cantSplit/>
        </w:trPr>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vba/modStress.bas</w:t>
            </w:r>
          </w:p>
        </w:tc>
        <w:tc>
          <w:tcPr>
            <w:tcW w:type="dxa" w:w="57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Stress test par identités comptables (mêmes règles que l'application).</w:t>
            </w:r>
          </w:p>
        </w:tc>
      </w:tr>
      <w:tr>
        <w:trPr>
          <w:cantSplit/>
        </w:trPr>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vba/modModele.bas</w:t>
            </w:r>
          </w:p>
        </w:tc>
        <w:tc>
          <w:tcPr>
            <w:tcW w:type="dxa" w:w="5726"/>
            <w:tcMar>
              <w:top w:type="dxa" w:w="40"/>
              <w:left w:type="dxa" w:w="80"/>
              <w:bottom w:type="dxa" w:w="40"/>
              <w:right w:type="dxa" w:w="80"/>
            </w:tcMar>
          </w:tcPr>
          <w:p>
            <w:pPr>
              <w:spacing w:after="0" w:line="240"/>
            </w:pPr>
            <w:r>
              <w:rPr>
                <w:rFonts w:ascii="Calibri" w:cs="Calibri" w:eastAsia="Calibri" w:hAnsi="Calibri"/>
                <w:sz w:val="17"/>
                <w:szCs w:val="17"/>
              </w:rPr>
              <w:t xml:space="preserve">Validation du modèle, listes déroulantes, instantané des paramètres.</w:t>
            </w:r>
          </w:p>
        </w:tc>
      </w:tr>
      <w:tr>
        <w:trPr>
          <w:cantSplit/>
        </w:trPr>
        <w:tc>
          <w:tcPr>
            <w:tcW w:type="dxa" w:w="3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vba/modSetup.bas</w:t>
            </w:r>
          </w:p>
        </w:tc>
        <w:tc>
          <w:tcPr>
            <w:tcW w:type="dxa" w:w="57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Installation des boutons, export PDF.</w:t>
            </w:r>
          </w:p>
        </w:tc>
      </w:tr>
      <w:tr>
        <w:trPr>
          <w:cantSplit/>
        </w:trPr>
        <w:tc>
          <w:tcPr>
            <w:tcW w:type="dxa" w:w="3300"/>
            <w:tcMar>
              <w:top w:type="dxa" w:w="40"/>
              <w:left w:type="dxa" w:w="80"/>
              <w:bottom w:type="dxa" w:w="40"/>
              <w:right w:type="dxa" w:w="80"/>
            </w:tcMar>
          </w:tcPr>
          <w:p>
            <w:pPr>
              <w:spacing w:after="0" w:line="240"/>
            </w:pPr>
            <w:r>
              <w:rPr>
                <w:rFonts w:ascii="Calibri" w:cs="Calibri" w:eastAsia="Calibri" w:hAnsi="Calibri"/>
                <w:sz w:val="17"/>
                <w:szCs w:val="17"/>
              </w:rPr>
              <w:t xml:space="preserve">README.md et scripts</w:t>
            </w:r>
          </w:p>
        </w:tc>
        <w:tc>
          <w:tcPr>
            <w:tcW w:type="dxa" w:w="5726"/>
            <w:tcMar>
              <w:top w:type="dxa" w:w="40"/>
              <w:left w:type="dxa" w:w="80"/>
              <w:bottom w:type="dxa" w:w="40"/>
              <w:right w:type="dxa" w:w="80"/>
            </w:tcMar>
          </w:tcPr>
          <w:p>
            <w:pPr>
              <w:spacing w:after="0" w:line="240"/>
            </w:pPr>
            <w:r>
              <w:rPr>
                <w:rFonts w:ascii="Calibri" w:cs="Calibri" w:eastAsia="Calibri" w:hAnsi="Calibri"/>
                <w:sz w:val="17"/>
                <w:szCs w:val="17"/>
              </w:rPr>
              <w:t xml:space="preserve">Procédure d'installation et scripts de régénération du classeur depuis la base.</w:t>
            </w:r>
          </w:p>
        </w:tc>
      </w:tr>
    </w:tbl>
    <w:p>
      <w:pPr>
        <w:pStyle w:val="Heading2"/>
        <w:spacing w:after="120" w:before="0" w:line="276"/>
      </w:pPr>
      <w:r>
        <w:rPr>
          <w:rFonts w:ascii="Calibri" w:cs="Calibri" w:eastAsia="Calibri" w:hAnsi="Calibri"/>
          <w:sz w:val="21"/>
          <w:szCs w:val="21"/>
        </w:rPr>
        <w:t xml:space="preserve">3.2 Choix d'architecture</w:t>
      </w:r>
    </w:p>
    <w:p>
      <w:pPr>
        <w:spacing w:after="120" w:before="0" w:line="276"/>
      </w:pPr>
      <w:r>
        <w:rPr>
          <w:rFonts w:ascii="Calibri" w:cs="Calibri" w:eastAsia="Calibri" w:hAnsi="Calibri"/>
          <w:b/>
          <w:bCs/>
          <w:sz w:val="21"/>
          <w:szCs w:val="21"/>
        </w:rPr>
        <w:t xml:space="preserve">Le moteur est en formules Excel, pas en VBA. </w:t>
      </w:r>
      <w:r>
        <w:rPr>
          <w:rFonts w:ascii="Calibri" w:cs="Calibri" w:eastAsia="Calibri" w:hAnsi="Calibri"/>
          <w:sz w:val="21"/>
          <w:szCs w:val="21"/>
        </w:rPr>
        <w:t xml:space="preserve">Chaque note est traçable cellule par cellule, les barèmes, poids, seuils et alertes se modifient sans code, et il n'existe qu'un seul moteur : le VBA n'en contient pas une seconde copie qui divergerait. Le VBA sert à automatiser : charger un dossier, recalculer, lire le résultat, boucler sur un portefeuille, chocer les données, contrôler le modèle, journaliser.</w:t>
      </w:r>
    </w:p>
    <w:p>
      <w:pPr>
        <w:pStyle w:val="Heading2"/>
        <w:spacing w:after="120" w:before="0" w:line="276"/>
      </w:pPr>
      <w:r>
        <w:rPr>
          <w:rFonts w:ascii="Calibri" w:cs="Calibri" w:eastAsia="Calibri" w:hAnsi="Calibri"/>
          <w:sz w:val="21"/>
          <w:szCs w:val="21"/>
        </w:rPr>
        <w:t xml:space="preserve">3.3 Ce qui a été vérifié — et ce qui ne l'a pas été</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6300"/>
        <w:gridCol w:w="2726"/>
      </w:tblGrid>
      <w:tr>
        <w:trPr>
          <w:cantSplit/>
          <w:tblHeader/>
        </w:trPr>
        <w:tc>
          <w:tcPr>
            <w:tcW w:type="dxa" w:w="6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Contrôle</w:t>
            </w:r>
          </w:p>
        </w:tc>
        <w:tc>
          <w:tcPr>
            <w:tcW w:type="dxa" w:w="27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Résultat</w:t>
            </w:r>
          </w:p>
        </w:tc>
      </w:tr>
      <w:tr>
        <w:trPr>
          <w:cantSplit/>
        </w:trPr>
        <w:tc>
          <w:tcPr>
            <w:tcW w:type="dxa" w:w="6300"/>
            <w:tcMar>
              <w:top w:type="dxa" w:w="40"/>
              <w:left w:type="dxa" w:w="80"/>
              <w:bottom w:type="dxa" w:w="40"/>
              <w:right w:type="dxa" w:w="80"/>
            </w:tcMar>
          </w:tcPr>
          <w:p>
            <w:pPr>
              <w:spacing w:after="0" w:line="240"/>
            </w:pPr>
            <w:r>
              <w:rPr>
                <w:rFonts w:ascii="Calibri" w:cs="Calibri" w:eastAsia="Calibri" w:hAnsi="Calibri"/>
                <w:sz w:val="17"/>
                <w:szCs w:val="17"/>
              </w:rPr>
              <w:t xml:space="preserve">Classeur recalculé par un moteur de formules indépendant sur 20 cas de référence issus du moteur de production</w:t>
            </w:r>
          </w:p>
        </w:tc>
        <w:tc>
          <w:tcPr>
            <w:tcW w:type="dxa" w:w="2726"/>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20 / 20 identiques</w:t>
            </w:r>
          </w:p>
        </w:tc>
      </w:tr>
      <w:tr>
        <w:trPr>
          <w:cantSplit/>
        </w:trPr>
        <w:tc>
          <w:tcPr>
            <w:tcW w:type="dxa" w:w="6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Grandeurs comparées : score final, décision, classe interne, malus, dossier incomplet, 4 scores de domaine, note économique, note de sûretés</w:t>
            </w:r>
          </w:p>
        </w:tc>
        <w:tc>
          <w:tcPr>
            <w:tcW w:type="dxa" w:w="2726"/>
            <w:shd w:fill="F2F5FB" w:color="auto" w:val="clear"/>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Toutes conformes</w:t>
            </w:r>
          </w:p>
        </w:tc>
      </w:tr>
      <w:tr>
        <w:trPr>
          <w:cantSplit/>
        </w:trPr>
        <w:tc>
          <w:tcPr>
            <w:tcW w:type="dxa" w:w="6300"/>
            <w:tcMar>
              <w:top w:type="dxa" w:w="40"/>
              <w:left w:type="dxa" w:w="80"/>
              <w:bottom w:type="dxa" w:w="40"/>
              <w:right w:type="dxa" w:w="80"/>
            </w:tcMar>
          </w:tcPr>
          <w:p>
            <w:pPr>
              <w:spacing w:after="0" w:line="240"/>
            </w:pPr>
            <w:r>
              <w:rPr>
                <w:rFonts w:ascii="Calibri" w:cs="Calibri" w:eastAsia="Calibri" w:hAnsi="Calibri"/>
                <w:sz w:val="17"/>
                <w:szCs w:val="17"/>
              </w:rPr>
              <w:t xml:space="preserve">Calculateurs (autorisations, ventes sécurisées, mainlevée, division des risques) sur un scénario de valeurs connues</w:t>
            </w:r>
          </w:p>
        </w:tc>
        <w:tc>
          <w:tcPr>
            <w:tcW w:type="dxa" w:w="2726"/>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Conformes, propagés au scoring</w:t>
            </w:r>
          </w:p>
        </w:tc>
      </w:tr>
      <w:tr>
        <w:trPr>
          <w:cantSplit/>
        </w:trPr>
        <w:tc>
          <w:tcPr>
            <w:tcW w:type="dxa" w:w="6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Contrôles de ValiderModele rejoués sur le modèle livré</w:t>
            </w:r>
          </w:p>
        </w:tc>
        <w:tc>
          <w:tcPr>
            <w:tcW w:type="dxa" w:w="2726"/>
            <w:shd w:fill="F2F5FB" w:color="auto" w:val="clear"/>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0 erreur</w:t>
            </w:r>
          </w:p>
        </w:tc>
      </w:tr>
      <w:tr>
        <w:trPr>
          <w:cantSplit/>
        </w:trPr>
        <w:tc>
          <w:tcPr>
            <w:tcW w:type="dxa" w:w="6300"/>
            <w:tcMar>
              <w:top w:type="dxa" w:w="40"/>
              <w:left w:type="dxa" w:w="80"/>
              <w:bottom w:type="dxa" w:w="40"/>
              <w:right w:type="dxa" w:w="80"/>
            </w:tcMar>
          </w:tcPr>
          <w:p>
            <w:pPr>
              <w:spacing w:after="0" w:line="240"/>
            </w:pPr>
            <w:r>
              <w:rPr>
                <w:rFonts w:ascii="Calibri" w:cs="Calibri" w:eastAsia="Calibri" w:hAnsi="Calibri"/>
                <w:sz w:val="17"/>
                <w:szCs w:val="17"/>
              </w:rPr>
              <w:t xml:space="preserve">Code VBA : cohérence des noms définis, feuilles, clés de données, équilibre des blocs, cibles des boutons</w:t>
            </w:r>
          </w:p>
        </w:tc>
        <w:tc>
          <w:tcPr>
            <w:tcW w:type="dxa" w:w="2726"/>
            <w:tcMar>
              <w:top w:type="dxa" w:w="40"/>
              <w:left w:type="dxa" w:w="80"/>
              <w:bottom w:type="dxa" w:w="40"/>
              <w:right w:type="dxa" w:w="80"/>
            </w:tcMar>
          </w:tcPr>
          <w:p>
            <w:pPr>
              <w:spacing w:after="0" w:line="240"/>
            </w:pPr>
            <w:r>
              <w:rPr>
                <w:rFonts w:ascii="Calibri" w:cs="Calibri" w:eastAsia="Calibri" w:hAnsi="Calibri"/>
                <w:b/>
                <w:bCs/>
                <w:color w:val="548235"/>
                <w:sz w:val="17"/>
                <w:szCs w:val="17"/>
              </w:rPr>
              <w:t xml:space="preserve">Analyse statique sans anomalie</w:t>
            </w:r>
          </w:p>
        </w:tc>
      </w:tr>
      <w:tr>
        <w:trPr>
          <w:cantSplit/>
        </w:trPr>
        <w:tc>
          <w:tcPr>
            <w:tcW w:type="dxa" w:w="63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Exécution des macros VBA dans Excel</w:t>
            </w:r>
          </w:p>
        </w:tc>
        <w:tc>
          <w:tcPr>
            <w:tcW w:type="dxa" w:w="2726"/>
            <w:shd w:fill="F2F5FB" w:color="auto" w:val="clear"/>
            <w:tcMar>
              <w:top w:type="dxa" w:w="40"/>
              <w:left w:type="dxa" w:w="80"/>
              <w:bottom w:type="dxa" w:w="40"/>
              <w:right w:type="dxa" w:w="80"/>
            </w:tcMar>
          </w:tcPr>
          <w:p>
            <w:pPr>
              <w:spacing w:after="0" w:line="240"/>
            </w:pPr>
            <w:r>
              <w:rPr>
                <w:rFonts w:ascii="Calibri" w:cs="Calibri" w:eastAsia="Calibri" w:hAnsi="Calibri"/>
                <w:b/>
                <w:bCs/>
                <w:color w:val="C00000"/>
                <w:sz w:val="17"/>
                <w:szCs w:val="17"/>
              </w:rPr>
              <w:t xml:space="preserve">NON réalisée ici</w:t>
            </w:r>
          </w:p>
        </w:tc>
      </w:tr>
    </w:tbl>
    <w:p>
      <w:pPr>
        <w:spacing w:after="120" w:before="0" w:line="276"/>
      </w:pPr>
      <w:r>
        <w:rPr>
          <w:rFonts w:ascii="Calibri" w:cs="Calibri" w:eastAsia="Calibri" w:hAnsi="Calibri"/>
          <w:b/>
          <w:bCs/>
          <w:color w:val="C00000"/>
          <w:sz w:val="21"/>
          <w:szCs w:val="21"/>
        </w:rPr>
        <w:t xml:space="preserve">Point d'honnêteté. </w:t>
      </w:r>
      <w:r>
        <w:rPr>
          <w:rFonts w:ascii="Calibri" w:cs="Calibri" w:eastAsia="Calibri" w:hAnsi="Calibri"/>
          <w:i/>
          <w:iCs/>
          <w:sz w:val="21"/>
          <w:szCs w:val="21"/>
        </w:rPr>
        <w:t xml:space="preserve">Aucune instance d'Excel n'était disponible dans l'environnement de travail : les macros n'ont pas été exécutées. Je les ai écrites de façon conservatrice (aucune bibliothèque externe, aucun caractère accentué, gestion d'erreur avec restauration de l'état) et vérifiées statiquement, mais la première exécution réelle peut révéler une coquille de syntaxe ou un comportement propre à votre version d'Excel. C'est précisément le rôle de la macro ExecuterAutotests, à lancer en premier : elle compare le classeur aux 20 cas de référence. Si l'éditeur VBA signale une erreur à la compilation (menu Débogage → Compiler VBAProject), transmettez-moi le message : la correction est immédiate.</w:t>
      </w:r>
    </w:p>
    <w:p>
      <w:pPr>
        <w:pStyle w:val="Heading2"/>
        <w:spacing w:after="120" w:before="0" w:line="276"/>
      </w:pPr>
      <w:r>
        <w:rPr>
          <w:rFonts w:ascii="Calibri" w:cs="Calibri" w:eastAsia="Calibri" w:hAnsi="Calibri"/>
          <w:sz w:val="21"/>
          <w:szCs w:val="21"/>
        </w:rPr>
        <w:t xml:space="preserve">3.4 Pourquoi un .xlsx et des fichiers .bas, plutôt qu'un .xlsm</w:t>
      </w:r>
    </w:p>
    <w:p>
      <w:pPr>
        <w:spacing w:after="120" w:before="0" w:line="276"/>
      </w:pPr>
      <w:r>
        <w:rPr>
          <w:rFonts w:ascii="Calibri" w:cs="Calibri" w:eastAsia="Calibri" w:hAnsi="Calibri"/>
          <w:sz w:val="21"/>
          <w:szCs w:val="21"/>
        </w:rPr>
        <w:t xml:space="preserve">Un classeur .xlsm embarque un binaire de projet VBA que seul Excel produit de façon fiable. En fabriquer un à la main aurait exposé à un fichier signalé comme corrompu à l'ouverture. La procédure retenue coûte deux minutes et donne un résultat sûr : importer les cinq modules, exécuter l'installation des boutons, enregistrer au format .xlsm.</w:t>
      </w:r>
    </w:p>
    <w:p>
      <w:pPr>
        <w:pStyle w:val="Heading2"/>
        <w:spacing w:after="120" w:before="0" w:line="276"/>
      </w:pPr>
      <w:r>
        <w:rPr>
          <w:rFonts w:ascii="Calibri" w:cs="Calibri" w:eastAsia="Calibri" w:hAnsi="Calibri"/>
          <w:sz w:val="21"/>
          <w:szCs w:val="21"/>
        </w:rPr>
        <w:t xml:space="preserve">3.5 Installation</w:t>
      </w:r>
    </w:p>
    <w:p>
      <w:pPr>
        <w:pStyle w:val="ListParagraph"/>
        <w:numPr>
          <w:ilvl w:val="0"/>
          <w:numId w:val="2"/>
        </w:numPr>
        <w:spacing w:after="60" w:line="276"/>
      </w:pPr>
      <w:r>
        <w:rPr>
          <w:rFonts w:ascii="Calibri" w:cs="Calibri" w:eastAsia="Calibri" w:hAnsi="Calibri"/>
          <w:sz w:val="21"/>
          <w:szCs w:val="21"/>
        </w:rPr>
        <w:t xml:space="preserve">1. Ouvrir PI_Promotion_Modele_v4.xlsx dans Excel (Windows recommandé pour les macros).</w:t>
      </w:r>
    </w:p>
    <w:p>
      <w:pPr>
        <w:pStyle w:val="ListParagraph"/>
        <w:numPr>
          <w:ilvl w:val="0"/>
          <w:numId w:val="2"/>
        </w:numPr>
        <w:spacing w:after="60" w:line="276"/>
      </w:pPr>
      <w:r>
        <w:rPr>
          <w:rFonts w:ascii="Calibri" w:cs="Calibri" w:eastAsia="Calibri" w:hAnsi="Calibri"/>
          <w:sz w:val="21"/>
          <w:szCs w:val="21"/>
        </w:rPr>
        <w:t xml:space="preserve">2. Alt + F11 pour ouvrir l'éditeur VBA, puis Fichier → Importer un fichier, et sélectionner les cinq fichiers .bas du dossier « vba ».</w:t>
      </w:r>
    </w:p>
    <w:p>
      <w:pPr>
        <w:pStyle w:val="ListParagraph"/>
        <w:numPr>
          <w:ilvl w:val="0"/>
          <w:numId w:val="2"/>
        </w:numPr>
        <w:spacing w:after="60" w:line="276"/>
      </w:pPr>
      <w:r>
        <w:rPr>
          <w:rFonts w:ascii="Calibri" w:cs="Calibri" w:eastAsia="Calibri" w:hAnsi="Calibri"/>
          <w:sz w:val="21"/>
          <w:szCs w:val="21"/>
        </w:rPr>
        <w:t xml:space="preserve">3. Menu Débogage → Compiler VBAProject : aucune erreur ne doit apparaître.</w:t>
      </w:r>
    </w:p>
    <w:p>
      <w:pPr>
        <w:pStyle w:val="ListParagraph"/>
        <w:numPr>
          <w:ilvl w:val="0"/>
          <w:numId w:val="2"/>
        </w:numPr>
        <w:spacing w:after="60" w:line="276"/>
      </w:pPr>
      <w:r>
        <w:rPr>
          <w:rFonts w:ascii="Calibri" w:cs="Calibri" w:eastAsia="Calibri" w:hAnsi="Calibri"/>
          <w:sz w:val="21"/>
          <w:szCs w:val="21"/>
        </w:rPr>
        <w:t xml:space="preserve">4. Exécuter la macro InstallerBoutons (Alt + F8).</w:t>
      </w:r>
    </w:p>
    <w:p>
      <w:pPr>
        <w:pStyle w:val="ListParagraph"/>
        <w:numPr>
          <w:ilvl w:val="0"/>
          <w:numId w:val="2"/>
        </w:numPr>
        <w:spacing w:after="60" w:line="276"/>
      </w:pPr>
      <w:r>
        <w:rPr>
          <w:rFonts w:ascii="Calibri" w:cs="Calibri" w:eastAsia="Calibri" w:hAnsi="Calibri"/>
          <w:sz w:val="21"/>
          <w:szCs w:val="21"/>
        </w:rPr>
        <w:t xml:space="preserve">5. Enregistrer sous… → Classeur Excel prenant en charge les macros (.xlsm).</w:t>
      </w:r>
    </w:p>
    <w:p>
      <w:pPr>
        <w:pStyle w:val="ListParagraph"/>
        <w:numPr>
          <w:ilvl w:val="0"/>
          <w:numId w:val="2"/>
        </w:numPr>
        <w:spacing w:after="60" w:line="276"/>
      </w:pPr>
      <w:r>
        <w:rPr>
          <w:rFonts w:ascii="Calibri" w:cs="Calibri" w:eastAsia="Calibri" w:hAnsi="Calibri"/>
          <w:sz w:val="21"/>
          <w:szCs w:val="21"/>
        </w:rPr>
        <w:t xml:space="preserve">6. Exécuter ExecuterAutotests : le message attendu est « 20 / 20 cas conformes ».</w:t>
      </w:r>
    </w:p>
    <w:p>
      <w:pPr>
        <w:pStyle w:val="Heading2"/>
        <w:spacing w:after="120" w:before="0" w:line="276"/>
      </w:pPr>
      <w:r>
        <w:rPr>
          <w:rFonts w:ascii="Calibri" w:cs="Calibri" w:eastAsia="Calibri" w:hAnsi="Calibri"/>
          <w:sz w:val="21"/>
          <w:szCs w:val="21"/>
        </w:rPr>
        <w:t xml:space="preserve">3.6 Utilisation courante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2800"/>
        <w:gridCol w:w="6226"/>
      </w:tblGrid>
      <w:tr>
        <w:trPr>
          <w:cantSplit/>
          <w:tblHeader/>
        </w:trPr>
        <w:tc>
          <w:tcPr>
            <w:tcW w:type="dxa" w:w="2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Besoin</w:t>
            </w:r>
          </w:p>
        </w:tc>
        <w:tc>
          <w:tcPr>
            <w:tcW w:type="dxa" w:w="6226"/>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7"/>
                <w:szCs w:val="17"/>
              </w:rPr>
              <w:t xml:space="preserve">Action</w:t>
            </w:r>
          </w:p>
        </w:tc>
      </w:tr>
      <w:tr>
        <w:trPr>
          <w:cantSplit/>
        </w:trPr>
        <w:tc>
          <w:tcPr>
            <w:tcW w:type="dxa" w:w="2800"/>
            <w:tcMar>
              <w:top w:type="dxa" w:w="40"/>
              <w:left w:type="dxa" w:w="80"/>
              <w:bottom w:type="dxa" w:w="40"/>
              <w:right w:type="dxa" w:w="80"/>
            </w:tcMar>
          </w:tcPr>
          <w:p>
            <w:pPr>
              <w:spacing w:after="0" w:line="240"/>
            </w:pPr>
            <w:r>
              <w:rPr>
                <w:rFonts w:ascii="Calibri" w:cs="Calibri" w:eastAsia="Calibri" w:hAnsi="Calibri"/>
                <w:sz w:val="17"/>
                <w:szCs w:val="17"/>
              </w:rPr>
              <w:t xml:space="preserve">Noter un dossier</w:t>
            </w:r>
          </w:p>
        </w:tc>
        <w:tc>
          <w:tcPr>
            <w:tcW w:type="dxa" w:w="6226"/>
            <w:tcMar>
              <w:top w:type="dxa" w:w="40"/>
              <w:left w:type="dxa" w:w="80"/>
              <w:bottom w:type="dxa" w:w="40"/>
              <w:right w:type="dxa" w:w="80"/>
            </w:tcMar>
          </w:tcPr>
          <w:p>
            <w:pPr>
              <w:spacing w:after="0" w:line="240"/>
            </w:pPr>
            <w:r>
              <w:rPr>
                <w:rFonts w:ascii="Calibri" w:cs="Calibri" w:eastAsia="Calibri" w:hAnsi="Calibri"/>
                <w:sz w:val="17"/>
                <w:szCs w:val="17"/>
              </w:rPr>
              <w:t xml:space="preserve">Onglet Saisie (cellules jaunes) → lecture dans Resultat. La macro « Calculer et journaliser » inscrit le calcul au journal.</w:t>
            </w:r>
          </w:p>
        </w:tc>
      </w:tr>
      <w:tr>
        <w:trPr>
          <w:cantSplit/>
        </w:trPr>
        <w:tc>
          <w:tcPr>
            <w:tcW w:type="dxa" w:w="2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Noter un portefeuille</w:t>
            </w:r>
          </w:p>
        </w:tc>
        <w:tc>
          <w:tcPr>
            <w:tcW w:type="dxa" w:w="62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Une ligne par dossier dans Portefeuille → ScorerPortefeuille. La saisie courante est restaurée.</w:t>
            </w:r>
          </w:p>
        </w:tc>
      </w:tr>
      <w:tr>
        <w:trPr>
          <w:cantSplit/>
        </w:trPr>
        <w:tc>
          <w:tcPr>
            <w:tcW w:type="dxa" w:w="2800"/>
            <w:tcMar>
              <w:top w:type="dxa" w:w="40"/>
              <w:left w:type="dxa" w:w="80"/>
              <w:bottom w:type="dxa" w:w="40"/>
              <w:right w:type="dxa" w:w="80"/>
            </w:tcMar>
          </w:tcPr>
          <w:p>
            <w:pPr>
              <w:spacing w:after="0" w:line="240"/>
            </w:pPr>
            <w:r>
              <w:rPr>
                <w:rFonts w:ascii="Calibri" w:cs="Calibri" w:eastAsia="Calibri" w:hAnsi="Calibri"/>
                <w:sz w:val="17"/>
                <w:szCs w:val="17"/>
              </w:rPr>
              <w:t xml:space="preserve">Tester la robustesse</w:t>
            </w:r>
          </w:p>
        </w:tc>
        <w:tc>
          <w:tcPr>
            <w:tcW w:type="dxa" w:w="6226"/>
            <w:tcMar>
              <w:top w:type="dxa" w:w="40"/>
              <w:left w:type="dxa" w:w="80"/>
              <w:bottom w:type="dxa" w:w="40"/>
              <w:right w:type="dxa" w:w="80"/>
            </w:tcMar>
          </w:tcPr>
          <w:p>
            <w:pPr>
              <w:spacing w:after="0" w:line="240"/>
            </w:pPr>
            <w:r>
              <w:rPr>
                <w:rFonts w:ascii="Calibri" w:cs="Calibri" w:eastAsia="Calibri" w:hAnsi="Calibri"/>
                <w:sz w:val="17"/>
                <w:szCs w:val="17"/>
              </w:rPr>
              <w:t xml:space="preserve">Stress : scénarios modifiables (prix, coût, retard, ventes, taux) → LancerStress.</w:t>
            </w:r>
          </w:p>
        </w:tc>
      </w:tr>
      <w:tr>
        <w:trPr>
          <w:cantSplit/>
        </w:trPr>
        <w:tc>
          <w:tcPr>
            <w:tcW w:type="dxa" w:w="2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Renseigner les données dérivées</w:t>
            </w:r>
          </w:p>
        </w:tc>
        <w:tc>
          <w:tcPr>
            <w:tcW w:type="dxa" w:w="62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Calculateurs : autorisations, ventes sécurisées, mainlevée, division des risques. Une valeur saisie prime.</w:t>
            </w:r>
          </w:p>
        </w:tc>
      </w:tr>
      <w:tr>
        <w:trPr>
          <w:cantSplit/>
        </w:trPr>
        <w:tc>
          <w:tcPr>
            <w:tcW w:type="dxa" w:w="2800"/>
            <w:tcMar>
              <w:top w:type="dxa" w:w="40"/>
              <w:left w:type="dxa" w:w="80"/>
              <w:bottom w:type="dxa" w:w="40"/>
              <w:right w:type="dxa" w:w="80"/>
            </w:tcMar>
          </w:tcPr>
          <w:p>
            <w:pPr>
              <w:spacing w:after="0" w:line="240"/>
            </w:pPr>
            <w:r>
              <w:rPr>
                <w:rFonts w:ascii="Calibri" w:cs="Calibri" w:eastAsia="Calibri" w:hAnsi="Calibri"/>
                <w:sz w:val="17"/>
                <w:szCs w:val="17"/>
              </w:rPr>
              <w:t xml:space="preserve">Modifier le modèle</w:t>
            </w:r>
          </w:p>
        </w:tc>
        <w:tc>
          <w:tcPr>
            <w:tcW w:type="dxa" w:w="6226"/>
            <w:tcMar>
              <w:top w:type="dxa" w:w="40"/>
              <w:left w:type="dxa" w:w="80"/>
              <w:bottom w:type="dxa" w:w="40"/>
              <w:right w:type="dxa" w:w="80"/>
            </w:tcMar>
          </w:tcPr>
          <w:p>
            <w:pPr>
              <w:spacing w:after="0" w:line="240"/>
            </w:pPr>
            <w:r>
              <w:rPr>
                <w:rFonts w:ascii="Calibri" w:cs="Calibri" w:eastAsia="Calibri" w:hAnsi="Calibri"/>
                <w:sz w:val="17"/>
                <w:szCs w:val="17"/>
              </w:rPr>
              <w:t xml:space="preserve">Onglets P_* (bleus) → ValiderModele → SnapshotModele pour archiver la version.</w:t>
            </w:r>
          </w:p>
        </w:tc>
      </w:tr>
      <w:tr>
        <w:trPr>
          <w:cantSplit/>
        </w:trPr>
        <w:tc>
          <w:tcPr>
            <w:tcW w:type="dxa" w:w="2800"/>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Restituer</w:t>
            </w:r>
          </w:p>
        </w:tc>
        <w:tc>
          <w:tcPr>
            <w:tcW w:type="dxa" w:w="6226"/>
            <w:shd w:fill="F2F5FB" w:color="auto" w:val="clear"/>
            <w:tcMar>
              <w:top w:type="dxa" w:w="40"/>
              <w:left w:type="dxa" w:w="80"/>
              <w:bottom w:type="dxa" w:w="40"/>
              <w:right w:type="dxa" w:w="80"/>
            </w:tcMar>
          </w:tcPr>
          <w:p>
            <w:pPr>
              <w:spacing w:after="0" w:line="240"/>
            </w:pPr>
            <w:r>
              <w:rPr>
                <w:rFonts w:ascii="Calibri" w:cs="Calibri" w:eastAsia="Calibri" w:hAnsi="Calibri"/>
                <w:sz w:val="17"/>
                <w:szCs w:val="17"/>
              </w:rPr>
              <w:t xml:space="preserve">ExporterPDF sur l'onglet Resultat.</w:t>
            </w:r>
          </w:p>
        </w:tc>
      </w:tr>
    </w:tbl>
    <w:p>
      <w:pPr>
        <w:pStyle w:val="Heading2"/>
        <w:spacing w:after="120" w:before="0" w:line="276"/>
      </w:pPr>
      <w:r>
        <w:rPr>
          <w:rFonts w:ascii="Calibri" w:cs="Calibri" w:eastAsia="Calibri" w:hAnsi="Calibri"/>
          <w:sz w:val="21"/>
          <w:szCs w:val="21"/>
        </w:rPr>
        <w:t xml:space="preserve">3.7 Limites et bon usage</w:t>
      </w:r>
    </w:p>
    <w:p>
      <w:pPr>
        <w:pStyle w:val="ListParagraph"/>
        <w:numPr>
          <w:ilvl w:val="0"/>
          <w:numId w:val="2"/>
        </w:numPr>
        <w:spacing w:after="60" w:line="276"/>
      </w:pPr>
      <w:r>
        <w:rPr>
          <w:rFonts w:ascii="Calibri" w:cs="Calibri" w:eastAsia="Calibri" w:hAnsi="Calibri"/>
          <w:sz w:val="21"/>
          <w:szCs w:val="21"/>
        </w:rPr>
        <w:t xml:space="preserve">La classe réglementaire BAM est saisie : seule une suggestion fondée sur le retard de paiement est affichée. Les déclencheurs qualitatifs de la circulaire 1/W (art. 5, 12.6, 12.7), la restructuration et l'effet de groupe restent à apprécier — ils sont automatisés dans l'application.</w:t>
      </w:r>
    </w:p>
    <w:p>
      <w:pPr>
        <w:pStyle w:val="ListParagraph"/>
        <w:numPr>
          <w:ilvl w:val="0"/>
          <w:numId w:val="2"/>
        </w:numPr>
        <w:spacing w:after="60" w:line="276"/>
      </w:pPr>
      <w:r>
        <w:rPr>
          <w:rFonts w:ascii="Calibri" w:cs="Calibri" w:eastAsia="Calibri" w:hAnsi="Calibri"/>
          <w:sz w:val="21"/>
          <w:szCs w:val="21"/>
        </w:rPr>
        <w:t xml:space="preserve">Trésorerie mensuelle, LGD, IFRS 9, workflow d'approbation et historique multi-utilisateurs : dans l'application uniquement.</w:t>
      </w:r>
    </w:p>
    <w:p>
      <w:pPr>
        <w:pStyle w:val="ListParagraph"/>
        <w:numPr>
          <w:ilvl w:val="0"/>
          <w:numId w:val="2"/>
        </w:numPr>
        <w:spacing w:after="60" w:line="276"/>
      </w:pPr>
      <w:r>
        <w:rPr>
          <w:rFonts w:ascii="Calibri" w:cs="Calibri" w:eastAsia="Calibri" w:hAnsi="Calibri"/>
          <w:sz w:val="21"/>
          <w:szCs w:val="21"/>
        </w:rPr>
        <w:t xml:space="preserve">Un classeur est individuel : pas de contrôle d'accès, pas de piste d'audit opposable. Le journal intégré est un aide-mémoire, pas une preuve.</w:t>
      </w:r>
    </w:p>
    <w:p>
      <w:pPr>
        <w:pStyle w:val="ListParagraph"/>
        <w:numPr>
          <w:ilvl w:val="0"/>
          <w:numId w:val="2"/>
        </w:numPr>
        <w:spacing w:after="60" w:line="276"/>
      </w:pPr>
      <w:r>
        <w:rPr>
          <w:rFonts w:ascii="Calibri" w:cs="Calibri" w:eastAsia="Calibri" w:hAnsi="Calibri"/>
          <w:sz w:val="21"/>
          <w:szCs w:val="21"/>
        </w:rPr>
        <w:t xml:space="preserve">Risque de divergence : à chaque publication d'une nouvelle version du modèle, le classeur doit être régénéré (script fourni). Sans cela, deux versions circulent. La source de vérité reste l'application.</w:t>
      </w:r>
    </w:p>
    <w:p>
      <w:pPr>
        <w:pStyle w:val="ListParagraph"/>
        <w:numPr>
          <w:ilvl w:val="0"/>
          <w:numId w:val="2"/>
        </w:numPr>
        <w:spacing w:after="60" w:line="276"/>
      </w:pPr>
      <w:r>
        <w:rPr>
          <w:rFonts w:ascii="Calibri" w:cs="Calibri" w:eastAsia="Calibri" w:hAnsi="Calibri"/>
          <w:sz w:val="21"/>
          <w:szCs w:val="21"/>
        </w:rPr>
        <w:t xml:space="preserve">Écarts d'arrondi : à mi-chemin exact, l'arrondi d'Excel et celui de l'application peuvent différer d'un centième ; les autotests tolèrent 0,02 point.</w:t>
      </w:r>
    </w:p>
    <w:p>
      <w:pPr>
        <w:pStyle w:val="ListParagraph"/>
        <w:numPr>
          <w:ilvl w:val="0"/>
          <w:numId w:val="2"/>
        </w:numPr>
        <w:spacing w:after="60" w:line="276"/>
      </w:pPr>
      <w:r>
        <w:rPr>
          <w:rFonts w:ascii="Calibri" w:cs="Calibri" w:eastAsia="Calibri" w:hAnsi="Calibri"/>
          <w:sz w:val="21"/>
          <w:szCs w:val="21"/>
        </w:rPr>
        <w:t xml:space="preserve">La PD affichée est indicative : ne pas l'utiliser pour des pertes attendues ni du capital.</w:t>
      </w:r>
    </w:p>
    <w:p>
      <w:pPr>
        <w:spacing w:after="120" w:before="120" w:line="276"/>
      </w:pPr>
      <w:r>
        <w:rPr>
          <w:rFonts w:ascii="Calibri" w:cs="Calibri" w:eastAsia="Calibri" w:hAnsi="Calibri"/>
          <w:b/>
          <w:bCs/>
          <w:sz w:val="21"/>
          <w:szCs w:val="21"/>
        </w:rPr>
        <w:t xml:space="preserve">Usage recommandé : </w:t>
      </w:r>
      <w:r>
        <w:rPr>
          <w:rFonts w:ascii="Calibri" w:cs="Calibri" w:eastAsia="Calibri" w:hAnsi="Calibri"/>
          <w:sz w:val="21"/>
          <w:szCs w:val="21"/>
        </w:rPr>
        <w:t xml:space="preserve">simulation, préparation de comité, agences sans accès à l'application, dépannage, formation. Pour la décision officielle et la traçabilité : l'application.</w:t>
      </w:r>
    </w:p>
    <w:p>
      <w:pPr>
        <w:pStyle w:val="Heading2"/>
        <w:spacing w:after="120" w:before="0" w:line="276"/>
      </w:pPr>
      <w:r>
        <w:rPr>
          <w:rFonts w:ascii="Calibri" w:cs="Calibri" w:eastAsia="Calibri" w:hAnsi="Calibri"/>
          <w:sz w:val="21"/>
          <w:szCs w:val="21"/>
        </w:rPr>
        <w:t xml:space="preserve">3.8 Possibilités d'évolution de l'outil</w:t>
      </w:r>
    </w:p>
    <w:p>
      <w:pPr>
        <w:pStyle w:val="ListParagraph"/>
        <w:numPr>
          <w:ilvl w:val="0"/>
          <w:numId w:val="2"/>
        </w:numPr>
        <w:spacing w:after="60" w:line="276"/>
      </w:pPr>
      <w:r>
        <w:rPr>
          <w:rFonts w:ascii="Calibri" w:cs="Calibri" w:eastAsia="Calibri" w:hAnsi="Calibri"/>
          <w:sz w:val="21"/>
          <w:szCs w:val="21"/>
        </w:rPr>
        <w:t xml:space="preserve">Ajout dans le classeur du budget mensuel de trésorerie et de la LGD (les moteurs sont déjà spécifiés).</w:t>
      </w:r>
    </w:p>
    <w:p>
      <w:pPr>
        <w:pStyle w:val="ListParagraph"/>
        <w:numPr>
          <w:ilvl w:val="0"/>
          <w:numId w:val="2"/>
        </w:numPr>
        <w:spacing w:after="60" w:line="276"/>
      </w:pPr>
      <w:r>
        <w:rPr>
          <w:rFonts w:ascii="Calibri" w:cs="Calibri" w:eastAsia="Calibri" w:hAnsi="Calibri"/>
          <w:sz w:val="21"/>
          <w:szCs w:val="21"/>
        </w:rPr>
        <w:t xml:space="preserve">Échange avec l'application par fichiers : export du dossier, import des résultats officiels pour rapprochement.</w:t>
      </w:r>
    </w:p>
    <w:p>
      <w:pPr>
        <w:pStyle w:val="ListParagraph"/>
        <w:numPr>
          <w:ilvl w:val="0"/>
          <w:numId w:val="2"/>
        </w:numPr>
        <w:spacing w:after="60" w:line="276"/>
      </w:pPr>
      <w:r>
        <w:rPr>
          <w:rFonts w:ascii="Calibri" w:cs="Calibri" w:eastAsia="Calibri" w:hAnsi="Calibri"/>
          <w:sz w:val="21"/>
          <w:szCs w:val="21"/>
        </w:rPr>
        <w:t xml:space="preserve">Pack de comité : génération d'un document Word depuis le classeur.</w:t>
      </w:r>
    </w:p>
    <w:p>
      <w:pPr>
        <w:pStyle w:val="ListParagraph"/>
        <w:numPr>
          <w:ilvl w:val="0"/>
          <w:numId w:val="2"/>
        </w:numPr>
        <w:spacing w:after="60" w:line="276"/>
      </w:pPr>
      <w:r>
        <w:rPr>
          <w:rFonts w:ascii="Calibri" w:cs="Calibri" w:eastAsia="Calibri" w:hAnsi="Calibri"/>
          <w:sz w:val="21"/>
          <w:szCs w:val="21"/>
        </w:rPr>
        <w:t xml:space="preserve">Protection des feuilles de calcul et de paramétrage, et signature du projet VBA.</w:t>
      </w:r>
    </w:p>
    <w:p>
      <w:pPr>
        <w:pStyle w:val="ListParagraph"/>
        <w:numPr>
          <w:ilvl w:val="0"/>
          <w:numId w:val="2"/>
        </w:numPr>
        <w:spacing w:after="60" w:line="276"/>
      </w:pPr>
      <w:r>
        <w:rPr>
          <w:rFonts w:ascii="Calibri" w:cs="Calibri" w:eastAsia="Calibri" w:hAnsi="Calibri"/>
          <w:sz w:val="21"/>
          <w:szCs w:val="21"/>
        </w:rPr>
        <w:t xml:space="preserve">Version sans macro pour les postes qui les bloquent : le moteur en formules fonctionne sans VBA.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PI_PROMOTION v4.0.0 — référence, perspectives, outil Excel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4"/>
      </w:pBdr>
      <w:spacing w:after="140" w:before="2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scoring Promotion Immobilière v4.0.0 — référence, perspectives, outil Excel</dc:title>
  <dc:creator>Outil de scoring PI</dc:creator>
  <dc:description>Modèle à jour, perspectives d'évolution et description de l'outil Excel/VBA</dc:description>
  <cp:lastModifiedBy>Un-named</cp:lastModifiedBy>
  <cp:revision>1</cp:revision>
  <dcterms:created xsi:type="dcterms:W3CDTF">2026-09-29T13:20:53.510Z</dcterms:created>
  <dcterms:modified xsi:type="dcterms:W3CDTF">2026-09-29T13:20:53.510Z</dcterms:modified>
</cp:coreProperties>
</file>

<file path=docProps/custom.xml><?xml version="1.0" encoding="utf-8"?>
<Properties xmlns="http://schemas.openxmlformats.org/officeDocument/2006/custom-properties" xmlns:vt="http://schemas.openxmlformats.org/officeDocument/2006/docPropsVTypes"/>
</file>