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3864"/>
          <w:sz w:val="56"/>
          <w:szCs w:val="56"/>
        </w:rPr>
        <w:t xml:space="preserve">MODÈLE DE SCORING</w:t>
      </w:r>
    </w:p>
    <w:p>
      <w:pPr>
        <w:spacing w:after="0" w:before="60"/>
        <w:jc w:val="center"/>
      </w:pPr>
      <w:r>
        <w:rPr>
          <w:rFonts w:ascii="Calibri" w:cs="Calibri" w:eastAsia="Calibri" w:hAnsi="Calibri"/>
          <w:b/>
          <w:bCs/>
          <w:color w:val="2E5496"/>
          <w:sz w:val="56"/>
          <w:szCs w:val="56"/>
        </w:rPr>
        <w:t xml:space="preserve">PROMOTION IMMOBILIÈRE</w:t>
      </w:r>
    </w:p>
    <w:p>
      <w:pPr>
        <w:pBdr>
          <w:top w:val="single" w:color="D9E1F2" w:sz="12" w:space="8"/>
        </w:pBdr>
        <w:spacing w:after="0" w:before="240"/>
        <w:jc w:val="center"/>
      </w:pPr>
      <w:r>
        <w:rPr>
          <w:sz w:val="2"/>
          <w:szCs w:val="2"/>
        </w:rPr>
        <w:t xml:space="preserve"/>
      </w:r>
    </w:p>
    <w:p>
      <w:pPr>
        <w:spacing w:after="0" w:before="300"/>
        <w:jc w:val="center"/>
      </w:pPr>
      <w:r>
        <w:rPr>
          <w:rFonts w:ascii="Calibri" w:cs="Calibri" w:eastAsia="Calibri" w:hAnsi="Calibri"/>
          <w:i/>
          <w:iCs/>
          <w:color w:val="595959"/>
          <w:sz w:val="26"/>
          <w:szCs w:val="26"/>
        </w:rPr>
        <w:t xml:space="preserve">Spécification fonctionnelle et méthodologique</w:t>
      </w:r>
    </w:p>
    <w:p>
      <w:pPr>
        <w:spacing w:after="0" w:before="40"/>
        <w:jc w:val="center"/>
      </w:pPr>
      <w:r>
        <w:rPr>
          <w:rFonts w:ascii="Calibri" w:cs="Calibri" w:eastAsia="Calibri" w:hAnsi="Calibri"/>
          <w:color w:val="595959"/>
          <w:sz w:val="22"/>
          <w:szCs w:val="22"/>
        </w:rPr>
        <w:t xml:space="preserve">Telle qu'implémentée dans l'outil de notation PI</w:t>
      </w:r>
    </w:p>
    <w:p>
      <w:pPr>
        <w:spacing w:after="0" w:before="1400"/>
        <w:jc w:val="center"/>
      </w:pPr>
      <w:r>
        <w:rPr>
          <w:rFonts w:ascii="Calibri" w:cs="Calibri" w:eastAsia="Calibri" w:hAnsi="Calibri"/>
          <w:b/>
          <w:bCs/>
          <w:color w:val="1F3864"/>
          <w:sz w:val="24"/>
          <w:szCs w:val="24"/>
        </w:rPr>
        <w:t xml:space="preserve">Modèle PI_PROMOTION — version v2.0.0 (publiée)</w:t>
      </w:r>
    </w:p>
    <w:p>
      <w:pPr>
        <w:spacing w:after="0" w:before="40"/>
        <w:jc w:val="center"/>
      </w:pPr>
      <w:r>
        <w:rPr>
          <w:rFonts w:ascii="Calibri" w:cs="Calibri" w:eastAsia="Calibri" w:hAnsi="Calibri"/>
          <w:color w:val="595959"/>
          <w:sz w:val="20"/>
          <w:szCs w:val="20"/>
        </w:rPr>
        <w:t xml:space="preserve">Échelle critère 1..10 · 4 domaines scorés · 26 critères · 9 red flags</w:t>
      </w:r>
    </w:p>
    <w:p>
      <w:pPr>
        <w:spacing w:after="0" w:before="40"/>
        <w:jc w:val="center"/>
      </w:pPr>
      <w:r>
        <w:rPr>
          <w:rFonts w:ascii="Calibri" w:cs="Calibri" w:eastAsia="Calibri" w:hAnsi="Calibri"/>
          <w:color w:val="595959"/>
          <w:sz w:val="20"/>
          <w:szCs w:val="20"/>
        </w:rPr>
        <w:t xml:space="preserve">Date d'édition : 17 septembre 2026</w:t>
      </w:r>
    </w:p>
    <w:p>
      <w:r>
        <w:br w:type="page"/>
      </w:r>
    </w:p>
    <w:p>
      <w:pPr>
        <w:pStyle w:val="Heading1"/>
        <w:spacing w:after="120" w:before="0" w:line="276"/>
      </w:pPr>
      <w:r>
        <w:rPr>
          <w:rFonts w:ascii="Calibri" w:cs="Calibri" w:eastAsia="Calibri" w:hAnsi="Calibri"/>
          <w:sz w:val="21"/>
          <w:szCs w:val="21"/>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0" w:line="276"/>
      </w:pPr>
      <w:r>
        <w:rPr>
          <w:rFonts w:ascii="Calibri" w:cs="Calibri" w:eastAsia="Calibri" w:hAnsi="Calibri"/>
          <w:sz w:val="21"/>
          <w:szCs w:val="21"/>
        </w:rPr>
        <w:t xml:space="preserve">1. Présentation générale</w:t>
      </w:r>
    </w:p>
    <w:p>
      <w:pPr>
        <w:spacing w:after="120" w:before="0" w:line="276"/>
      </w:pPr>
      <w:r>
        <w:rPr>
          <w:rFonts w:ascii="Calibri" w:cs="Calibri" w:eastAsia="Calibri" w:hAnsi="Calibri"/>
          <w:sz w:val="21"/>
          <w:szCs w:val="21"/>
        </w:rPr>
        <w:t xml:space="preserve">Le modèle « Promotion Immobilière » (code PI_PROMOTION) est un dispositif de notation du risque de crédit dédié aux projets de promotion immobilière. Il produit, à partir des caractéristiques d'un projet et de son sponsor, un score interne sur 100 points, une décision d'octroi / de suivi, une classe interne de risque et une probabilité de défaut indicative (PD proxy).</w:t>
      </w:r>
    </w:p>
    <w:p>
      <w:pPr>
        <w:spacing w:after="120" w:before="0" w:line="276"/>
      </w:pPr>
      <w:r>
        <w:rPr>
          <w:rFonts w:ascii="Calibri" w:cs="Calibri" w:eastAsia="Calibri" w:hAnsi="Calibri"/>
          <w:sz w:val="21"/>
          <w:szCs w:val="21"/>
        </w:rPr>
        <w:t xml:space="preserve">La note repose sur quatre domaines d'analyse pondérés (D1 à D4), complétés par une couche de vulnérabilité réglementaire (D5) qui n'entre pas dans le score de base mais applique des malus et des déclencheurs de mise en souffrance. Chaque critère est noté sur une échelle de 1 à 10, agrégé en score de domaine sur 100, puis combiné selon les pondérations de domaines.</w:t>
      </w:r>
    </w:p>
    <w:p>
      <w:pPr>
        <w:spacing w:after="120" w:before="0" w:line="276"/>
      </w:pPr>
      <w:r>
        <w:rPr>
          <w:rFonts w:ascii="Calibri" w:cs="Calibri" w:eastAsia="Calibri" w:hAnsi="Calibri"/>
          <w:sz w:val="21"/>
          <w:szCs w:val="21"/>
        </w:rPr>
        <w:t xml:space="preserve">Principe directeur : </w:t>
      </w:r>
      <w:r>
        <w:rPr>
          <w:rFonts w:ascii="Calibri" w:cs="Calibri" w:eastAsia="Calibri" w:hAnsi="Calibri"/>
          <w:b/>
          <w:bCs/>
          <w:sz w:val="21"/>
          <w:szCs w:val="21"/>
        </w:rPr>
        <w:t xml:space="preserve">aucune règle n'est codée en dur dans le moteur. </w:t>
      </w:r>
      <w:r>
        <w:rPr>
          <w:rFonts w:ascii="Calibri" w:cs="Calibri" w:eastAsia="Calibri" w:hAnsi="Calibri"/>
          <w:sz w:val="21"/>
          <w:szCs w:val="21"/>
        </w:rPr>
        <w:t xml:space="preserve">L'intégralité du paramétrage (domaines, critères, pondérations, barèmes, gates, red flags, ajustements segment/zone, coefficients réglementaires et seuils de décision) est stockée en base de données et administrable via le Model Builder. Le présent document décrit la version </w:t>
      </w:r>
      <w:r>
        <w:rPr>
          <w:rFonts w:ascii="Calibri" w:cs="Calibri" w:eastAsia="Calibri" w:hAnsi="Calibri"/>
          <w:b/>
          <w:bCs/>
          <w:sz w:val="21"/>
          <w:szCs w:val="21"/>
        </w:rPr>
        <w:t xml:space="preserve">v2.0.0</w:t>
      </w:r>
      <w:r>
        <w:rPr>
          <w:rFonts w:ascii="Calibri" w:cs="Calibri" w:eastAsia="Calibri" w:hAnsi="Calibri"/>
          <w:sz w:val="21"/>
          <w:szCs w:val="21"/>
        </w:rPr>
        <w:t xml:space="preserve"> actuellement publiée.</w:t>
      </w:r>
    </w:p>
    <w:p>
      <w:pPr>
        <w:pStyle w:val="Heading2"/>
        <w:spacing w:after="120" w:before="0" w:line="276"/>
      </w:pPr>
      <w:r>
        <w:rPr>
          <w:rFonts w:ascii="Calibri" w:cs="Calibri" w:eastAsia="Calibri" w:hAnsi="Calibri"/>
          <w:sz w:val="21"/>
          <w:szCs w:val="21"/>
        </w:rPr>
        <w:t xml:space="preserve">1.1 Caractéristiques du modèle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3200"/>
        <w:gridCol w:w="5826"/>
      </w:tblGrid>
      <w:tr>
        <w:trPr>
          <w:tblHeader/>
        </w:trPr>
        <w:tc>
          <w:tcPr>
            <w:tcW w:type="dxa" w:w="32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Paramètre</w:t>
            </w:r>
          </w:p>
        </w:tc>
        <w:tc>
          <w:tcPr>
            <w:tcW w:type="dxa" w:w="58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Valeur</w:t>
            </w:r>
          </w:p>
        </w:tc>
      </w:tr>
      <w:tr>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Code du modèle</w:t>
            </w:r>
          </w:p>
        </w:tc>
        <w:tc>
          <w:tcPr>
            <w:tcW w:type="dxa" w:w="5826"/>
            <w:tcMar>
              <w:top w:type="dxa" w:w="40"/>
              <w:left w:type="dxa" w:w="90"/>
              <w:bottom w:type="dxa" w:w="40"/>
              <w:right w:type="dxa" w:w="90"/>
            </w:tcMar>
          </w:tcPr>
          <w:p>
            <w:pPr>
              <w:spacing w:after="0" w:line="252"/>
              <w:jc w:val="left"/>
            </w:pPr>
            <w:r>
              <w:rPr>
                <w:rFonts w:ascii="Calibri" w:cs="Calibri" w:eastAsia="Calibri" w:hAnsi="Calibri"/>
                <w:sz w:val="19"/>
                <w:szCs w:val="19"/>
              </w:rPr>
              <w:t xml:space="preserve">PI_PROMOTION</w:t>
            </w:r>
          </w:p>
        </w:tc>
      </w:tr>
      <w:tr>
        <w:tc>
          <w:tcPr>
            <w:tcW w:type="dxa" w:w="32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Libellé</w:t>
            </w:r>
          </w:p>
        </w:tc>
        <w:tc>
          <w:tcPr>
            <w:tcW w:type="dxa" w:w="58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Scoring Promotion Immobilière</w:t>
            </w:r>
          </w:p>
        </w:tc>
      </w:tr>
      <w:tr>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Version publiée</w:t>
            </w:r>
          </w:p>
        </w:tc>
        <w:tc>
          <w:tcPr>
            <w:tcW w:type="dxa" w:w="5826"/>
            <w:tcMar>
              <w:top w:type="dxa" w:w="40"/>
              <w:left w:type="dxa" w:w="90"/>
              <w:bottom w:type="dxa" w:w="40"/>
              <w:right w:type="dxa" w:w="90"/>
            </w:tcMar>
          </w:tcPr>
          <w:p>
            <w:pPr>
              <w:spacing w:after="0" w:line="252"/>
              <w:jc w:val="left"/>
            </w:pPr>
            <w:r>
              <w:rPr>
                <w:rFonts w:ascii="Calibri" w:cs="Calibri" w:eastAsia="Calibri" w:hAnsi="Calibri"/>
                <w:sz w:val="19"/>
                <w:szCs w:val="19"/>
              </w:rPr>
              <w:t xml:space="preserve">v2.0.0</w:t>
            </w:r>
          </w:p>
        </w:tc>
      </w:tr>
      <w:tr>
        <w:tc>
          <w:tcPr>
            <w:tcW w:type="dxa" w:w="32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Échelle de notation par critère</w:t>
            </w:r>
          </w:p>
        </w:tc>
        <w:tc>
          <w:tcPr>
            <w:tcW w:type="dxa" w:w="58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1 à 10</w:t>
            </w:r>
          </w:p>
        </w:tc>
      </w:tr>
      <w:tr>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Score interne final</w:t>
            </w:r>
          </w:p>
        </w:tc>
        <w:tc>
          <w:tcPr>
            <w:tcW w:type="dxa" w:w="5826"/>
            <w:tcMar>
              <w:top w:type="dxa" w:w="40"/>
              <w:left w:type="dxa" w:w="90"/>
              <w:bottom w:type="dxa" w:w="40"/>
              <w:right w:type="dxa" w:w="90"/>
            </w:tcMar>
          </w:tcPr>
          <w:p>
            <w:pPr>
              <w:spacing w:after="0" w:line="252"/>
              <w:jc w:val="left"/>
            </w:pPr>
            <w:r>
              <w:rPr>
                <w:rFonts w:ascii="Calibri" w:cs="Calibri" w:eastAsia="Calibri" w:hAnsi="Calibri"/>
                <w:sz w:val="19"/>
                <w:szCs w:val="19"/>
              </w:rPr>
              <w:t xml:space="preserve">0 à 100</w:t>
            </w:r>
          </w:p>
        </w:tc>
      </w:tr>
      <w:tr>
        <w:tc>
          <w:tcPr>
            <w:tcW w:type="dxa" w:w="32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Domaines scorés</w:t>
            </w:r>
          </w:p>
        </w:tc>
        <w:tc>
          <w:tcPr>
            <w:tcW w:type="dxa" w:w="58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4 (D1 à D4)</w:t>
            </w:r>
          </w:p>
        </w:tc>
      </w:tr>
      <w:tr>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Couche d'alertes</w:t>
            </w:r>
          </w:p>
        </w:tc>
        <w:tc>
          <w:tcPr>
            <w:tcW w:type="dxa" w:w="5826"/>
            <w:tcMar>
              <w:top w:type="dxa" w:w="40"/>
              <w:left w:type="dxa" w:w="90"/>
              <w:bottom w:type="dxa" w:w="40"/>
              <w:right w:type="dxa" w:w="90"/>
            </w:tcMar>
          </w:tcPr>
          <w:p>
            <w:pPr>
              <w:spacing w:after="0" w:line="252"/>
              <w:jc w:val="left"/>
            </w:pPr>
            <w:r>
              <w:rPr>
                <w:rFonts w:ascii="Calibri" w:cs="Calibri" w:eastAsia="Calibri" w:hAnsi="Calibri"/>
                <w:sz w:val="19"/>
                <w:szCs w:val="19"/>
              </w:rPr>
              <w:t xml:space="preserve">D5 — vulnérabilité réglementaire (malus / souffrance)</w:t>
            </w:r>
          </w:p>
        </w:tc>
      </w:tr>
      <w:tr>
        <w:tc>
          <w:tcPr>
            <w:tcW w:type="dxa" w:w="32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Nombre de critères</w:t>
            </w:r>
          </w:p>
        </w:tc>
        <w:tc>
          <w:tcPr>
            <w:tcW w:type="dxa" w:w="58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26</w:t>
            </w:r>
          </w:p>
        </w:tc>
      </w:tr>
      <w:tr>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Critères éliminatoires (gates)</w:t>
            </w:r>
          </w:p>
        </w:tc>
        <w:tc>
          <w:tcPr>
            <w:tcW w:type="dxa" w:w="5826"/>
            <w:tcMar>
              <w:top w:type="dxa" w:w="40"/>
              <w:left w:type="dxa" w:w="90"/>
              <w:bottom w:type="dxa" w:w="40"/>
              <w:right w:type="dxa" w:w="90"/>
            </w:tcMar>
          </w:tcPr>
          <w:p>
            <w:pPr>
              <w:spacing w:after="0" w:line="252"/>
              <w:jc w:val="left"/>
            </w:pPr>
            <w:r>
              <w:rPr>
                <w:rFonts w:ascii="Calibri" w:cs="Calibri" w:eastAsia="Calibri" w:hAnsi="Calibri"/>
                <w:sz w:val="19"/>
                <w:szCs w:val="19"/>
              </w:rPr>
              <w:t xml:space="preserve">2 (D1C6, D2C1)</w:t>
            </w:r>
          </w:p>
        </w:tc>
      </w:tr>
      <w:tr>
        <w:tc>
          <w:tcPr>
            <w:tcW w:type="dxa" w:w="32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Red flags</w:t>
            </w:r>
          </w:p>
        </w:tc>
        <w:tc>
          <w:tcPr>
            <w:tcW w:type="dxa" w:w="58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9 (dont 3 bloquants / souffrance automatique)</w:t>
            </w:r>
          </w:p>
        </w:tc>
      </w:tr>
      <w:tr>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Seuils de décision</w:t>
            </w:r>
          </w:p>
        </w:tc>
        <w:tc>
          <w:tcPr>
            <w:tcW w:type="dxa" w:w="5826"/>
            <w:tcMar>
              <w:top w:type="dxa" w:w="40"/>
              <w:left w:type="dxa" w:w="90"/>
              <w:bottom w:type="dxa" w:w="40"/>
              <w:right w:type="dxa" w:w="90"/>
            </w:tcMar>
          </w:tcPr>
          <w:p>
            <w:pPr>
              <w:spacing w:after="0" w:line="252"/>
              <w:jc w:val="left"/>
            </w:pPr>
            <w:r>
              <w:rPr>
                <w:rFonts w:ascii="Calibri" w:cs="Calibri" w:eastAsia="Calibri" w:hAnsi="Calibri"/>
                <w:sz w:val="19"/>
                <w:szCs w:val="19"/>
              </w:rPr>
              <w:t xml:space="preserve">GO ≥ 75 · GO sous conditions ≥ 65 · Watch list ≥ 50 · sinon NO-GO</w:t>
            </w:r>
          </w:p>
        </w:tc>
      </w:tr>
    </w:tbl>
    <w:p>
      <w:pPr>
        <w:pStyle w:val="Heading2"/>
        <w:spacing w:after="120" w:before="0" w:line="276"/>
      </w:pPr>
      <w:r>
        <w:rPr>
          <w:rFonts w:ascii="Calibri" w:cs="Calibri" w:eastAsia="Calibri" w:hAnsi="Calibri"/>
          <w:sz w:val="21"/>
          <w:szCs w:val="21"/>
        </w:rPr>
        <w:t xml:space="preserve">1.2 Pondération des domaines</w:t>
      </w:r>
    </w:p>
    <w:p>
      <w:pPr>
        <w:spacing w:after="120" w:before="0" w:line="276"/>
      </w:pPr>
      <w:r>
        <w:rPr>
          <w:rFonts w:ascii="Calibri" w:cs="Calibri" w:eastAsia="Calibri" w:hAnsi="Calibri"/>
          <w:sz w:val="21"/>
          <w:szCs w:val="21"/>
        </w:rPr>
        <w:t xml:space="preserve">Le score économique combine les quatre domaines selon la formule : </w:t>
      </w:r>
    </w:p>
    <w:p>
      <w:pPr>
        <w:spacing w:after="160" w:before="0" w:line="276"/>
        <w:jc w:val="center"/>
      </w:pPr>
      <w:r>
        <w:rPr>
          <w:rFonts w:ascii="Calibri" w:cs="Calibri" w:eastAsia="Calibri" w:hAnsi="Calibri"/>
          <w:b/>
          <w:bCs/>
          <w:color w:val="1F3864"/>
          <w:sz w:val="21"/>
          <w:szCs w:val="21"/>
        </w:rPr>
        <w:t xml:space="preserve">S_eco = 0,25 × D1 + 0,20 × D2 + 0,31 × D3 + 0,24 × D4</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1000"/>
        <w:gridCol w:w="4626"/>
        <w:gridCol w:w="1700"/>
        <w:gridCol w:w="1700"/>
      </w:tblGrid>
      <w:tr>
        <w:trPr>
          <w:tblHeader/>
        </w:trPr>
        <w:tc>
          <w:tcPr>
            <w:tcW w:type="dxa" w:w="10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Domaine</w:t>
            </w:r>
          </w:p>
        </w:tc>
        <w:tc>
          <w:tcPr>
            <w:tcW w:type="dxa" w:w="46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Intitulé</w:t>
            </w:r>
          </w:p>
        </w:tc>
        <w:tc>
          <w:tcPr>
            <w:tcW w:type="dxa" w:w="17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Poids</w:t>
            </w:r>
          </w:p>
        </w:tc>
        <w:tc>
          <w:tcPr>
            <w:tcW w:type="dxa" w:w="17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Critères</w:t>
            </w:r>
          </w:p>
        </w:tc>
      </w:tr>
      <w:tr>
        <w:tc>
          <w:tcPr>
            <w:tcW w:type="dxa" w:w="1000"/>
            <w:tcMar>
              <w:top w:type="dxa" w:w="40"/>
              <w:left w:type="dxa" w:w="90"/>
              <w:bottom w:type="dxa" w:w="40"/>
              <w:right w:type="dxa" w:w="90"/>
            </w:tcMar>
          </w:tcPr>
          <w:p>
            <w:pPr>
              <w:spacing w:after="0" w:line="252"/>
              <w:jc w:val="left"/>
            </w:pPr>
            <w:r>
              <w:rPr>
                <w:rFonts w:ascii="Calibri" w:cs="Calibri" w:eastAsia="Calibri" w:hAnsi="Calibri"/>
                <w:sz w:val="19"/>
                <w:szCs w:val="19"/>
              </w:rPr>
              <w:t xml:space="preserve">D1</w:t>
            </w:r>
          </w:p>
        </w:tc>
        <w:tc>
          <w:tcPr>
            <w:tcW w:type="dxa" w:w="4626"/>
            <w:tcMar>
              <w:top w:type="dxa" w:w="40"/>
              <w:left w:type="dxa" w:w="90"/>
              <w:bottom w:type="dxa" w:w="40"/>
              <w:right w:type="dxa" w:w="90"/>
            </w:tcMar>
          </w:tcPr>
          <w:p>
            <w:pPr>
              <w:spacing w:after="0" w:line="252"/>
              <w:jc w:val="left"/>
            </w:pPr>
            <w:r>
              <w:rPr>
                <w:rFonts w:ascii="Calibri" w:cs="Calibri" w:eastAsia="Calibri" w:hAnsi="Calibri"/>
                <w:sz w:val="19"/>
                <w:szCs w:val="19"/>
              </w:rPr>
              <w:t xml:space="preserve">Sponsor &amp; Gouvernance</w:t>
            </w:r>
          </w:p>
        </w:tc>
        <w:tc>
          <w:tcPr>
            <w:tcW w:type="dxa" w:w="1700"/>
            <w:tcMar>
              <w:top w:type="dxa" w:w="40"/>
              <w:left w:type="dxa" w:w="90"/>
              <w:bottom w:type="dxa" w:w="40"/>
              <w:right w:type="dxa" w:w="90"/>
            </w:tcMar>
          </w:tcPr>
          <w:p>
            <w:pPr>
              <w:spacing w:after="0" w:line="252"/>
              <w:jc w:val="center"/>
            </w:pPr>
            <w:r>
              <w:rPr>
                <w:rFonts w:ascii="Calibri" w:cs="Calibri" w:eastAsia="Calibri" w:hAnsi="Calibri"/>
                <w:sz w:val="19"/>
                <w:szCs w:val="19"/>
              </w:rPr>
              <w:t xml:space="preserve">25 %</w:t>
            </w:r>
          </w:p>
        </w:tc>
        <w:tc>
          <w:tcPr>
            <w:tcW w:type="dxa" w:w="1700"/>
            <w:tcMar>
              <w:top w:type="dxa" w:w="40"/>
              <w:left w:type="dxa" w:w="90"/>
              <w:bottom w:type="dxa" w:w="40"/>
              <w:right w:type="dxa" w:w="90"/>
            </w:tcMar>
          </w:tcPr>
          <w:p>
            <w:pPr>
              <w:spacing w:after="0" w:line="252"/>
              <w:jc w:val="center"/>
            </w:pPr>
            <w:r>
              <w:rPr>
                <w:rFonts w:ascii="Calibri" w:cs="Calibri" w:eastAsia="Calibri" w:hAnsi="Calibri"/>
                <w:sz w:val="19"/>
                <w:szCs w:val="19"/>
              </w:rPr>
              <w:t xml:space="preserve">6</w:t>
            </w:r>
          </w:p>
        </w:tc>
      </w:tr>
      <w:tr>
        <w:tc>
          <w:tcPr>
            <w:tcW w:type="dxa" w:w="10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D2</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Qualité intrinsèque du projet</w:t>
            </w:r>
          </w:p>
        </w:tc>
        <w:tc>
          <w:tcPr>
            <w:tcW w:type="dxa" w:w="17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20 %</w:t>
            </w:r>
          </w:p>
        </w:tc>
        <w:tc>
          <w:tcPr>
            <w:tcW w:type="dxa" w:w="17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7</w:t>
            </w:r>
          </w:p>
        </w:tc>
      </w:tr>
      <w:tr>
        <w:tc>
          <w:tcPr>
            <w:tcW w:type="dxa" w:w="1000"/>
            <w:tcMar>
              <w:top w:type="dxa" w:w="40"/>
              <w:left w:type="dxa" w:w="90"/>
              <w:bottom w:type="dxa" w:w="40"/>
              <w:right w:type="dxa" w:w="90"/>
            </w:tcMar>
          </w:tcPr>
          <w:p>
            <w:pPr>
              <w:spacing w:after="0" w:line="252"/>
              <w:jc w:val="left"/>
            </w:pPr>
            <w:r>
              <w:rPr>
                <w:rFonts w:ascii="Calibri" w:cs="Calibri" w:eastAsia="Calibri" w:hAnsi="Calibri"/>
                <w:sz w:val="19"/>
                <w:szCs w:val="19"/>
              </w:rPr>
              <w:t xml:space="preserve">D3</w:t>
            </w:r>
          </w:p>
        </w:tc>
        <w:tc>
          <w:tcPr>
            <w:tcW w:type="dxa" w:w="4626"/>
            <w:tcMar>
              <w:top w:type="dxa" w:w="40"/>
              <w:left w:type="dxa" w:w="90"/>
              <w:bottom w:type="dxa" w:w="40"/>
              <w:right w:type="dxa" w:w="90"/>
            </w:tcMar>
          </w:tcPr>
          <w:p>
            <w:pPr>
              <w:spacing w:after="0" w:line="252"/>
              <w:jc w:val="left"/>
            </w:pPr>
            <w:r>
              <w:rPr>
                <w:rFonts w:ascii="Calibri" w:cs="Calibri" w:eastAsia="Calibri" w:hAnsi="Calibri"/>
                <w:sz w:val="19"/>
                <w:szCs w:val="19"/>
              </w:rPr>
              <w:t xml:space="preserve">Commercial &amp; Cash-flow</w:t>
            </w:r>
          </w:p>
        </w:tc>
        <w:tc>
          <w:tcPr>
            <w:tcW w:type="dxa" w:w="1700"/>
            <w:tcMar>
              <w:top w:type="dxa" w:w="40"/>
              <w:left w:type="dxa" w:w="90"/>
              <w:bottom w:type="dxa" w:w="40"/>
              <w:right w:type="dxa" w:w="90"/>
            </w:tcMar>
          </w:tcPr>
          <w:p>
            <w:pPr>
              <w:spacing w:after="0" w:line="252"/>
              <w:jc w:val="center"/>
            </w:pPr>
            <w:r>
              <w:rPr>
                <w:rFonts w:ascii="Calibri" w:cs="Calibri" w:eastAsia="Calibri" w:hAnsi="Calibri"/>
                <w:sz w:val="19"/>
                <w:szCs w:val="19"/>
              </w:rPr>
              <w:t xml:space="preserve">31 %</w:t>
            </w:r>
          </w:p>
        </w:tc>
        <w:tc>
          <w:tcPr>
            <w:tcW w:type="dxa" w:w="1700"/>
            <w:tcMar>
              <w:top w:type="dxa" w:w="40"/>
              <w:left w:type="dxa" w:w="90"/>
              <w:bottom w:type="dxa" w:w="40"/>
              <w:right w:type="dxa" w:w="90"/>
            </w:tcMar>
          </w:tcPr>
          <w:p>
            <w:pPr>
              <w:spacing w:after="0" w:line="252"/>
              <w:jc w:val="center"/>
            </w:pPr>
            <w:r>
              <w:rPr>
                <w:rFonts w:ascii="Calibri" w:cs="Calibri" w:eastAsia="Calibri" w:hAnsi="Calibri"/>
                <w:sz w:val="19"/>
                <w:szCs w:val="19"/>
              </w:rPr>
              <w:t xml:space="preserve">7</w:t>
            </w:r>
          </w:p>
        </w:tc>
      </w:tr>
      <w:tr>
        <w:tc>
          <w:tcPr>
            <w:tcW w:type="dxa" w:w="10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D4</w:t>
            </w:r>
          </w:p>
        </w:tc>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Structuration financière &amp; LGD</w:t>
            </w:r>
          </w:p>
        </w:tc>
        <w:tc>
          <w:tcPr>
            <w:tcW w:type="dxa" w:w="17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24 %</w:t>
            </w:r>
          </w:p>
        </w:tc>
        <w:tc>
          <w:tcPr>
            <w:tcW w:type="dxa" w:w="17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6</w:t>
            </w:r>
          </w:p>
        </w:tc>
      </w:tr>
      <w:tr>
        <w:tc>
          <w:tcPr>
            <w:tcW w:type="dxa" w:w="1000"/>
            <w:tcMar>
              <w:top w:type="dxa" w:w="40"/>
              <w:left w:type="dxa" w:w="90"/>
              <w:bottom w:type="dxa" w:w="40"/>
              <w:right w:type="dxa" w:w="90"/>
            </w:tcMar>
          </w:tcPr>
          <w:p>
            <w:pPr>
              <w:spacing w:after="0" w:line="252"/>
            </w:pPr>
            <w:r>
              <w:rPr>
                <w:rFonts w:ascii="Calibri" w:cs="Calibri" w:eastAsia="Calibri" w:hAnsi="Calibri"/>
                <w:b/>
                <w:bCs/>
                <w:sz w:val="19"/>
                <w:szCs w:val="19"/>
              </w:rPr>
              <w:t xml:space="preserve">Total</w:t>
            </w:r>
          </w:p>
        </w:tc>
        <w:tc>
          <w:tcPr>
            <w:tcW w:type="dxa" w:w="4626"/>
            <w:tcMar>
              <w:top w:type="dxa" w:w="40"/>
              <w:left w:type="dxa" w:w="90"/>
              <w:bottom w:type="dxa" w:w="40"/>
              <w:right w:type="dxa" w:w="90"/>
            </w:tcMar>
          </w:tcPr>
          <w:p>
            <w:pPr>
              <w:spacing w:after="0" w:line="252"/>
            </w:pPr>
            <w:r>
              <w:rPr>
                <w:rFonts w:ascii="Calibri" w:cs="Calibri" w:eastAsia="Calibri" w:hAnsi="Calibri"/>
                <w:sz w:val="19"/>
                <w:szCs w:val="19"/>
              </w:rPr>
              <w:t xml:space="preserve"/>
            </w:r>
          </w:p>
        </w:tc>
        <w:tc>
          <w:tcPr>
            <w:tcW w:type="dxa" w:w="1700"/>
            <w:tcMar>
              <w:top w:type="dxa" w:w="40"/>
              <w:left w:type="dxa" w:w="90"/>
              <w:bottom w:type="dxa" w:w="40"/>
              <w:right w:type="dxa" w:w="90"/>
            </w:tcMar>
          </w:tcPr>
          <w:p>
            <w:pPr>
              <w:spacing w:after="0" w:line="252"/>
              <w:jc w:val="center"/>
            </w:pPr>
            <w:r>
              <w:rPr>
                <w:rFonts w:ascii="Calibri" w:cs="Calibri" w:eastAsia="Calibri" w:hAnsi="Calibri"/>
                <w:b/>
                <w:bCs/>
                <w:sz w:val="19"/>
                <w:szCs w:val="19"/>
              </w:rPr>
              <w:t xml:space="preserve">100 %</w:t>
            </w:r>
          </w:p>
        </w:tc>
        <w:tc>
          <w:tcPr>
            <w:tcW w:type="dxa" w:w="1700"/>
            <w:tcMar>
              <w:top w:type="dxa" w:w="40"/>
              <w:left w:type="dxa" w:w="90"/>
              <w:bottom w:type="dxa" w:w="40"/>
              <w:right w:type="dxa" w:w="90"/>
            </w:tcMar>
          </w:tcPr>
          <w:p>
            <w:pPr>
              <w:spacing w:after="0" w:line="252"/>
              <w:jc w:val="center"/>
            </w:pPr>
            <w:r>
              <w:rPr>
                <w:rFonts w:ascii="Calibri" w:cs="Calibri" w:eastAsia="Calibri" w:hAnsi="Calibri"/>
                <w:b/>
                <w:bCs/>
                <w:sz w:val="19"/>
                <w:szCs w:val="19"/>
              </w:rPr>
              <w:t xml:space="preserve">26</w:t>
            </w:r>
          </w:p>
        </w:tc>
      </w:tr>
    </w:tbl>
    <w:p>
      <w:r>
        <w:br w:type="page"/>
      </w:r>
    </w:p>
    <w:p>
      <w:pPr>
        <w:pStyle w:val="Heading1"/>
        <w:spacing w:after="120" w:before="0" w:line="276"/>
      </w:pPr>
      <w:r>
        <w:rPr>
          <w:rFonts w:ascii="Calibri" w:cs="Calibri" w:eastAsia="Calibri" w:hAnsi="Calibri"/>
          <w:sz w:val="21"/>
          <w:szCs w:val="21"/>
        </w:rPr>
        <w:t xml:space="preserve">2. Chaîne de calcul du score</w:t>
      </w:r>
    </w:p>
    <w:p>
      <w:pPr>
        <w:spacing w:after="120" w:before="0" w:line="276"/>
      </w:pPr>
      <w:r>
        <w:rPr>
          <w:rFonts w:ascii="Calibri" w:cs="Calibri" w:eastAsia="Calibri" w:hAnsi="Calibri"/>
          <w:sz w:val="21"/>
          <w:szCs w:val="21"/>
        </w:rPr>
        <w:t xml:space="preserve">Le moteur applique une chaîne de calcul déterministe en neuf étapes. Chaque étape est décrite ci-dessous.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2400"/>
        <w:gridCol w:w="6126"/>
      </w:tblGrid>
      <w:tr>
        <w:trPr>
          <w:tblHeader/>
        </w:trPr>
        <w:tc>
          <w:tcPr>
            <w:tcW w:type="dxa" w:w="5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w:t>
            </w:r>
          </w:p>
        </w:tc>
        <w:tc>
          <w:tcPr>
            <w:tcW w:type="dxa" w:w="24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Étape</w:t>
            </w:r>
          </w:p>
        </w:tc>
        <w:tc>
          <w:tcPr>
            <w:tcW w:type="dxa" w:w="61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Description</w:t>
            </w:r>
          </w:p>
        </w:tc>
      </w:tr>
      <w:tr>
        <w:tc>
          <w:tcPr>
            <w:tcW w:type="dxa" w:w="5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w:t>
            </w:r>
          </w:p>
        </w:tc>
        <w:tc>
          <w:tcPr>
            <w:tcW w:type="dxa" w:w="2400"/>
            <w:tcMar>
              <w:top w:type="dxa" w:w="40"/>
              <w:left w:type="dxa" w:w="90"/>
              <w:bottom w:type="dxa" w:w="40"/>
              <w:right w:type="dxa" w:w="90"/>
            </w:tcMar>
          </w:tcPr>
          <w:p>
            <w:pPr>
              <w:spacing w:after="0" w:line="252"/>
              <w:jc w:val="left"/>
            </w:pPr>
            <w:r>
              <w:rPr>
                <w:rFonts w:ascii="Calibri" w:cs="Calibri" w:eastAsia="Calibri" w:hAnsi="Calibri"/>
                <w:sz w:val="19"/>
                <w:szCs w:val="19"/>
              </w:rPr>
              <w:t xml:space="preserve">Note de critère</w:t>
            </w:r>
          </w:p>
        </w:tc>
        <w:tc>
          <w:tcPr>
            <w:tcW w:type="dxa" w:w="6126"/>
            <w:tcMar>
              <w:top w:type="dxa" w:w="40"/>
              <w:left w:type="dxa" w:w="90"/>
              <w:bottom w:type="dxa" w:w="40"/>
              <w:right w:type="dxa" w:w="90"/>
            </w:tcMar>
          </w:tcPr>
          <w:p>
            <w:pPr>
              <w:spacing w:after="0" w:line="252"/>
              <w:jc w:val="left"/>
            </w:pPr>
            <w:r>
              <w:rPr>
                <w:rFonts w:ascii="Calibri" w:cs="Calibri" w:eastAsia="Calibri" w:hAnsi="Calibri"/>
                <w:sz w:val="19"/>
                <w:szCs w:val="19"/>
              </w:rPr>
              <w:t xml:space="preserve">Chaque critère reçoit une note de 1 à 10, soit par barème de plages (critères numériques), soit par modalité (critères qualitatifs).</w:t>
            </w:r>
          </w:p>
        </w:tc>
      </w:tr>
      <w:tr>
        <w:tc>
          <w:tcPr>
            <w:tcW w:type="dxa" w:w="5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2</w:t>
            </w:r>
          </w:p>
        </w:tc>
        <w:tc>
          <w:tcPr>
            <w:tcW w:type="dxa" w:w="24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Score de domaine</w:t>
            </w:r>
          </w:p>
        </w:tc>
        <w:tc>
          <w:tcPr>
            <w:tcW w:type="dxa" w:w="61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Moyenne pondérée des notes de critères du domaine, normalisée sur 0..100 : (Σ note×poids / Σ poids) / 10 × 100.</w:t>
            </w:r>
          </w:p>
        </w:tc>
      </w:tr>
      <w:tr>
        <w:tc>
          <w:tcPr>
            <w:tcW w:type="dxa" w:w="500"/>
            <w:tcMar>
              <w:top w:type="dxa" w:w="40"/>
              <w:left w:type="dxa" w:w="90"/>
              <w:bottom w:type="dxa" w:w="40"/>
              <w:right w:type="dxa" w:w="90"/>
            </w:tcMar>
          </w:tcPr>
          <w:p>
            <w:pPr>
              <w:spacing w:after="0" w:line="252"/>
              <w:jc w:val="center"/>
            </w:pPr>
            <w:r>
              <w:rPr>
                <w:rFonts w:ascii="Calibri" w:cs="Calibri" w:eastAsia="Calibri" w:hAnsi="Calibri"/>
                <w:sz w:val="19"/>
                <w:szCs w:val="19"/>
              </w:rPr>
              <w:t xml:space="preserve">3</w:t>
            </w:r>
          </w:p>
        </w:tc>
        <w:tc>
          <w:tcPr>
            <w:tcW w:type="dxa" w:w="2400"/>
            <w:tcMar>
              <w:top w:type="dxa" w:w="40"/>
              <w:left w:type="dxa" w:w="90"/>
              <w:bottom w:type="dxa" w:w="40"/>
              <w:right w:type="dxa" w:w="90"/>
            </w:tcMar>
          </w:tcPr>
          <w:p>
            <w:pPr>
              <w:spacing w:after="0" w:line="252"/>
              <w:jc w:val="left"/>
            </w:pPr>
            <w:r>
              <w:rPr>
                <w:rFonts w:ascii="Calibri" w:cs="Calibri" w:eastAsia="Calibri" w:hAnsi="Calibri"/>
                <w:sz w:val="19"/>
                <w:szCs w:val="19"/>
              </w:rPr>
              <w:t xml:space="preserve">Score économique S_eco</w:t>
            </w:r>
          </w:p>
        </w:tc>
        <w:tc>
          <w:tcPr>
            <w:tcW w:type="dxa" w:w="6126"/>
            <w:tcMar>
              <w:top w:type="dxa" w:w="40"/>
              <w:left w:type="dxa" w:w="90"/>
              <w:bottom w:type="dxa" w:w="40"/>
              <w:right w:type="dxa" w:w="90"/>
            </w:tcMar>
          </w:tcPr>
          <w:p>
            <w:pPr>
              <w:spacing w:after="0" w:line="252"/>
              <w:jc w:val="left"/>
            </w:pPr>
            <w:r>
              <w:rPr>
                <w:rFonts w:ascii="Calibri" w:cs="Calibri" w:eastAsia="Calibri" w:hAnsi="Calibri"/>
                <w:sz w:val="19"/>
                <w:szCs w:val="19"/>
              </w:rPr>
              <w:t xml:space="preserve">Somme des scores de domaine pondérés par le poids de domaine (D1..D4).</w:t>
            </w:r>
          </w:p>
        </w:tc>
      </w:tr>
      <w:tr>
        <w:tc>
          <w:tcPr>
            <w:tcW w:type="dxa" w:w="5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4</w:t>
            </w:r>
          </w:p>
        </w:tc>
        <w:tc>
          <w:tcPr>
            <w:tcW w:type="dxa" w:w="24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Ajustement segment / zone</w:t>
            </w:r>
          </w:p>
        </w:tc>
        <w:tc>
          <w:tcPr>
            <w:tcW w:type="dxa" w:w="61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S_adj = S_eco × (1 + α_segment + β_zone), borné à [0 ; 100].</w:t>
            </w:r>
          </w:p>
        </w:tc>
      </w:tr>
      <w:tr>
        <w:tc>
          <w:tcPr>
            <w:tcW w:type="dxa" w:w="500"/>
            <w:tcMar>
              <w:top w:type="dxa" w:w="40"/>
              <w:left w:type="dxa" w:w="90"/>
              <w:bottom w:type="dxa" w:w="40"/>
              <w:right w:type="dxa" w:w="90"/>
            </w:tcMar>
          </w:tcPr>
          <w:p>
            <w:pPr>
              <w:spacing w:after="0" w:line="252"/>
              <w:jc w:val="center"/>
            </w:pPr>
            <w:r>
              <w:rPr>
                <w:rFonts w:ascii="Calibri" w:cs="Calibri" w:eastAsia="Calibri" w:hAnsi="Calibri"/>
                <w:sz w:val="19"/>
                <w:szCs w:val="19"/>
              </w:rPr>
              <w:t xml:space="preserve">5</w:t>
            </w:r>
          </w:p>
        </w:tc>
        <w:tc>
          <w:tcPr>
            <w:tcW w:type="dxa" w:w="2400"/>
            <w:tcMar>
              <w:top w:type="dxa" w:w="40"/>
              <w:left w:type="dxa" w:w="90"/>
              <w:bottom w:type="dxa" w:w="40"/>
              <w:right w:type="dxa" w:w="90"/>
            </w:tcMar>
          </w:tcPr>
          <w:p>
            <w:pPr>
              <w:spacing w:after="0" w:line="252"/>
              <w:jc w:val="left"/>
            </w:pPr>
            <w:r>
              <w:rPr>
                <w:rFonts w:ascii="Calibri" w:cs="Calibri" w:eastAsia="Calibri" w:hAnsi="Calibri"/>
                <w:sz w:val="19"/>
                <w:szCs w:val="19"/>
              </w:rPr>
              <w:t xml:space="preserve">D5 — malus &amp; souffrance</w:t>
            </w:r>
          </w:p>
        </w:tc>
        <w:tc>
          <w:tcPr>
            <w:tcW w:type="dxa" w:w="6126"/>
            <w:tcMar>
              <w:top w:type="dxa" w:w="40"/>
              <w:left w:type="dxa" w:w="90"/>
              <w:bottom w:type="dxa" w:w="40"/>
              <w:right w:type="dxa" w:w="90"/>
            </w:tcMar>
          </w:tcPr>
          <w:p>
            <w:pPr>
              <w:spacing w:after="0" w:line="252"/>
              <w:jc w:val="left"/>
            </w:pPr>
            <w:r>
              <w:rPr>
                <w:rFonts w:ascii="Calibri" w:cs="Calibri" w:eastAsia="Calibri" w:hAnsi="Calibri"/>
                <w:sz w:val="19"/>
                <w:szCs w:val="19"/>
              </w:rPr>
              <w:t xml:space="preserve">Évaluation des red flags : cumul des malus M et détection des déclencheurs de souffrance.</w:t>
            </w:r>
          </w:p>
        </w:tc>
      </w:tr>
      <w:tr>
        <w:tc>
          <w:tcPr>
            <w:tcW w:type="dxa" w:w="5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6</w:t>
            </w:r>
          </w:p>
        </w:tc>
        <w:tc>
          <w:tcPr>
            <w:tcW w:type="dxa" w:w="24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Score après pénalités</w:t>
            </w:r>
          </w:p>
        </w:tc>
        <w:tc>
          <w:tcPr>
            <w:tcW w:type="dxa" w:w="61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S_pén = borne(S_adj − M, 0, 100).</w:t>
            </w:r>
          </w:p>
        </w:tc>
      </w:tr>
      <w:tr>
        <w:tc>
          <w:tcPr>
            <w:tcW w:type="dxa" w:w="500"/>
            <w:tcMar>
              <w:top w:type="dxa" w:w="40"/>
              <w:left w:type="dxa" w:w="90"/>
              <w:bottom w:type="dxa" w:w="40"/>
              <w:right w:type="dxa" w:w="90"/>
            </w:tcMar>
          </w:tcPr>
          <w:p>
            <w:pPr>
              <w:spacing w:after="0" w:line="252"/>
              <w:jc w:val="center"/>
            </w:pPr>
            <w:r>
              <w:rPr>
                <w:rFonts w:ascii="Calibri" w:cs="Calibri" w:eastAsia="Calibri" w:hAnsi="Calibri"/>
                <w:sz w:val="19"/>
                <w:szCs w:val="19"/>
              </w:rPr>
              <w:t xml:space="preserve">7</w:t>
            </w:r>
          </w:p>
        </w:tc>
        <w:tc>
          <w:tcPr>
            <w:tcW w:type="dxa" w:w="2400"/>
            <w:tcMar>
              <w:top w:type="dxa" w:w="40"/>
              <w:left w:type="dxa" w:w="90"/>
              <w:bottom w:type="dxa" w:w="40"/>
              <w:right w:type="dxa" w:w="90"/>
            </w:tcMar>
          </w:tcPr>
          <w:p>
            <w:pPr>
              <w:spacing w:after="0" w:line="252"/>
              <w:jc w:val="left"/>
            </w:pPr>
            <w:r>
              <w:rPr>
                <w:rFonts w:ascii="Calibri" w:cs="Calibri" w:eastAsia="Calibri" w:hAnsi="Calibri"/>
                <w:sz w:val="19"/>
                <w:szCs w:val="19"/>
              </w:rPr>
              <w:t xml:space="preserve">Coefficient BAM</w:t>
            </w:r>
          </w:p>
        </w:tc>
        <w:tc>
          <w:tcPr>
            <w:tcW w:type="dxa" w:w="6126"/>
            <w:tcMar>
              <w:top w:type="dxa" w:w="40"/>
              <w:left w:type="dxa" w:w="90"/>
              <w:bottom w:type="dxa" w:w="40"/>
              <w:right w:type="dxa" w:w="90"/>
            </w:tcMar>
          </w:tcPr>
          <w:p>
            <w:pPr>
              <w:spacing w:after="0" w:line="252"/>
              <w:jc w:val="left"/>
            </w:pPr>
            <w:r>
              <w:rPr>
                <w:rFonts w:ascii="Calibri" w:cs="Calibri" w:eastAsia="Calibri" w:hAnsi="Calibri"/>
                <w:sz w:val="19"/>
                <w:szCs w:val="19"/>
              </w:rPr>
              <w:t xml:space="preserve">S_final = S_pén × Coeff_BAM(classe réglementaire).</w:t>
            </w:r>
          </w:p>
        </w:tc>
      </w:tr>
      <w:tr>
        <w:tc>
          <w:tcPr>
            <w:tcW w:type="dxa" w:w="5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8</w:t>
            </w:r>
          </w:p>
        </w:tc>
        <w:tc>
          <w:tcPr>
            <w:tcW w:type="dxa" w:w="24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Règles bloquantes</w:t>
            </w:r>
          </w:p>
        </w:tc>
        <w:tc>
          <w:tcPr>
            <w:tcW w:type="dxa" w:w="61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Un gate franchi, une souffrance déclenchée ou une classe CTX forcent NO-GO (CTX ⇒ score 0).</w:t>
            </w:r>
          </w:p>
        </w:tc>
      </w:tr>
      <w:tr>
        <w:tc>
          <w:tcPr>
            <w:tcW w:type="dxa" w:w="500"/>
            <w:tcMar>
              <w:top w:type="dxa" w:w="40"/>
              <w:left w:type="dxa" w:w="90"/>
              <w:bottom w:type="dxa" w:w="40"/>
              <w:right w:type="dxa" w:w="90"/>
            </w:tcMar>
          </w:tcPr>
          <w:p>
            <w:pPr>
              <w:spacing w:after="0" w:line="252"/>
              <w:jc w:val="center"/>
            </w:pPr>
            <w:r>
              <w:rPr>
                <w:rFonts w:ascii="Calibri" w:cs="Calibri" w:eastAsia="Calibri" w:hAnsi="Calibri"/>
                <w:sz w:val="19"/>
                <w:szCs w:val="19"/>
              </w:rPr>
              <w:t xml:space="preserve">9</w:t>
            </w:r>
          </w:p>
        </w:tc>
        <w:tc>
          <w:tcPr>
            <w:tcW w:type="dxa" w:w="2400"/>
            <w:tcMar>
              <w:top w:type="dxa" w:w="40"/>
              <w:left w:type="dxa" w:w="90"/>
              <w:bottom w:type="dxa" w:w="40"/>
              <w:right w:type="dxa" w:w="90"/>
            </w:tcMar>
          </w:tcPr>
          <w:p>
            <w:pPr>
              <w:spacing w:after="0" w:line="252"/>
              <w:jc w:val="left"/>
            </w:pPr>
            <w:r>
              <w:rPr>
                <w:rFonts w:ascii="Calibri" w:cs="Calibri" w:eastAsia="Calibri" w:hAnsi="Calibri"/>
                <w:sz w:val="19"/>
                <w:szCs w:val="19"/>
              </w:rPr>
              <w:t xml:space="preserve">PD proxy</w:t>
            </w:r>
          </w:p>
        </w:tc>
        <w:tc>
          <w:tcPr>
            <w:tcW w:type="dxa" w:w="6126"/>
            <w:tcMar>
              <w:top w:type="dxa" w:w="40"/>
              <w:left w:type="dxa" w:w="90"/>
              <w:bottom w:type="dxa" w:w="40"/>
              <w:right w:type="dxa" w:w="90"/>
            </w:tcMar>
          </w:tcPr>
          <w:p>
            <w:pPr>
              <w:spacing w:after="0" w:line="252"/>
              <w:jc w:val="left"/>
            </w:pPr>
            <w:r>
              <w:rPr>
                <w:rFonts w:ascii="Calibri" w:cs="Calibri" w:eastAsia="Calibri" w:hAnsi="Calibri"/>
                <w:sz w:val="19"/>
                <w:szCs w:val="19"/>
              </w:rPr>
              <w:t xml:space="preserve">Probabilité de défaut indicative issue d'une fonction logistique du score final.</w:t>
            </w:r>
          </w:p>
        </w:tc>
      </w:tr>
    </w:tbl>
    <w:p>
      <w:pPr>
        <w:pStyle w:val="Heading2"/>
        <w:spacing w:after="120" w:before="0" w:line="276"/>
      </w:pPr>
      <w:r>
        <w:rPr>
          <w:rFonts w:ascii="Calibri" w:cs="Calibri" w:eastAsia="Calibri" w:hAnsi="Calibri"/>
          <w:sz w:val="21"/>
          <w:szCs w:val="21"/>
        </w:rPr>
        <w:t xml:space="preserve">2.1 Formules clés</w:t>
      </w:r>
    </w:p>
    <w:p>
      <w:pPr>
        <w:spacing w:after="40" w:before="0" w:line="276"/>
      </w:pPr>
      <w:r>
        <w:rPr>
          <w:rFonts w:ascii="Calibri" w:cs="Calibri" w:eastAsia="Calibri" w:hAnsi="Calibri"/>
          <w:sz w:val="21"/>
          <w:szCs w:val="21"/>
        </w:rPr>
        <w:t xml:space="preserve">Score de domaine (0..100) :</w:t>
      </w:r>
    </w:p>
    <w:p>
      <w:pPr>
        <w:spacing w:after="120" w:before="40"/>
        <w:jc w:val="center"/>
      </w:pPr>
      <w:r>
        <w:rPr>
          <w:rFonts w:ascii="Consolas" w:cs="Consolas" w:eastAsia="Consolas" w:hAnsi="Consolas"/>
          <w:b/>
          <w:bCs/>
          <w:color w:val="1F3864"/>
          <w:sz w:val="22"/>
          <w:szCs w:val="22"/>
        </w:rPr>
        <w:t xml:space="preserve">Score_domaine = (Σ note_critère × poids_critère / Σ poids_critère) ÷ 10 × 100</w:t>
      </w:r>
    </w:p>
    <w:p>
      <w:pPr>
        <w:spacing w:after="40" w:before="0" w:line="276"/>
      </w:pPr>
      <w:r>
        <w:rPr>
          <w:rFonts w:ascii="Calibri" w:cs="Calibri" w:eastAsia="Calibri" w:hAnsi="Calibri"/>
          <w:sz w:val="21"/>
          <w:szCs w:val="21"/>
        </w:rPr>
        <w:t xml:space="preserve">Score économique :</w:t>
      </w:r>
    </w:p>
    <w:p>
      <w:pPr>
        <w:spacing w:after="120" w:before="40"/>
        <w:jc w:val="center"/>
      </w:pPr>
      <w:r>
        <w:rPr>
          <w:rFonts w:ascii="Consolas" w:cs="Consolas" w:eastAsia="Consolas" w:hAnsi="Consolas"/>
          <w:b/>
          <w:bCs/>
          <w:color w:val="1F3864"/>
          <w:sz w:val="22"/>
          <w:szCs w:val="22"/>
        </w:rPr>
        <w:t xml:space="preserve">S_eco = Σ (poids_domaine × Score_domaine)</w:t>
      </w:r>
    </w:p>
    <w:p>
      <w:pPr>
        <w:spacing w:after="40" w:before="0" w:line="276"/>
      </w:pPr>
      <w:r>
        <w:rPr>
          <w:rFonts w:ascii="Calibri" w:cs="Calibri" w:eastAsia="Calibri" w:hAnsi="Calibri"/>
          <w:sz w:val="21"/>
          <w:szCs w:val="21"/>
        </w:rPr>
        <w:t xml:space="preserve">Ajustement segment / zone :</w:t>
      </w:r>
    </w:p>
    <w:p>
      <w:pPr>
        <w:spacing w:after="120" w:before="40"/>
        <w:jc w:val="center"/>
      </w:pPr>
      <w:r>
        <w:rPr>
          <w:rFonts w:ascii="Consolas" w:cs="Consolas" w:eastAsia="Consolas" w:hAnsi="Consolas"/>
          <w:b/>
          <w:bCs/>
          <w:color w:val="1F3864"/>
          <w:sz w:val="22"/>
          <w:szCs w:val="22"/>
        </w:rPr>
        <w:t xml:space="preserve">S_adj = clamp( S_eco × (1 + α_segment + β_zone) , 0 , 100 )</w:t>
      </w:r>
    </w:p>
    <w:p>
      <w:pPr>
        <w:spacing w:after="40" w:before="0" w:line="276"/>
      </w:pPr>
      <w:r>
        <w:rPr>
          <w:rFonts w:ascii="Calibri" w:cs="Calibri" w:eastAsia="Calibri" w:hAnsi="Calibri"/>
          <w:sz w:val="21"/>
          <w:szCs w:val="21"/>
        </w:rPr>
        <w:t xml:space="preserve">Score après pénalités et coefficient réglementaire :</w:t>
      </w:r>
    </w:p>
    <w:p>
      <w:pPr>
        <w:spacing w:after="120" w:before="40"/>
        <w:jc w:val="center"/>
      </w:pPr>
      <w:r>
        <w:rPr>
          <w:rFonts w:ascii="Consolas" w:cs="Consolas" w:eastAsia="Consolas" w:hAnsi="Consolas"/>
          <w:b/>
          <w:bCs/>
          <w:color w:val="1F3864"/>
          <w:sz w:val="22"/>
          <w:szCs w:val="22"/>
        </w:rPr>
        <w:t xml:space="preserve">S_final = clamp( (S_adj − M_D5) , 0 , 100 ) × Coeff_BAM</w:t>
      </w:r>
    </w:p>
    <w:p>
      <w:pPr>
        <w:spacing w:after="40" w:before="0" w:line="276"/>
      </w:pPr>
      <w:r>
        <w:rPr>
          <w:rFonts w:ascii="Calibri" w:cs="Calibri" w:eastAsia="Calibri" w:hAnsi="Calibri"/>
          <w:sz w:val="21"/>
          <w:szCs w:val="21"/>
        </w:rPr>
        <w:t xml:space="preserve">Probabilité de défaut indicative :</w:t>
      </w:r>
    </w:p>
    <w:p>
      <w:pPr>
        <w:spacing w:after="120" w:before="40"/>
        <w:jc w:val="center"/>
      </w:pPr>
      <w:r>
        <w:rPr>
          <w:rFonts w:ascii="Consolas" w:cs="Consolas" w:eastAsia="Consolas" w:hAnsi="Consolas"/>
          <w:b/>
          <w:bCs/>
          <w:color w:val="1F3864"/>
          <w:sz w:val="22"/>
          <w:szCs w:val="22"/>
        </w:rPr>
        <w:t xml:space="preserve">PD = 1 / (1 + e^−(2,223 − 0,0802 × S_final))</w:t>
      </w:r>
    </w:p>
    <w:p>
      <w:pPr>
        <w:spacing w:after="120" w:before="0" w:line="276"/>
      </w:pPr>
      <w:r>
        <w:rPr>
          <w:rFonts w:ascii="Calibri" w:cs="Calibri" w:eastAsia="Calibri" w:hAnsi="Calibri"/>
          <w:b/>
          <w:bCs/>
          <w:i/>
          <w:iCs/>
          <w:sz w:val="21"/>
          <w:szCs w:val="21"/>
        </w:rPr>
        <w:t xml:space="preserve">Note : </w:t>
      </w:r>
      <w:r>
        <w:rPr>
          <w:rFonts w:ascii="Calibri" w:cs="Calibri" w:eastAsia="Calibri" w:hAnsi="Calibri"/>
          <w:i/>
          <w:iCs/>
          <w:color w:val="595959"/>
          <w:sz w:val="21"/>
          <w:szCs w:val="21"/>
        </w:rPr>
        <w:t xml:space="preserve">la PD proxy est calibrée pour reproduire la table de référence interne (S=85 → 1 %, 75 → 2 %, 65 → 5 %, 55 → 10 %, 45 → 20 %, 35 → 35 %). Elle est décroissante avec le score et destinée à être recalibrée sur historique interne.</w:t>
      </w:r>
    </w:p>
    <w:p>
      <w:r>
        <w:br w:type="page"/>
      </w:r>
    </w:p>
    <w:p>
      <w:pPr>
        <w:pStyle w:val="Heading1"/>
        <w:spacing w:after="120" w:before="0" w:line="276"/>
      </w:pPr>
      <w:r>
        <w:rPr>
          <w:rFonts w:ascii="Calibri" w:cs="Calibri" w:eastAsia="Calibri" w:hAnsi="Calibri"/>
          <w:sz w:val="21"/>
          <w:szCs w:val="21"/>
        </w:rPr>
        <w:t xml:space="preserve">3. Domaines et critères de notation</w:t>
      </w:r>
    </w:p>
    <w:p>
      <w:pPr>
        <w:spacing w:after="120" w:before="0" w:line="276"/>
      </w:pPr>
      <w:r>
        <w:rPr>
          <w:rFonts w:ascii="Calibri" w:cs="Calibri" w:eastAsia="Calibri" w:hAnsi="Calibri"/>
          <w:sz w:val="21"/>
          <w:szCs w:val="21"/>
        </w:rPr>
        <w:t xml:space="preserve">Les tableaux suivants détaillent, pour chaque domaine, l'ensemble des critères : code, intitulé, type (numérique NUM ou qualitatif QUAL), poids au sein du domaine, et indicateur de gate (critère éliminatoire).</w:t>
      </w:r>
    </w:p>
    <w:p>
      <w:pPr>
        <w:pStyle w:val="Heading2"/>
        <w:spacing w:after="120" w:before="0" w:line="276"/>
      </w:pPr>
      <w:r>
        <w:rPr>
          <w:rFonts w:ascii="Calibri" w:cs="Calibri" w:eastAsia="Calibri" w:hAnsi="Calibri"/>
          <w:sz w:val="21"/>
          <w:szCs w:val="21"/>
        </w:rPr>
        <w:t xml:space="preserve">D1 — Sponsor &amp; Gouvernance (poids 25 %)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900"/>
        <w:gridCol w:w="5026"/>
        <w:gridCol w:w="900"/>
        <w:gridCol w:w="1100"/>
        <w:gridCol w:w="1100"/>
      </w:tblGrid>
      <w:tr>
        <w:trPr>
          <w:tblHeader/>
        </w:trPr>
        <w:tc>
          <w:tcPr>
            <w:tcW w:type="dxa" w:w="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Code</w:t>
            </w:r>
          </w:p>
        </w:tc>
        <w:tc>
          <w:tcPr>
            <w:tcW w:type="dxa" w:w="50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Critère</w:t>
            </w:r>
          </w:p>
        </w:tc>
        <w:tc>
          <w:tcPr>
            <w:tcW w:type="dxa" w:w="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Type</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Poids</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Gate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D1C1</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Projets similaires livrés (5 ans)</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20 %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D1C2</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Gearing promoteur (dettes nettes / FP)</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25 %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D1C3</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Gouvernance &amp; structure juridique</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QUAL</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15 %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D1C4</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Concentration mono-projet (CA projet / CA total)</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15 %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D1C5</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Typologie promoteur</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QUAL</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D1C6</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Apport effectif (injecté / prévu)</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15 %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C00000"/>
                <w:sz w:val="19"/>
                <w:szCs w:val="19"/>
              </w:rPr>
              <w:t xml:space="preserve">GATE</w:t>
            </w:r>
          </w:p>
        </w:tc>
      </w:tr>
    </w:tbl>
    <w:p>
      <w:pPr>
        <w:pStyle w:val="Heading2"/>
        <w:spacing w:after="120" w:before="0" w:line="276"/>
      </w:pPr>
      <w:r>
        <w:rPr>
          <w:rFonts w:ascii="Calibri" w:cs="Calibri" w:eastAsia="Calibri" w:hAnsi="Calibri"/>
          <w:sz w:val="21"/>
          <w:szCs w:val="21"/>
        </w:rPr>
        <w:t xml:space="preserve">D2 — Qualité intrinsèque du projet (poids 20 %)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900"/>
        <w:gridCol w:w="5026"/>
        <w:gridCol w:w="900"/>
        <w:gridCol w:w="1100"/>
        <w:gridCol w:w="1100"/>
      </w:tblGrid>
      <w:tr>
        <w:trPr>
          <w:tblHeader/>
        </w:trPr>
        <w:tc>
          <w:tcPr>
            <w:tcW w:type="dxa" w:w="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Code</w:t>
            </w:r>
          </w:p>
        </w:tc>
        <w:tc>
          <w:tcPr>
            <w:tcW w:type="dxa" w:w="50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Critère</w:t>
            </w:r>
          </w:p>
        </w:tc>
        <w:tc>
          <w:tcPr>
            <w:tcW w:type="dxa" w:w="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Type</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Poids</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Gate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D2C1</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Foncier &amp; autorisations</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QUAL</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20 %</w:t>
            </w:r>
          </w:p>
        </w:tc>
        <w:tc>
          <w:tcPr>
            <w:tcW w:type="dxa" w:w="1100"/>
            <w:tcMar>
              <w:top w:type="dxa" w:w="40"/>
              <w:left w:type="dxa" w:w="90"/>
              <w:bottom w:type="dxa" w:w="40"/>
              <w:right w:type="dxa" w:w="90"/>
            </w:tcMar>
          </w:tcPr>
          <w:p>
            <w:pPr>
              <w:spacing w:after="0" w:line="252"/>
              <w:jc w:val="center"/>
            </w:pPr>
            <w:r>
              <w:rPr>
                <w:rFonts w:ascii="Calibri" w:cs="Calibri" w:eastAsia="Calibri" w:hAnsi="Calibri"/>
                <w:b/>
                <w:bCs/>
                <w:color w:val="C00000"/>
                <w:sz w:val="19"/>
                <w:szCs w:val="19"/>
              </w:rPr>
              <w:t xml:space="preserve">GATE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D2C2</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Marché &amp; positionnement</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QUAL</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20 %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D2C3</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Complexité technique</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QUAL</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15 %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D2C4</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Avancement vs planning</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15 %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D2C5</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Litiges clients / SAV</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QUAL</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D2C6</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Sensibilité macro / subvention</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QUAL</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D2C7</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Coût foncier / CA</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bl>
    <w:p>
      <w:pPr>
        <w:pStyle w:val="Heading2"/>
        <w:spacing w:after="120" w:before="0" w:line="276"/>
      </w:pPr>
      <w:r>
        <w:rPr>
          <w:rFonts w:ascii="Calibri" w:cs="Calibri" w:eastAsia="Calibri" w:hAnsi="Calibri"/>
          <w:sz w:val="21"/>
          <w:szCs w:val="21"/>
        </w:rPr>
        <w:t xml:space="preserve">D3 — Commercial &amp; Cash-flow (poids 31 %)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900"/>
        <w:gridCol w:w="5026"/>
        <w:gridCol w:w="900"/>
        <w:gridCol w:w="1100"/>
        <w:gridCol w:w="1100"/>
      </w:tblGrid>
      <w:tr>
        <w:trPr>
          <w:tblHeader/>
        </w:trPr>
        <w:tc>
          <w:tcPr>
            <w:tcW w:type="dxa" w:w="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Code</w:t>
            </w:r>
          </w:p>
        </w:tc>
        <w:tc>
          <w:tcPr>
            <w:tcW w:type="dxa" w:w="50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Critère</w:t>
            </w:r>
          </w:p>
        </w:tc>
        <w:tc>
          <w:tcPr>
            <w:tcW w:type="dxa" w:w="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Type</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Poids</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Gate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D3C1</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Préventes sécurisées (encaissées / CA)</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25 %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D3C2</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Ventes vs planning</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D3C3</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DSO (jours)</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D3C4</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Cash coverage (cash / échéances)</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20 %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D3C5</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Impasse brute</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15 %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D3C6</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Rotation stock (mois)</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D3C7</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Marge brute stressée (prix −10 %)</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bl>
    <w:p>
      <w:pPr>
        <w:pStyle w:val="Heading2"/>
        <w:spacing w:after="120" w:before="0" w:line="276"/>
      </w:pPr>
      <w:r>
        <w:rPr>
          <w:rFonts w:ascii="Calibri" w:cs="Calibri" w:eastAsia="Calibri" w:hAnsi="Calibri"/>
          <w:sz w:val="21"/>
          <w:szCs w:val="21"/>
        </w:rPr>
        <w:t xml:space="preserve">D4 — Structuration financière &amp; LGD (poids 24 %)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900"/>
        <w:gridCol w:w="5026"/>
        <w:gridCol w:w="900"/>
        <w:gridCol w:w="1100"/>
        <w:gridCol w:w="1100"/>
      </w:tblGrid>
      <w:tr>
        <w:trPr>
          <w:tblHeader/>
        </w:trPr>
        <w:tc>
          <w:tcPr>
            <w:tcW w:type="dxa" w:w="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Code</w:t>
            </w:r>
          </w:p>
        </w:tc>
        <w:tc>
          <w:tcPr>
            <w:tcW w:type="dxa" w:w="50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Critère</w:t>
            </w:r>
          </w:p>
        </w:tc>
        <w:tc>
          <w:tcPr>
            <w:tcW w:type="dxa" w:w="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Type</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Poids</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Gate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D4C1</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Marge brute (CA − coûts directs) / CA</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20 %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D4C2</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LTC (dette / coût total)</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15 %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D4C3</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LTV stressée (dette / valeur × 0,90)</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20 %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D4C4</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Couverture garanties réalisable</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20 %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9"/>
                <w:szCs w:val="19"/>
              </w:rPr>
              <w:t xml:space="preserve">D4C5</w:t>
            </w:r>
          </w:p>
        </w:tc>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Rang bancaire 1er rang</w:t>
            </w:r>
          </w:p>
        </w:tc>
        <w:tc>
          <w:tcPr>
            <w:tcW w:type="dxa" w:w="900"/>
            <w:tcMar>
              <w:top w:type="dxa" w:w="40"/>
              <w:left w:type="dxa" w:w="90"/>
              <w:bottom w:type="dxa" w:w="40"/>
              <w:right w:type="dxa" w:w="90"/>
            </w:tcMar>
          </w:tcPr>
          <w:p>
            <w:pPr>
              <w:spacing w:after="0" w:line="252"/>
              <w:jc w:val="center"/>
            </w:pPr>
            <w:r>
              <w:rPr>
                <w:rFonts w:ascii="Calibri" w:cs="Calibri" w:eastAsia="Calibri" w:hAnsi="Calibri"/>
                <w:sz w:val="19"/>
                <w:szCs w:val="19"/>
              </w:rPr>
              <w:t xml:space="preserve">QUAL</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9"/>
                <w:szCs w:val="19"/>
              </w:rPr>
              <w:t xml:space="preserve">10 %</w:t>
            </w:r>
          </w:p>
        </w:tc>
        <w:tc>
          <w:tcPr>
            <w:tcW w:type="dxa" w:w="1100"/>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D4C6</w:t>
            </w:r>
          </w:p>
        </w:tc>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Interest coverage (EBITDA / charges fin.)</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NUM</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15 %</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sz w:val="19"/>
                <w:szCs w:val="19"/>
              </w:rPr>
              <w:t xml:space="preserve">—</w:t>
            </w:r>
          </w:p>
        </w:tc>
      </w:tr>
    </w:tbl>
    <w:p>
      <w:r>
        <w:br w:type="page"/>
      </w:r>
    </w:p>
    <w:p>
      <w:pPr>
        <w:pStyle w:val="Heading1"/>
        <w:spacing w:after="120" w:before="0" w:line="276"/>
      </w:pPr>
      <w:r>
        <w:rPr>
          <w:rFonts w:ascii="Calibri" w:cs="Calibri" w:eastAsia="Calibri" w:hAnsi="Calibri"/>
          <w:sz w:val="21"/>
          <w:szCs w:val="21"/>
        </w:rPr>
        <w:t xml:space="preserve">4. Barèmes de notation</w:t>
      </w:r>
    </w:p>
    <w:p>
      <w:pPr>
        <w:spacing w:after="120" w:before="0" w:line="276"/>
      </w:pPr>
      <w:r>
        <w:rPr>
          <w:rFonts w:ascii="Calibri" w:cs="Calibri" w:eastAsia="Calibri" w:hAnsi="Calibri"/>
          <w:sz w:val="21"/>
          <w:szCs w:val="21"/>
        </w:rPr>
        <w:t xml:space="preserve">Chaque critère traduit une valeur d'entrée en note de 1 à 10. Les critères numériques utilisent des plages de valeurs ; les critères qualitatifs utilisent des modalités. Le barème standard distingue trois niveaux : critique (note 1-2), vigilance (note 6) et satisfaisant (note 10).</w:t>
      </w:r>
    </w:p>
    <w:p>
      <w:pPr>
        <w:pStyle w:val="Heading2"/>
        <w:spacing w:after="120" w:before="0" w:line="276"/>
      </w:pPr>
      <w:r>
        <w:rPr>
          <w:rFonts w:ascii="Calibri" w:cs="Calibri" w:eastAsia="Calibri" w:hAnsi="Calibri"/>
          <w:sz w:val="21"/>
          <w:szCs w:val="21"/>
        </w:rPr>
        <w:t xml:space="preserve">4.1 Critères numériques (plages → note)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850"/>
        <w:gridCol w:w="2976"/>
        <w:gridCol w:w="1750"/>
        <w:gridCol w:w="1650"/>
        <w:gridCol w:w="1800"/>
      </w:tblGrid>
      <w:tr>
        <w:trPr>
          <w:tblHeader/>
        </w:trPr>
        <w:tc>
          <w:tcPr>
            <w:tcW w:type="dxa" w:w="85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Code</w:t>
            </w:r>
          </w:p>
        </w:tc>
        <w:tc>
          <w:tcPr>
            <w:tcW w:type="dxa" w:w="297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Critère</w:t>
            </w:r>
          </w:p>
        </w:tc>
        <w:tc>
          <w:tcPr>
            <w:tcW w:type="dxa" w:w="175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Critique (1)</w:t>
            </w:r>
          </w:p>
        </w:tc>
        <w:tc>
          <w:tcPr>
            <w:tcW w:type="dxa" w:w="165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Vigilance (6)</w:t>
            </w:r>
          </w:p>
        </w:tc>
        <w:tc>
          <w:tcPr>
            <w:tcW w:type="dxa" w:w="18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Satisfaisant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D1C1</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Projets similaires livrés (nb)</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1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1 à 2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3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D1C2</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Gearing promoteur (%)</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&gt; 150 %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100 à 150 %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100 %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D1C4</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Concentration mono-projet (%)</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&gt; 60 %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40 à 60 %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40 %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D1C6</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Apport effectif (%)</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80 %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80 à 100 %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100 %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D2C4</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Avancement vs planning (%)</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80 %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80 à 100 %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100 %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D2C7</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Coût foncier / CA (%)</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&gt; 35 %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25 à 35 %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25 %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D3C1</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Préventes sécurisées (%)</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25 %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25 à 40 %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40 %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D3C2</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Ventes vs planning (%)</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80 %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80 à 100 %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100 %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D3C3</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DSO (jours)</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&gt; 240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120 à 240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120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D3C4</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Cash coverage (x)</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1,0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1,0 à 1,2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1,2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D3C5</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Impasse brute (%)</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&gt; 10 %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0 à 10 %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0 %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D3C6</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Rotation stock (mois)</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&gt; 30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18 à 30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18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D3C7</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Marge brute stressée (%)</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10 %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10 à 15 %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15 %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D4C1</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Marge brute (%)</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15 %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15 à 25 %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25 %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D4C2</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LTC (%)</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&gt; 80 %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60 à 80 %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60 %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D4C3</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LTV stressée (%)</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&gt; 85 %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70 à 85 %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70 %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D4C4</w:t>
            </w:r>
          </w:p>
        </w:tc>
        <w:tc>
          <w:tcPr>
            <w:tcW w:type="dxa" w:w="2976"/>
            <w:tcMar>
              <w:top w:type="dxa" w:w="40"/>
              <w:left w:type="dxa" w:w="90"/>
              <w:bottom w:type="dxa" w:w="40"/>
              <w:right w:type="dxa" w:w="90"/>
            </w:tcMar>
          </w:tcPr>
          <w:p>
            <w:pPr>
              <w:spacing w:after="0" w:line="252"/>
              <w:jc w:val="left"/>
            </w:pPr>
            <w:r>
              <w:rPr>
                <w:rFonts w:ascii="Calibri" w:cs="Calibri" w:eastAsia="Calibri" w:hAnsi="Calibri"/>
                <w:sz w:val="19"/>
                <w:szCs w:val="19"/>
              </w:rPr>
              <w:t xml:space="preserve">Couverture garanties (%)</w:t>
            </w:r>
          </w:p>
        </w:tc>
        <w:tc>
          <w:tcPr>
            <w:tcW w:type="dxa" w:w="175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90 % → 1</w:t>
            </w:r>
          </w:p>
        </w:tc>
        <w:tc>
          <w:tcPr>
            <w:tcW w:type="dxa" w:w="165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90 à 120 % → 6</w:t>
            </w:r>
          </w:p>
        </w:tc>
        <w:tc>
          <w:tcPr>
            <w:tcW w:type="dxa" w:w="18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120 %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D4C6</w:t>
            </w:r>
          </w:p>
        </w:tc>
        <w:tc>
          <w:tcPr>
            <w:tcW w:type="dxa" w:w="29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Interest coverage (x)</w:t>
            </w:r>
          </w:p>
        </w:tc>
        <w:tc>
          <w:tcPr>
            <w:tcW w:type="dxa" w:w="175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&lt; 1,5 → 1</w:t>
            </w:r>
          </w:p>
        </w:tc>
        <w:tc>
          <w:tcPr>
            <w:tcW w:type="dxa" w:w="165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1,5 à 3 → 6</w:t>
            </w:r>
          </w:p>
        </w:tc>
        <w:tc>
          <w:tcPr>
            <w:tcW w:type="dxa" w:w="18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 3 → 10</w:t>
            </w:r>
          </w:p>
        </w:tc>
      </w:tr>
    </w:tbl>
    <w:p>
      <w:pPr>
        <w:spacing w:after="120" w:before="0" w:line="276"/>
      </w:pPr>
      <w:r>
        <w:rPr>
          <w:rFonts w:ascii="Calibri" w:cs="Calibri" w:eastAsia="Calibri" w:hAnsi="Calibri"/>
          <w:b/>
          <w:bCs/>
          <w:i/>
          <w:iCs/>
          <w:sz w:val="21"/>
          <w:szCs w:val="21"/>
        </w:rPr>
        <w:t xml:space="preserve">Lecture : </w:t>
      </w:r>
      <w:r>
        <w:rPr>
          <w:rFonts w:ascii="Calibri" w:cs="Calibri" w:eastAsia="Calibri" w:hAnsi="Calibri"/>
          <w:i/>
          <w:iCs/>
          <w:color w:val="595959"/>
          <w:sz w:val="21"/>
          <w:szCs w:val="21"/>
        </w:rPr>
        <w:t xml:space="preserve">les bornes sont incluses à gauche et exclues à droite. Une valeur d'entrée manquante ou non numérique donne une note de 0 (déclenche le gate lorsqu'il s'applique).</w:t>
      </w:r>
    </w:p>
    <w:p>
      <w:r>
        <w:br w:type="page"/>
      </w:r>
    </w:p>
    <w:p>
      <w:pPr>
        <w:pStyle w:val="Heading2"/>
        <w:spacing w:after="120" w:before="0" w:line="276"/>
      </w:pPr>
      <w:r>
        <w:rPr>
          <w:rFonts w:ascii="Calibri" w:cs="Calibri" w:eastAsia="Calibri" w:hAnsi="Calibri"/>
          <w:sz w:val="21"/>
          <w:szCs w:val="21"/>
        </w:rPr>
        <w:t xml:space="preserve">4.2 Critères qualitatifs (modalités → note)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850"/>
        <w:gridCol w:w="2776"/>
        <w:gridCol w:w="1900"/>
        <w:gridCol w:w="1500"/>
        <w:gridCol w:w="2000"/>
      </w:tblGrid>
      <w:tr>
        <w:trPr>
          <w:tblHeader/>
        </w:trPr>
        <w:tc>
          <w:tcPr>
            <w:tcW w:type="dxa" w:w="85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Code</w:t>
            </w:r>
          </w:p>
        </w:tc>
        <w:tc>
          <w:tcPr>
            <w:tcW w:type="dxa" w:w="277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Critère</w:t>
            </w:r>
          </w:p>
        </w:tc>
        <w:tc>
          <w:tcPr>
            <w:tcW w:type="dxa" w:w="19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Défavorable</w:t>
            </w:r>
          </w:p>
        </w:tc>
        <w:tc>
          <w:tcPr>
            <w:tcW w:type="dxa" w:w="15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Intermédiaire</w:t>
            </w:r>
          </w:p>
        </w:tc>
        <w:tc>
          <w:tcPr>
            <w:tcW w:type="dxa" w:w="20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Favorable</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D1C3</w:t>
            </w:r>
          </w:p>
        </w:tc>
        <w:tc>
          <w:tcPr>
            <w:tcW w:type="dxa" w:w="2776"/>
            <w:tcMar>
              <w:top w:type="dxa" w:w="40"/>
              <w:left w:type="dxa" w:w="90"/>
              <w:bottom w:type="dxa" w:w="40"/>
              <w:right w:type="dxa" w:w="90"/>
            </w:tcMar>
          </w:tcPr>
          <w:p>
            <w:pPr>
              <w:spacing w:after="0" w:line="252"/>
              <w:jc w:val="left"/>
            </w:pPr>
            <w:r>
              <w:rPr>
                <w:rFonts w:ascii="Calibri" w:cs="Calibri" w:eastAsia="Calibri" w:hAnsi="Calibri"/>
                <w:sz w:val="19"/>
                <w:szCs w:val="19"/>
              </w:rPr>
              <w:t xml:space="preserve">Gouvernance &amp; structure juridique</w:t>
            </w:r>
          </w:p>
        </w:tc>
        <w:tc>
          <w:tcPr>
            <w:tcW w:type="dxa" w:w="190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Opaque → 1</w:t>
            </w:r>
          </w:p>
        </w:tc>
        <w:tc>
          <w:tcPr>
            <w:tcW w:type="dxa" w:w="150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Partielle → 6</w:t>
            </w:r>
          </w:p>
        </w:tc>
        <w:tc>
          <w:tcPr>
            <w:tcW w:type="dxa" w:w="20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Claire / structurée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D1C5</w:t>
            </w:r>
          </w:p>
        </w:tc>
        <w:tc>
          <w:tcPr>
            <w:tcW w:type="dxa" w:w="27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Typologie promoteur</w:t>
            </w:r>
          </w:p>
        </w:tc>
        <w:tc>
          <w:tcPr>
            <w:tcW w:type="dxa" w:w="190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Opportuniste → 2</w:t>
            </w:r>
          </w:p>
        </w:tc>
        <w:tc>
          <w:tcPr>
            <w:tcW w:type="dxa" w:w="150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Régional → 6</w:t>
            </w:r>
          </w:p>
        </w:tc>
        <w:tc>
          <w:tcPr>
            <w:tcW w:type="dxa" w:w="20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Structuré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D2C1</w:t>
            </w:r>
          </w:p>
        </w:tc>
        <w:tc>
          <w:tcPr>
            <w:tcW w:type="dxa" w:w="2776"/>
            <w:tcMar>
              <w:top w:type="dxa" w:w="40"/>
              <w:left w:type="dxa" w:w="90"/>
              <w:bottom w:type="dxa" w:w="40"/>
              <w:right w:type="dxa" w:w="90"/>
            </w:tcMar>
          </w:tcPr>
          <w:p>
            <w:pPr>
              <w:spacing w:after="0" w:line="252"/>
              <w:jc w:val="left"/>
            </w:pPr>
            <w:r>
              <w:rPr>
                <w:rFonts w:ascii="Calibri" w:cs="Calibri" w:eastAsia="Calibri" w:hAnsi="Calibri"/>
                <w:sz w:val="19"/>
                <w:szCs w:val="19"/>
              </w:rPr>
              <w:t xml:space="preserve">Foncier &amp; autorisations</w:t>
            </w:r>
          </w:p>
        </w:tc>
        <w:tc>
          <w:tcPr>
            <w:tcW w:type="dxa" w:w="190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Titre non purgé / absentes → 1</w:t>
            </w:r>
          </w:p>
        </w:tc>
        <w:tc>
          <w:tcPr>
            <w:tcW w:type="dxa" w:w="150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Partielles → 6</w:t>
            </w:r>
          </w:p>
        </w:tc>
        <w:tc>
          <w:tcPr>
            <w:tcW w:type="dxa" w:w="20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Titre purgé + définitives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D2C2</w:t>
            </w:r>
          </w:p>
        </w:tc>
        <w:tc>
          <w:tcPr>
            <w:tcW w:type="dxa" w:w="27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Marché &amp; positionnement</w:t>
            </w:r>
          </w:p>
        </w:tc>
        <w:tc>
          <w:tcPr>
            <w:tcW w:type="dxa" w:w="190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Sur-positionné / sur-offre → 2</w:t>
            </w:r>
          </w:p>
        </w:tc>
        <w:tc>
          <w:tcPr>
            <w:tcW w:type="dxa" w:w="150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Correct → 6</w:t>
            </w:r>
          </w:p>
        </w:tc>
        <w:tc>
          <w:tcPr>
            <w:tcW w:type="dxa" w:w="20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Aligné / forte demande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D2C3</w:t>
            </w:r>
          </w:p>
        </w:tc>
        <w:tc>
          <w:tcPr>
            <w:tcW w:type="dxa" w:w="2776"/>
            <w:tcMar>
              <w:top w:type="dxa" w:w="40"/>
              <w:left w:type="dxa" w:w="90"/>
              <w:bottom w:type="dxa" w:w="40"/>
              <w:right w:type="dxa" w:w="90"/>
            </w:tcMar>
          </w:tcPr>
          <w:p>
            <w:pPr>
              <w:spacing w:after="0" w:line="252"/>
              <w:jc w:val="left"/>
            </w:pPr>
            <w:r>
              <w:rPr>
                <w:rFonts w:ascii="Calibri" w:cs="Calibri" w:eastAsia="Calibri" w:hAnsi="Calibri"/>
                <w:sz w:val="19"/>
                <w:szCs w:val="19"/>
              </w:rPr>
              <w:t xml:space="preserve">Complexité technique</w:t>
            </w:r>
          </w:p>
        </w:tc>
        <w:tc>
          <w:tcPr>
            <w:tcW w:type="dxa" w:w="190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Élevée → 2</w:t>
            </w:r>
          </w:p>
        </w:tc>
        <w:tc>
          <w:tcPr>
            <w:tcW w:type="dxa" w:w="150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Moyenne → 6</w:t>
            </w:r>
          </w:p>
        </w:tc>
        <w:tc>
          <w:tcPr>
            <w:tcW w:type="dxa" w:w="20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Standard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D2C5</w:t>
            </w:r>
          </w:p>
        </w:tc>
        <w:tc>
          <w:tcPr>
            <w:tcW w:type="dxa" w:w="27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Litiges clients / SAV</w:t>
            </w:r>
          </w:p>
        </w:tc>
        <w:tc>
          <w:tcPr>
            <w:tcW w:type="dxa" w:w="190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Élevé → 2</w:t>
            </w:r>
          </w:p>
        </w:tc>
        <w:tc>
          <w:tcPr>
            <w:tcW w:type="dxa" w:w="150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Moyen → 6</w:t>
            </w:r>
          </w:p>
        </w:tc>
        <w:tc>
          <w:tcPr>
            <w:tcW w:type="dxa" w:w="20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Faible → 10</w:t>
            </w:r>
          </w:p>
        </w:tc>
      </w:tr>
      <w:tr>
        <w:tc>
          <w:tcPr>
            <w:tcW w:type="dxa" w:w="850"/>
            <w:tcMar>
              <w:top w:type="dxa" w:w="40"/>
              <w:left w:type="dxa" w:w="90"/>
              <w:bottom w:type="dxa" w:w="40"/>
              <w:right w:type="dxa" w:w="90"/>
            </w:tcMar>
          </w:tcPr>
          <w:p>
            <w:pPr>
              <w:spacing w:after="0" w:line="252"/>
            </w:pPr>
            <w:r>
              <w:rPr>
                <w:rFonts w:ascii="Calibri" w:cs="Calibri" w:eastAsia="Calibri" w:hAnsi="Calibri"/>
                <w:b/>
                <w:bCs/>
                <w:sz w:val="19"/>
                <w:szCs w:val="19"/>
              </w:rPr>
              <w:t xml:space="preserve">D2C6</w:t>
            </w:r>
          </w:p>
        </w:tc>
        <w:tc>
          <w:tcPr>
            <w:tcW w:type="dxa" w:w="2776"/>
            <w:tcMar>
              <w:top w:type="dxa" w:w="40"/>
              <w:left w:type="dxa" w:w="90"/>
              <w:bottom w:type="dxa" w:w="40"/>
              <w:right w:type="dxa" w:w="90"/>
            </w:tcMar>
          </w:tcPr>
          <w:p>
            <w:pPr>
              <w:spacing w:after="0" w:line="252"/>
              <w:jc w:val="left"/>
            </w:pPr>
            <w:r>
              <w:rPr>
                <w:rFonts w:ascii="Calibri" w:cs="Calibri" w:eastAsia="Calibri" w:hAnsi="Calibri"/>
                <w:sz w:val="19"/>
                <w:szCs w:val="19"/>
              </w:rPr>
              <w:t xml:space="preserve">Sensibilité macro / subvention</w:t>
            </w:r>
          </w:p>
        </w:tc>
        <w:tc>
          <w:tcPr>
            <w:tcW w:type="dxa" w:w="190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Élevée → 2</w:t>
            </w:r>
          </w:p>
        </w:tc>
        <w:tc>
          <w:tcPr>
            <w:tcW w:type="dxa" w:w="150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Moyenne → 6</w:t>
            </w:r>
          </w:p>
        </w:tc>
        <w:tc>
          <w:tcPr>
            <w:tcW w:type="dxa" w:w="20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Faible → 10</w:t>
            </w:r>
          </w:p>
        </w:tc>
      </w:tr>
      <w:tr>
        <w:tc>
          <w:tcPr>
            <w:tcW w:type="dxa" w:w="85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D4C5</w:t>
            </w:r>
          </w:p>
        </w:tc>
        <w:tc>
          <w:tcPr>
            <w:tcW w:type="dxa" w:w="277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Rang bancaire 1er rang</w:t>
            </w:r>
          </w:p>
        </w:tc>
        <w:tc>
          <w:tcPr>
            <w:tcW w:type="dxa" w:w="190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Non 1er rang → 1</w:t>
            </w:r>
          </w:p>
        </w:tc>
        <w:tc>
          <w:tcPr>
            <w:tcW w:type="dxa" w:w="1500"/>
            <w:shd w:fill="F2F5FB" w:color="auto" w:val="clear"/>
            <w:tcMar>
              <w:top w:type="dxa" w:w="40"/>
              <w:left w:type="dxa" w:w="90"/>
              <w:bottom w:type="dxa" w:w="40"/>
              <w:right w:type="dxa" w:w="90"/>
            </w:tcMar>
          </w:tcPr>
          <w:p>
            <w:pPr>
              <w:spacing w:after="0" w:line="252"/>
            </w:pPr>
            <w:r>
              <w:rPr>
                <w:rFonts w:ascii="Calibri" w:cs="Calibri" w:eastAsia="Calibri" w:hAnsi="Calibri"/>
                <w:color w:val="595959"/>
                <w:sz w:val="18"/>
                <w:szCs w:val="18"/>
              </w:rPr>
              <w:t xml:space="preserve">—</w:t>
            </w:r>
          </w:p>
        </w:tc>
        <w:tc>
          <w:tcPr>
            <w:tcW w:type="dxa" w:w="20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1er rang → 10</w:t>
            </w:r>
          </w:p>
        </w:tc>
      </w:tr>
    </w:tbl>
    <w:p>
      <w:pPr>
        <w:pStyle w:val="Heading2"/>
        <w:spacing w:after="120" w:before="0" w:line="276"/>
      </w:pPr>
      <w:r>
        <w:rPr>
          <w:rFonts w:ascii="Calibri" w:cs="Calibri" w:eastAsia="Calibri" w:hAnsi="Calibri"/>
          <w:sz w:val="21"/>
          <w:szCs w:val="21"/>
        </w:rPr>
        <w:t xml:space="preserve">4.3 Critères éliminatoires (gates)</w:t>
      </w:r>
    </w:p>
    <w:p>
      <w:pPr>
        <w:spacing w:after="120" w:before="0" w:line="276"/>
      </w:pPr>
      <w:r>
        <w:rPr>
          <w:rFonts w:ascii="Calibri" w:cs="Calibri" w:eastAsia="Calibri" w:hAnsi="Calibri"/>
          <w:sz w:val="21"/>
          <w:szCs w:val="21"/>
        </w:rPr>
        <w:t xml:space="preserve">Deux critères sont éliminatoires : lorsqu'ils atteignent leur note plancher (≤ 1), la décision est forcée à NO-GO quel que soit le score global.</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1000"/>
        <w:gridCol w:w="3826"/>
        <w:gridCol w:w="4200"/>
      </w:tblGrid>
      <w:tr>
        <w:trPr>
          <w:tblHeader/>
        </w:trPr>
        <w:tc>
          <w:tcPr>
            <w:tcW w:type="dxa" w:w="10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Code</w:t>
            </w:r>
          </w:p>
        </w:tc>
        <w:tc>
          <w:tcPr>
            <w:tcW w:type="dxa" w:w="38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Critère</w:t>
            </w:r>
          </w:p>
        </w:tc>
        <w:tc>
          <w:tcPr>
            <w:tcW w:type="dxa" w:w="42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Condition de blocage</w:t>
            </w:r>
          </w:p>
        </w:tc>
      </w:tr>
      <w:tr>
        <w:tc>
          <w:tcPr>
            <w:tcW w:type="dxa" w:w="1000"/>
            <w:tcMar>
              <w:top w:type="dxa" w:w="40"/>
              <w:left w:type="dxa" w:w="90"/>
              <w:bottom w:type="dxa" w:w="40"/>
              <w:right w:type="dxa" w:w="90"/>
            </w:tcMar>
          </w:tcPr>
          <w:p>
            <w:pPr>
              <w:spacing w:after="0" w:line="252"/>
            </w:pPr>
            <w:r>
              <w:rPr>
                <w:rFonts w:ascii="Calibri" w:cs="Calibri" w:eastAsia="Calibri" w:hAnsi="Calibri"/>
                <w:b/>
                <w:bCs/>
                <w:sz w:val="19"/>
                <w:szCs w:val="19"/>
              </w:rPr>
              <w:t xml:space="preserve">D1C6</w:t>
            </w:r>
          </w:p>
        </w:tc>
        <w:tc>
          <w:tcPr>
            <w:tcW w:type="dxa" w:w="3826"/>
            <w:tcMar>
              <w:top w:type="dxa" w:w="40"/>
              <w:left w:type="dxa" w:w="90"/>
              <w:bottom w:type="dxa" w:w="40"/>
              <w:right w:type="dxa" w:w="90"/>
            </w:tcMar>
          </w:tcPr>
          <w:p>
            <w:pPr>
              <w:spacing w:after="0" w:line="252"/>
              <w:jc w:val="left"/>
            </w:pPr>
            <w:r>
              <w:rPr>
                <w:rFonts w:ascii="Calibri" w:cs="Calibri" w:eastAsia="Calibri" w:hAnsi="Calibri"/>
                <w:sz w:val="19"/>
                <w:szCs w:val="19"/>
              </w:rPr>
              <w:t xml:space="preserve">Apport effectif (injecté / prévu)</w:t>
            </w:r>
          </w:p>
        </w:tc>
        <w:tc>
          <w:tcPr>
            <w:tcW w:type="dxa" w:w="4200"/>
            <w:tcMar>
              <w:top w:type="dxa" w:w="40"/>
              <w:left w:type="dxa" w:w="90"/>
              <w:bottom w:type="dxa" w:w="40"/>
              <w:right w:type="dxa" w:w="90"/>
            </w:tcMar>
          </w:tcPr>
          <w:p>
            <w:pPr>
              <w:spacing w:after="0" w:line="252"/>
            </w:pPr>
            <w:r>
              <w:rPr>
                <w:rFonts w:ascii="Calibri" w:cs="Calibri" w:eastAsia="Calibri" w:hAnsi="Calibri"/>
                <w:color w:val="C00000"/>
                <w:sz w:val="19"/>
                <w:szCs w:val="19"/>
              </w:rPr>
              <w:t xml:space="preserve">Apport &lt; 80 % du prévu (note = 1)</w:t>
            </w:r>
          </w:p>
        </w:tc>
      </w:tr>
      <w:tr>
        <w:tc>
          <w:tcPr>
            <w:tcW w:type="dxa" w:w="1000"/>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D2C1</w:t>
            </w:r>
          </w:p>
        </w:tc>
        <w:tc>
          <w:tcPr>
            <w:tcW w:type="dxa" w:w="38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Foncier &amp; autorisations</w:t>
            </w:r>
          </w:p>
        </w:tc>
        <w:tc>
          <w:tcPr>
            <w:tcW w:type="dxa" w:w="420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9"/>
                <w:szCs w:val="19"/>
              </w:rPr>
              <w:t xml:space="preserve">Titre non purgé ou autorisations absentes (note = 1)</w:t>
            </w:r>
          </w:p>
        </w:tc>
      </w:tr>
    </w:tbl>
    <w:p>
      <w:r>
        <w:br w:type="page"/>
      </w:r>
    </w:p>
    <w:p>
      <w:pPr>
        <w:pStyle w:val="Heading1"/>
        <w:spacing w:after="120" w:before="0" w:line="276"/>
      </w:pPr>
      <w:r>
        <w:rPr>
          <w:rFonts w:ascii="Calibri" w:cs="Calibri" w:eastAsia="Calibri" w:hAnsi="Calibri"/>
          <w:sz w:val="21"/>
          <w:szCs w:val="21"/>
        </w:rPr>
        <w:t xml:space="preserve">5. D5 — Vulnérabilité réglementaire (red flags)</w:t>
      </w:r>
    </w:p>
    <w:p>
      <w:pPr>
        <w:spacing w:after="120" w:before="0" w:line="276"/>
      </w:pPr>
      <w:r>
        <w:rPr>
          <w:rFonts w:ascii="Calibri" w:cs="Calibri" w:eastAsia="Calibri" w:hAnsi="Calibri"/>
          <w:sz w:val="21"/>
          <w:szCs w:val="21"/>
        </w:rPr>
        <w:t xml:space="preserve">Le domaine D5 n'entre pas dans le score économique : c'est une couche d'alertes qui applique des malus (points retranchés au score ajusté) et détecte les déclencheurs de mise en souffrance. Les red flags de sévérité BLOQUANTE déclenchent automatiquement une souffrance (décision NO-GO), indépendamment du score.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2626"/>
        <w:gridCol w:w="1300"/>
        <w:gridCol w:w="1200"/>
        <w:gridCol w:w="1100"/>
        <w:gridCol w:w="800"/>
      </w:tblGrid>
      <w:tr>
        <w:trPr>
          <w:tblHeader/>
        </w:trPr>
        <w:tc>
          <w:tcPr>
            <w:tcW w:type="dxa" w:w="20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Code</w:t>
            </w:r>
          </w:p>
        </w:tc>
        <w:tc>
          <w:tcPr>
            <w:tcW w:type="dxa" w:w="26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Libellé</w:t>
            </w:r>
          </w:p>
        </w:tc>
        <w:tc>
          <w:tcPr>
            <w:tcW w:type="dxa" w:w="13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Sévérité</w:t>
            </w:r>
          </w:p>
        </w:tc>
        <w:tc>
          <w:tcPr>
            <w:tcW w:type="dxa" w:w="12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Malus</w:t>
            </w:r>
          </w:p>
        </w:tc>
        <w:tc>
          <w:tcPr>
            <w:tcW w:type="dxa" w:w="11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Domaines</w:t>
            </w:r>
          </w:p>
        </w:tc>
        <w:tc>
          <w:tcPr>
            <w:tcW w:type="dxa" w:w="8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Mitig.</w:t>
            </w:r>
          </w:p>
        </w:tc>
      </w:tr>
      <w:tr>
        <w:tc>
          <w:tcPr>
            <w:tcW w:type="dxa" w:w="2000"/>
            <w:tcMar>
              <w:top w:type="dxa" w:w="40"/>
              <w:left w:type="dxa" w:w="90"/>
              <w:bottom w:type="dxa" w:w="40"/>
              <w:right w:type="dxa" w:w="90"/>
            </w:tcMar>
          </w:tcPr>
          <w:p>
            <w:pPr>
              <w:spacing w:after="0" w:line="252"/>
            </w:pPr>
            <w:r>
              <w:rPr>
                <w:rFonts w:ascii="Calibri" w:cs="Calibri" w:eastAsia="Calibri" w:hAnsi="Calibri"/>
                <w:b/>
                <w:bCs/>
                <w:sz w:val="17"/>
                <w:szCs w:val="17"/>
              </w:rPr>
              <w:t xml:space="preserve">RF_RETARD_6M</w:t>
            </w:r>
          </w:p>
        </w:tc>
        <w:tc>
          <w:tcPr>
            <w:tcW w:type="dxa" w:w="2626"/>
            <w:tcMar>
              <w:top w:type="dxa" w:w="40"/>
              <w:left w:type="dxa" w:w="90"/>
              <w:bottom w:type="dxa" w:w="40"/>
              <w:right w:type="dxa" w:w="90"/>
            </w:tcMar>
          </w:tcPr>
          <w:p>
            <w:pPr>
              <w:spacing w:after="0" w:line="252"/>
            </w:pPr>
            <w:r>
              <w:rPr>
                <w:rFonts w:ascii="Calibri" w:cs="Calibri" w:eastAsia="Calibri" w:hAnsi="Calibri"/>
                <w:sz w:val="18"/>
                <w:szCs w:val="18"/>
              </w:rPr>
              <w:t xml:space="preserve">Retard chantier ≥ 6 mois</w:t>
            </w:r>
          </w:p>
        </w:tc>
        <w:tc>
          <w:tcPr>
            <w:tcW w:type="dxa" w:w="1300"/>
            <w:tcMar>
              <w:top w:type="dxa" w:w="40"/>
              <w:left w:type="dxa" w:w="90"/>
              <w:bottom w:type="dxa" w:w="40"/>
              <w:right w:type="dxa" w:w="90"/>
            </w:tcMar>
          </w:tcPr>
          <w:p>
            <w:pPr>
              <w:spacing w:after="0" w:line="252"/>
              <w:jc w:val="center"/>
            </w:pPr>
            <w:r>
              <w:rPr>
                <w:rFonts w:ascii="Calibri" w:cs="Calibri" w:eastAsia="Calibri" w:hAnsi="Calibri"/>
                <w:b w:val="false"/>
                <w:bCs w:val="false"/>
                <w:color w:val="BF8F00"/>
                <w:sz w:val="18"/>
                <w:szCs w:val="18"/>
              </w:rPr>
              <w:t xml:space="preserve">Élevée</w:t>
            </w:r>
          </w:p>
        </w:tc>
        <w:tc>
          <w:tcPr>
            <w:tcW w:type="dxa" w:w="1200"/>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−15</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8"/>
                <w:szCs w:val="18"/>
              </w:rPr>
              <w:t xml:space="preserve">D2, D5</w:t>
            </w:r>
          </w:p>
        </w:tc>
        <w:tc>
          <w:tcPr>
            <w:tcW w:type="dxa" w:w="800"/>
            <w:tcMar>
              <w:top w:type="dxa" w:w="40"/>
              <w:left w:type="dxa" w:w="90"/>
              <w:bottom w:type="dxa" w:w="40"/>
              <w:right w:type="dxa" w:w="90"/>
            </w:tcMar>
          </w:tcPr>
          <w:p>
            <w:pPr>
              <w:spacing w:after="0" w:line="252"/>
              <w:jc w:val="center"/>
            </w:pPr>
            <w:r>
              <w:rPr>
                <w:rFonts w:ascii="Calibri" w:cs="Calibri" w:eastAsia="Calibri" w:hAnsi="Calibri"/>
                <w:sz w:val="18"/>
                <w:szCs w:val="18"/>
              </w:rPr>
              <w:t xml:space="preserve">Oui</w:t>
            </w:r>
          </w:p>
        </w:tc>
      </w:tr>
      <w:tr>
        <w:tc>
          <w:tcPr>
            <w:tcW w:type="dxa" w:w="2000"/>
            <w:shd w:fill="F2F5FB" w:color="auto" w:val="clear"/>
            <w:tcMar>
              <w:top w:type="dxa" w:w="40"/>
              <w:left w:type="dxa" w:w="90"/>
              <w:bottom w:type="dxa" w:w="40"/>
              <w:right w:type="dxa" w:w="90"/>
            </w:tcMar>
          </w:tcPr>
          <w:p>
            <w:pPr>
              <w:spacing w:after="0" w:line="252"/>
            </w:pPr>
            <w:r>
              <w:rPr>
                <w:rFonts w:ascii="Calibri" w:cs="Calibri" w:eastAsia="Calibri" w:hAnsi="Calibri"/>
                <w:b/>
                <w:bCs/>
                <w:sz w:val="17"/>
                <w:szCs w:val="17"/>
              </w:rPr>
              <w:t xml:space="preserve">RF_CASH_LT_ECH</w:t>
            </w:r>
          </w:p>
        </w:tc>
        <w:tc>
          <w:tcPr>
            <w:tcW w:type="dxa" w:w="2626"/>
            <w:shd w:fill="F2F5FB" w:color="auto" w:val="clear"/>
            <w:tcMar>
              <w:top w:type="dxa" w:w="40"/>
              <w:left w:type="dxa" w:w="90"/>
              <w:bottom w:type="dxa" w:w="40"/>
              <w:right w:type="dxa" w:w="90"/>
            </w:tcMar>
          </w:tcPr>
          <w:p>
            <w:pPr>
              <w:spacing w:after="0" w:line="252"/>
            </w:pPr>
            <w:r>
              <w:rPr>
                <w:rFonts w:ascii="Calibri" w:cs="Calibri" w:eastAsia="Calibri" w:hAnsi="Calibri"/>
                <w:sz w:val="18"/>
                <w:szCs w:val="18"/>
              </w:rPr>
              <w:t xml:space="preserve">Cash coverage &lt; 1,0x</w:t>
            </w:r>
          </w:p>
        </w:tc>
        <w:tc>
          <w:tcPr>
            <w:tcW w:type="dxa" w:w="13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color w:val="BF8F00"/>
                <w:sz w:val="18"/>
                <w:szCs w:val="18"/>
              </w:rPr>
              <w:t xml:space="preserve">Élevée</w:t>
            </w:r>
          </w:p>
        </w:tc>
        <w:tc>
          <w:tcPr>
            <w:tcW w:type="dxa" w:w="12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−25</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D3, D5</w:t>
            </w:r>
          </w:p>
        </w:tc>
        <w:tc>
          <w:tcPr>
            <w:tcW w:type="dxa" w:w="8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Oui</w:t>
            </w:r>
          </w:p>
        </w:tc>
      </w:tr>
      <w:tr>
        <w:tc>
          <w:tcPr>
            <w:tcW w:type="dxa" w:w="2000"/>
            <w:tcMar>
              <w:top w:type="dxa" w:w="40"/>
              <w:left w:type="dxa" w:w="90"/>
              <w:bottom w:type="dxa" w:w="40"/>
              <w:right w:type="dxa" w:w="90"/>
            </w:tcMar>
          </w:tcPr>
          <w:p>
            <w:pPr>
              <w:spacing w:after="0" w:line="252"/>
            </w:pPr>
            <w:r>
              <w:rPr>
                <w:rFonts w:ascii="Calibri" w:cs="Calibri" w:eastAsia="Calibri" w:hAnsi="Calibri"/>
                <w:b/>
                <w:bCs/>
                <w:sz w:val="17"/>
                <w:szCs w:val="17"/>
              </w:rPr>
              <w:t xml:space="preserve">RF_IMPASSE_PERSIST</w:t>
            </w:r>
          </w:p>
        </w:tc>
        <w:tc>
          <w:tcPr>
            <w:tcW w:type="dxa" w:w="2626"/>
            <w:tcMar>
              <w:top w:type="dxa" w:w="40"/>
              <w:left w:type="dxa" w:w="90"/>
              <w:bottom w:type="dxa" w:w="40"/>
              <w:right w:type="dxa" w:w="90"/>
            </w:tcMar>
          </w:tcPr>
          <w:p>
            <w:pPr>
              <w:spacing w:after="0" w:line="252"/>
            </w:pPr>
            <w:r>
              <w:rPr>
                <w:rFonts w:ascii="Calibri" w:cs="Calibri" w:eastAsia="Calibri" w:hAnsi="Calibri"/>
                <w:sz w:val="18"/>
                <w:szCs w:val="18"/>
              </w:rPr>
              <w:t xml:space="preserve">Impasse de trésorerie persistante</w:t>
            </w:r>
          </w:p>
        </w:tc>
        <w:tc>
          <w:tcPr>
            <w:tcW w:type="dxa" w:w="1300"/>
            <w:tcMar>
              <w:top w:type="dxa" w:w="40"/>
              <w:left w:type="dxa" w:w="90"/>
              <w:bottom w:type="dxa" w:w="40"/>
              <w:right w:type="dxa" w:w="90"/>
            </w:tcMar>
          </w:tcPr>
          <w:p>
            <w:pPr>
              <w:spacing w:after="0" w:line="252"/>
              <w:jc w:val="center"/>
            </w:pPr>
            <w:r>
              <w:rPr>
                <w:rFonts w:ascii="Calibri" w:cs="Calibri" w:eastAsia="Calibri" w:hAnsi="Calibri"/>
                <w:b w:val="false"/>
                <w:bCs w:val="false"/>
                <w:color w:val="BF8F00"/>
                <w:sz w:val="18"/>
                <w:szCs w:val="18"/>
              </w:rPr>
              <w:t xml:space="preserve">Élevée</w:t>
            </w:r>
          </w:p>
        </w:tc>
        <w:tc>
          <w:tcPr>
            <w:tcW w:type="dxa" w:w="1200"/>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−20</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8"/>
                <w:szCs w:val="18"/>
              </w:rPr>
              <w:t xml:space="preserve">D3, D5</w:t>
            </w:r>
          </w:p>
        </w:tc>
        <w:tc>
          <w:tcPr>
            <w:tcW w:type="dxa" w:w="800"/>
            <w:tcMar>
              <w:top w:type="dxa" w:w="40"/>
              <w:left w:type="dxa" w:w="90"/>
              <w:bottom w:type="dxa" w:w="40"/>
              <w:right w:type="dxa" w:w="90"/>
            </w:tcMar>
          </w:tcPr>
          <w:p>
            <w:pPr>
              <w:spacing w:after="0" w:line="252"/>
              <w:jc w:val="center"/>
            </w:pPr>
            <w:r>
              <w:rPr>
                <w:rFonts w:ascii="Calibri" w:cs="Calibri" w:eastAsia="Calibri" w:hAnsi="Calibri"/>
                <w:sz w:val="18"/>
                <w:szCs w:val="18"/>
              </w:rPr>
              <w:t xml:space="preserve">Oui</w:t>
            </w:r>
          </w:p>
        </w:tc>
      </w:tr>
      <w:tr>
        <w:tc>
          <w:tcPr>
            <w:tcW w:type="dxa" w:w="2000"/>
            <w:shd w:fill="F2F5FB" w:color="auto" w:val="clear"/>
            <w:tcMar>
              <w:top w:type="dxa" w:w="40"/>
              <w:left w:type="dxa" w:w="90"/>
              <w:bottom w:type="dxa" w:w="40"/>
              <w:right w:type="dxa" w:w="90"/>
            </w:tcMar>
          </w:tcPr>
          <w:p>
            <w:pPr>
              <w:spacing w:after="0" w:line="252"/>
            </w:pPr>
            <w:r>
              <w:rPr>
                <w:rFonts w:ascii="Calibri" w:cs="Calibri" w:eastAsia="Calibri" w:hAnsi="Calibri"/>
                <w:b/>
                <w:bCs/>
                <w:sz w:val="17"/>
                <w:szCs w:val="17"/>
              </w:rPr>
              <w:t xml:space="preserve">RF_RESTRUCT</w:t>
            </w:r>
          </w:p>
        </w:tc>
        <w:tc>
          <w:tcPr>
            <w:tcW w:type="dxa" w:w="2626"/>
            <w:shd w:fill="F2F5FB" w:color="auto" w:val="clear"/>
            <w:tcMar>
              <w:top w:type="dxa" w:w="40"/>
              <w:left w:type="dxa" w:w="90"/>
              <w:bottom w:type="dxa" w:w="40"/>
              <w:right w:type="dxa" w:w="90"/>
            </w:tcMar>
          </w:tcPr>
          <w:p>
            <w:pPr>
              <w:spacing w:after="0" w:line="252"/>
            </w:pPr>
            <w:r>
              <w:rPr>
                <w:rFonts w:ascii="Calibri" w:cs="Calibri" w:eastAsia="Calibri" w:hAnsi="Calibri"/>
                <w:sz w:val="18"/>
                <w:szCs w:val="18"/>
              </w:rPr>
              <w:t xml:space="preserve">Première restructuration</w:t>
            </w:r>
          </w:p>
        </w:tc>
        <w:tc>
          <w:tcPr>
            <w:tcW w:type="dxa" w:w="13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color w:val="595959"/>
                <w:sz w:val="18"/>
                <w:szCs w:val="18"/>
              </w:rPr>
              <w:t xml:space="preserve">Moyenne</w:t>
            </w:r>
          </w:p>
        </w:tc>
        <w:tc>
          <w:tcPr>
            <w:tcW w:type="dxa" w:w="12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−25</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D5</w:t>
            </w:r>
          </w:p>
        </w:tc>
        <w:tc>
          <w:tcPr>
            <w:tcW w:type="dxa" w:w="8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Non</w:t>
            </w:r>
          </w:p>
        </w:tc>
      </w:tr>
      <w:tr>
        <w:tc>
          <w:tcPr>
            <w:tcW w:type="dxa" w:w="2000"/>
            <w:tcMar>
              <w:top w:type="dxa" w:w="40"/>
              <w:left w:type="dxa" w:w="90"/>
              <w:bottom w:type="dxa" w:w="40"/>
              <w:right w:type="dxa" w:w="90"/>
            </w:tcMar>
          </w:tcPr>
          <w:p>
            <w:pPr>
              <w:spacing w:after="0" w:line="252"/>
            </w:pPr>
            <w:r>
              <w:rPr>
                <w:rFonts w:ascii="Calibri" w:cs="Calibri" w:eastAsia="Calibri" w:hAnsi="Calibri"/>
                <w:b/>
                <w:bCs/>
                <w:sz w:val="17"/>
                <w:szCs w:val="17"/>
              </w:rPr>
              <w:t xml:space="preserve">RF_FP_NEG</w:t>
            </w:r>
          </w:p>
        </w:tc>
        <w:tc>
          <w:tcPr>
            <w:tcW w:type="dxa" w:w="2626"/>
            <w:tcMar>
              <w:top w:type="dxa" w:w="40"/>
              <w:left w:type="dxa" w:w="90"/>
              <w:bottom w:type="dxa" w:w="40"/>
              <w:right w:type="dxa" w:w="90"/>
            </w:tcMar>
          </w:tcPr>
          <w:p>
            <w:pPr>
              <w:spacing w:after="0" w:line="252"/>
            </w:pPr>
            <w:r>
              <w:rPr>
                <w:rFonts w:ascii="Calibri" w:cs="Calibri" w:eastAsia="Calibri" w:hAnsi="Calibri"/>
                <w:sz w:val="18"/>
                <w:szCs w:val="18"/>
              </w:rPr>
              <w:t xml:space="preserve">Fonds propres négatifs</w:t>
            </w:r>
          </w:p>
        </w:tc>
        <w:tc>
          <w:tcPr>
            <w:tcW w:type="dxa" w:w="1300"/>
            <w:tcMar>
              <w:top w:type="dxa" w:w="40"/>
              <w:left w:type="dxa" w:w="90"/>
              <w:bottom w:type="dxa" w:w="40"/>
              <w:right w:type="dxa" w:w="90"/>
            </w:tcMar>
          </w:tcPr>
          <w:p>
            <w:pPr>
              <w:spacing w:after="0" w:line="252"/>
              <w:jc w:val="center"/>
            </w:pPr>
            <w:r>
              <w:rPr>
                <w:rFonts w:ascii="Calibri" w:cs="Calibri" w:eastAsia="Calibri" w:hAnsi="Calibri"/>
                <w:b w:val="false"/>
                <w:bCs w:val="false"/>
                <w:color w:val="BF8F00"/>
                <w:sz w:val="18"/>
                <w:szCs w:val="18"/>
              </w:rPr>
              <w:t xml:space="preserve">Élevée</w:t>
            </w:r>
          </w:p>
        </w:tc>
        <w:tc>
          <w:tcPr>
            <w:tcW w:type="dxa" w:w="1200"/>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−25</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8"/>
                <w:szCs w:val="18"/>
              </w:rPr>
              <w:t xml:space="preserve">D4, D5</w:t>
            </w:r>
          </w:p>
        </w:tc>
        <w:tc>
          <w:tcPr>
            <w:tcW w:type="dxa" w:w="800"/>
            <w:tcMar>
              <w:top w:type="dxa" w:w="40"/>
              <w:left w:type="dxa" w:w="90"/>
              <w:bottom w:type="dxa" w:w="40"/>
              <w:right w:type="dxa" w:w="90"/>
            </w:tcMar>
          </w:tcPr>
          <w:p>
            <w:pPr>
              <w:spacing w:after="0" w:line="252"/>
              <w:jc w:val="center"/>
            </w:pPr>
            <w:r>
              <w:rPr>
                <w:rFonts w:ascii="Calibri" w:cs="Calibri" w:eastAsia="Calibri" w:hAnsi="Calibri"/>
                <w:sz w:val="18"/>
                <w:szCs w:val="18"/>
              </w:rPr>
              <w:t xml:space="preserve">Non</w:t>
            </w:r>
          </w:p>
        </w:tc>
      </w:tr>
      <w:tr>
        <w:tc>
          <w:tcPr>
            <w:tcW w:type="dxa" w:w="2000"/>
            <w:shd w:fill="F2F5FB" w:color="auto" w:val="clear"/>
            <w:tcMar>
              <w:top w:type="dxa" w:w="40"/>
              <w:left w:type="dxa" w:w="90"/>
              <w:bottom w:type="dxa" w:w="40"/>
              <w:right w:type="dxa" w:w="90"/>
            </w:tcMar>
          </w:tcPr>
          <w:p>
            <w:pPr>
              <w:spacing w:after="0" w:line="252"/>
            </w:pPr>
            <w:r>
              <w:rPr>
                <w:rFonts w:ascii="Calibri" w:cs="Calibri" w:eastAsia="Calibri" w:hAnsi="Calibri"/>
                <w:b/>
                <w:bCs/>
                <w:sz w:val="17"/>
                <w:szCs w:val="17"/>
              </w:rPr>
              <w:t xml:space="preserve">RF_NON_1ER_RANG</w:t>
            </w:r>
          </w:p>
        </w:tc>
        <w:tc>
          <w:tcPr>
            <w:tcW w:type="dxa" w:w="2626"/>
            <w:shd w:fill="F2F5FB" w:color="auto" w:val="clear"/>
            <w:tcMar>
              <w:top w:type="dxa" w:w="40"/>
              <w:left w:type="dxa" w:w="90"/>
              <w:bottom w:type="dxa" w:w="40"/>
              <w:right w:type="dxa" w:w="90"/>
            </w:tcMar>
          </w:tcPr>
          <w:p>
            <w:pPr>
              <w:spacing w:after="0" w:line="252"/>
            </w:pPr>
            <w:r>
              <w:rPr>
                <w:rFonts w:ascii="Calibri" w:cs="Calibri" w:eastAsia="Calibri" w:hAnsi="Calibri"/>
                <w:sz w:val="18"/>
                <w:szCs w:val="18"/>
              </w:rPr>
              <w:t xml:space="preserve">Garantie non 1er rang</w:t>
            </w:r>
          </w:p>
        </w:tc>
        <w:tc>
          <w:tcPr>
            <w:tcW w:type="dxa" w:w="1300"/>
            <w:shd w:fill="F2F5FB" w:color="auto" w:val="clear"/>
            <w:tcMar>
              <w:top w:type="dxa" w:w="40"/>
              <w:left w:type="dxa" w:w="90"/>
              <w:bottom w:type="dxa" w:w="40"/>
              <w:right w:type="dxa" w:w="90"/>
            </w:tcMar>
          </w:tcPr>
          <w:p>
            <w:pPr>
              <w:spacing w:after="0" w:line="252"/>
              <w:jc w:val="center"/>
            </w:pPr>
            <w:r>
              <w:rPr>
                <w:rFonts w:ascii="Calibri" w:cs="Calibri" w:eastAsia="Calibri" w:hAnsi="Calibri"/>
                <w:b w:val="false"/>
                <w:bCs w:val="false"/>
                <w:color w:val="595959"/>
                <w:sz w:val="18"/>
                <w:szCs w:val="18"/>
              </w:rPr>
              <w:t xml:space="preserve">Moyenne</w:t>
            </w:r>
          </w:p>
        </w:tc>
        <w:tc>
          <w:tcPr>
            <w:tcW w:type="dxa" w:w="12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−25</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D4, D5</w:t>
            </w:r>
          </w:p>
        </w:tc>
        <w:tc>
          <w:tcPr>
            <w:tcW w:type="dxa" w:w="8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Oui</w:t>
            </w:r>
          </w:p>
        </w:tc>
      </w:tr>
      <w:tr>
        <w:tc>
          <w:tcPr>
            <w:tcW w:type="dxa" w:w="2000"/>
            <w:tcMar>
              <w:top w:type="dxa" w:w="40"/>
              <w:left w:type="dxa" w:w="90"/>
              <w:bottom w:type="dxa" w:w="40"/>
              <w:right w:type="dxa" w:w="90"/>
            </w:tcMar>
          </w:tcPr>
          <w:p>
            <w:pPr>
              <w:spacing w:after="0" w:line="252"/>
            </w:pPr>
            <w:r>
              <w:rPr>
                <w:rFonts w:ascii="Calibri" w:cs="Calibri" w:eastAsia="Calibri" w:hAnsi="Calibri"/>
                <w:b/>
                <w:bCs/>
                <w:sz w:val="17"/>
                <w:szCs w:val="17"/>
              </w:rPr>
              <w:t xml:space="preserve">RF_IMPAYE_90J</w:t>
            </w:r>
          </w:p>
        </w:tc>
        <w:tc>
          <w:tcPr>
            <w:tcW w:type="dxa" w:w="2626"/>
            <w:tcMar>
              <w:top w:type="dxa" w:w="40"/>
              <w:left w:type="dxa" w:w="90"/>
              <w:bottom w:type="dxa" w:w="40"/>
              <w:right w:type="dxa" w:w="90"/>
            </w:tcMar>
          </w:tcPr>
          <w:p>
            <w:pPr>
              <w:spacing w:after="0" w:line="252"/>
            </w:pPr>
            <w:r>
              <w:rPr>
                <w:rFonts w:ascii="Calibri" w:cs="Calibri" w:eastAsia="Calibri" w:hAnsi="Calibri"/>
                <w:sz w:val="18"/>
                <w:szCs w:val="18"/>
              </w:rPr>
              <w:t xml:space="preserve">Impayé ≥ 90 jours</w:t>
            </w:r>
          </w:p>
        </w:tc>
        <w:tc>
          <w:tcPr>
            <w:tcW w:type="dxa" w:w="1300"/>
            <w:tcMar>
              <w:top w:type="dxa" w:w="40"/>
              <w:left w:type="dxa" w:w="90"/>
              <w:bottom w:type="dxa" w:w="40"/>
              <w:right w:type="dxa" w:w="90"/>
            </w:tcMar>
          </w:tcPr>
          <w:p>
            <w:pPr>
              <w:spacing w:after="0" w:line="252"/>
              <w:jc w:val="center"/>
            </w:pPr>
            <w:r>
              <w:rPr>
                <w:rFonts w:ascii="Calibri" w:cs="Calibri" w:eastAsia="Calibri" w:hAnsi="Calibri"/>
                <w:b/>
                <w:bCs/>
                <w:color w:val="C00000"/>
                <w:sz w:val="18"/>
                <w:szCs w:val="18"/>
              </w:rPr>
              <w:t xml:space="preserve">BLOQUANT</w:t>
            </w:r>
          </w:p>
        </w:tc>
        <w:tc>
          <w:tcPr>
            <w:tcW w:type="dxa" w:w="1200"/>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souffrance</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8"/>
                <w:szCs w:val="18"/>
              </w:rPr>
              <w:t xml:space="preserve">D5</w:t>
            </w:r>
          </w:p>
        </w:tc>
        <w:tc>
          <w:tcPr>
            <w:tcW w:type="dxa" w:w="800"/>
            <w:tcMar>
              <w:top w:type="dxa" w:w="40"/>
              <w:left w:type="dxa" w:w="90"/>
              <w:bottom w:type="dxa" w:w="40"/>
              <w:right w:type="dxa" w:w="90"/>
            </w:tcMar>
          </w:tcPr>
          <w:p>
            <w:pPr>
              <w:spacing w:after="0" w:line="252"/>
              <w:jc w:val="center"/>
            </w:pPr>
            <w:r>
              <w:rPr>
                <w:rFonts w:ascii="Calibri" w:cs="Calibri" w:eastAsia="Calibri" w:hAnsi="Calibri"/>
                <w:sz w:val="18"/>
                <w:szCs w:val="18"/>
              </w:rPr>
              <w:t xml:space="preserve">Non</w:t>
            </w:r>
          </w:p>
        </w:tc>
      </w:tr>
      <w:tr>
        <w:tc>
          <w:tcPr>
            <w:tcW w:type="dxa" w:w="2000"/>
            <w:shd w:fill="F2F5FB" w:color="auto" w:val="clear"/>
            <w:tcMar>
              <w:top w:type="dxa" w:w="40"/>
              <w:left w:type="dxa" w:w="90"/>
              <w:bottom w:type="dxa" w:w="40"/>
              <w:right w:type="dxa" w:w="90"/>
            </w:tcMar>
          </w:tcPr>
          <w:p>
            <w:pPr>
              <w:spacing w:after="0" w:line="252"/>
            </w:pPr>
            <w:r>
              <w:rPr>
                <w:rFonts w:ascii="Calibri" w:cs="Calibri" w:eastAsia="Calibri" w:hAnsi="Calibri"/>
                <w:b/>
                <w:bCs/>
                <w:sz w:val="17"/>
                <w:szCs w:val="17"/>
              </w:rPr>
              <w:t xml:space="preserve">RF_PROJET_ARRET_12M</w:t>
            </w:r>
          </w:p>
        </w:tc>
        <w:tc>
          <w:tcPr>
            <w:tcW w:type="dxa" w:w="2626"/>
            <w:shd w:fill="F2F5FB" w:color="auto" w:val="clear"/>
            <w:tcMar>
              <w:top w:type="dxa" w:w="40"/>
              <w:left w:type="dxa" w:w="90"/>
              <w:bottom w:type="dxa" w:w="40"/>
              <w:right w:type="dxa" w:w="90"/>
            </w:tcMar>
          </w:tcPr>
          <w:p>
            <w:pPr>
              <w:spacing w:after="0" w:line="252"/>
            </w:pPr>
            <w:r>
              <w:rPr>
                <w:rFonts w:ascii="Calibri" w:cs="Calibri" w:eastAsia="Calibri" w:hAnsi="Calibri"/>
                <w:sz w:val="18"/>
                <w:szCs w:val="18"/>
              </w:rPr>
              <w:t xml:space="preserve">Projet à l'arrêt ≥ 12 mois</w:t>
            </w:r>
          </w:p>
        </w:tc>
        <w:tc>
          <w:tcPr>
            <w:tcW w:type="dxa" w:w="13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C00000"/>
                <w:sz w:val="18"/>
                <w:szCs w:val="18"/>
              </w:rPr>
              <w:t xml:space="preserve">BLOQUANT</w:t>
            </w:r>
          </w:p>
        </w:tc>
        <w:tc>
          <w:tcPr>
            <w:tcW w:type="dxa" w:w="12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souffrance</w:t>
            </w:r>
          </w:p>
        </w:tc>
        <w:tc>
          <w:tcPr>
            <w:tcW w:type="dxa" w:w="11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D5</w:t>
            </w:r>
          </w:p>
        </w:tc>
        <w:tc>
          <w:tcPr>
            <w:tcW w:type="dxa" w:w="8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Non</w:t>
            </w:r>
          </w:p>
        </w:tc>
      </w:tr>
      <w:tr>
        <w:tc>
          <w:tcPr>
            <w:tcW w:type="dxa" w:w="2000"/>
            <w:tcMar>
              <w:top w:type="dxa" w:w="40"/>
              <w:left w:type="dxa" w:w="90"/>
              <w:bottom w:type="dxa" w:w="40"/>
              <w:right w:type="dxa" w:w="90"/>
            </w:tcMar>
          </w:tcPr>
          <w:p>
            <w:pPr>
              <w:spacing w:after="0" w:line="252"/>
            </w:pPr>
            <w:r>
              <w:rPr>
                <w:rFonts w:ascii="Calibri" w:cs="Calibri" w:eastAsia="Calibri" w:hAnsi="Calibri"/>
                <w:b/>
                <w:bCs/>
                <w:sz w:val="17"/>
                <w:szCs w:val="17"/>
              </w:rPr>
              <w:t xml:space="preserve">RF_LITIGE</w:t>
            </w:r>
          </w:p>
        </w:tc>
        <w:tc>
          <w:tcPr>
            <w:tcW w:type="dxa" w:w="2626"/>
            <w:tcMar>
              <w:top w:type="dxa" w:w="40"/>
              <w:left w:type="dxa" w:w="90"/>
              <w:bottom w:type="dxa" w:w="40"/>
              <w:right w:type="dxa" w:w="90"/>
            </w:tcMar>
          </w:tcPr>
          <w:p>
            <w:pPr>
              <w:spacing w:after="0" w:line="252"/>
            </w:pPr>
            <w:r>
              <w:rPr>
                <w:rFonts w:ascii="Calibri" w:cs="Calibri" w:eastAsia="Calibri" w:hAnsi="Calibri"/>
                <w:sz w:val="18"/>
                <w:szCs w:val="18"/>
              </w:rPr>
              <w:t xml:space="preserve">Action en justice / contentieux (CTX)</w:t>
            </w:r>
          </w:p>
        </w:tc>
        <w:tc>
          <w:tcPr>
            <w:tcW w:type="dxa" w:w="1300"/>
            <w:tcMar>
              <w:top w:type="dxa" w:w="40"/>
              <w:left w:type="dxa" w:w="90"/>
              <w:bottom w:type="dxa" w:w="40"/>
              <w:right w:type="dxa" w:w="90"/>
            </w:tcMar>
          </w:tcPr>
          <w:p>
            <w:pPr>
              <w:spacing w:after="0" w:line="252"/>
              <w:jc w:val="center"/>
            </w:pPr>
            <w:r>
              <w:rPr>
                <w:rFonts w:ascii="Calibri" w:cs="Calibri" w:eastAsia="Calibri" w:hAnsi="Calibri"/>
                <w:b/>
                <w:bCs/>
                <w:color w:val="C00000"/>
                <w:sz w:val="18"/>
                <w:szCs w:val="18"/>
              </w:rPr>
              <w:t xml:space="preserve">BLOQUANT</w:t>
            </w:r>
          </w:p>
        </w:tc>
        <w:tc>
          <w:tcPr>
            <w:tcW w:type="dxa" w:w="1200"/>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souffrance</w:t>
            </w:r>
          </w:p>
        </w:tc>
        <w:tc>
          <w:tcPr>
            <w:tcW w:type="dxa" w:w="1100"/>
            <w:tcMar>
              <w:top w:type="dxa" w:w="40"/>
              <w:left w:type="dxa" w:w="90"/>
              <w:bottom w:type="dxa" w:w="40"/>
              <w:right w:type="dxa" w:w="90"/>
            </w:tcMar>
          </w:tcPr>
          <w:p>
            <w:pPr>
              <w:spacing w:after="0" w:line="252"/>
              <w:jc w:val="center"/>
            </w:pPr>
            <w:r>
              <w:rPr>
                <w:rFonts w:ascii="Calibri" w:cs="Calibri" w:eastAsia="Calibri" w:hAnsi="Calibri"/>
                <w:sz w:val="18"/>
                <w:szCs w:val="18"/>
              </w:rPr>
              <w:t xml:space="preserve">D5</w:t>
            </w:r>
          </w:p>
        </w:tc>
        <w:tc>
          <w:tcPr>
            <w:tcW w:type="dxa" w:w="800"/>
            <w:tcMar>
              <w:top w:type="dxa" w:w="40"/>
              <w:left w:type="dxa" w:w="90"/>
              <w:bottom w:type="dxa" w:w="40"/>
              <w:right w:type="dxa" w:w="90"/>
            </w:tcMar>
          </w:tcPr>
          <w:p>
            <w:pPr>
              <w:spacing w:after="0" w:line="252"/>
              <w:jc w:val="center"/>
            </w:pPr>
            <w:r>
              <w:rPr>
                <w:rFonts w:ascii="Calibri" w:cs="Calibri" w:eastAsia="Calibri" w:hAnsi="Calibri"/>
                <w:sz w:val="18"/>
                <w:szCs w:val="18"/>
              </w:rPr>
              <w:t xml:space="preserve">Non</w:t>
            </w:r>
          </w:p>
        </w:tc>
      </w:tr>
    </w:tbl>
    <w:p>
      <w:pPr>
        <w:spacing w:after="120" w:before="0" w:line="276"/>
      </w:pPr>
      <w:r>
        <w:rPr>
          <w:rFonts w:ascii="Calibri" w:cs="Calibri" w:eastAsia="Calibri" w:hAnsi="Calibri"/>
          <w:b/>
          <w:bCs/>
          <w:sz w:val="21"/>
          <w:szCs w:val="21"/>
        </w:rPr>
        <w:t xml:space="preserve">Déclencheurs de souffrance automatique : </w:t>
      </w:r>
      <w:r>
        <w:rPr>
          <w:rFonts w:ascii="Calibri" w:cs="Calibri" w:eastAsia="Calibri" w:hAnsi="Calibri"/>
          <w:sz w:val="21"/>
          <w:szCs w:val="21"/>
        </w:rPr>
        <w:t xml:space="preserve">impayé ≥ 90 jours, projet à l'arrêt ≥ 12 mois, contentieux/CTX. En classe CTX, le score final est forcé à 0 et la classe interne devient « Souffrance ».</w:t>
      </w:r>
    </w:p>
    <w:p>
      <w:pPr>
        <w:spacing w:after="120" w:before="0" w:line="276"/>
      </w:pPr>
      <w:r>
        <w:rPr>
          <w:rFonts w:ascii="Calibri" w:cs="Calibri" w:eastAsia="Calibri" w:hAnsi="Calibri"/>
          <w:b/>
          <w:bCs/>
          <w:sz w:val="21"/>
          <w:szCs w:val="21"/>
        </w:rPr>
        <w:t xml:space="preserve">Mitigable : </w:t>
      </w:r>
      <w:r>
        <w:rPr>
          <w:rFonts w:ascii="Calibri" w:cs="Calibri" w:eastAsia="Calibri" w:hAnsi="Calibri"/>
          <w:sz w:val="21"/>
          <w:szCs w:val="21"/>
        </w:rPr>
        <w:t xml:space="preserve">indique si le red flag peut être levé par un mitigant documenté (garantie complémentaire, restructuration validée, etc.). Les red flags bloquants ne sont jamais mitigables.</w:t>
      </w:r>
    </w:p>
    <w:p>
      <w:r>
        <w:br w:type="page"/>
      </w:r>
    </w:p>
    <w:p>
      <w:pPr>
        <w:pStyle w:val="Heading1"/>
        <w:spacing w:after="120" w:before="0" w:line="276"/>
      </w:pPr>
      <w:r>
        <w:rPr>
          <w:rFonts w:ascii="Calibri" w:cs="Calibri" w:eastAsia="Calibri" w:hAnsi="Calibri"/>
          <w:sz w:val="21"/>
          <w:szCs w:val="21"/>
        </w:rPr>
        <w:t xml:space="preserve">6. Ajustements et coefficients réglementaires</w:t>
      </w:r>
    </w:p>
    <w:p>
      <w:pPr>
        <w:pStyle w:val="Heading2"/>
        <w:spacing w:after="120" w:before="0" w:line="276"/>
      </w:pPr>
      <w:r>
        <w:rPr>
          <w:rFonts w:ascii="Calibri" w:cs="Calibri" w:eastAsia="Calibri" w:hAnsi="Calibri"/>
          <w:sz w:val="21"/>
          <w:szCs w:val="21"/>
        </w:rPr>
        <w:t xml:space="preserve">6.1 Ajustement par segment (α)</w:t>
      </w:r>
    </w:p>
    <w:p>
      <w:pPr>
        <w:spacing w:after="120" w:before="0" w:line="276"/>
      </w:pPr>
      <w:r>
        <w:rPr>
          <w:rFonts w:ascii="Calibri" w:cs="Calibri" w:eastAsia="Calibri" w:hAnsi="Calibri"/>
          <w:sz w:val="21"/>
          <w:szCs w:val="21"/>
        </w:rPr>
        <w:t xml:space="preserve">Le score économique est modulé selon le segment de marché du projet. Un coefficient négatif traduit un risque intrinsèque plus élevé du segment.</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5026"/>
        <w:gridCol w:w="4000"/>
      </w:tblGrid>
      <w:tr>
        <w:trPr>
          <w:tblHeader/>
        </w:trPr>
        <w:tc>
          <w:tcPr>
            <w:tcW w:type="dxa" w:w="50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Segment</w:t>
            </w:r>
          </w:p>
        </w:tc>
        <w:tc>
          <w:tcPr>
            <w:tcW w:type="dxa" w:w="40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Ajustement α</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Logement social</w:t>
            </w:r>
          </w:p>
        </w:tc>
        <w:tc>
          <w:tcPr>
            <w:tcW w:type="dxa" w:w="4000"/>
            <w:tcMar>
              <w:top w:type="dxa" w:w="40"/>
              <w:left w:type="dxa" w:w="90"/>
              <w:bottom w:type="dxa" w:w="40"/>
              <w:right w:type="dxa" w:w="90"/>
            </w:tcMar>
          </w:tcPr>
          <w:p>
            <w:pPr>
              <w:spacing w:after="0" w:line="252"/>
              <w:jc w:val="center"/>
            </w:pPr>
            <w:r>
              <w:rPr>
                <w:rFonts w:ascii="Calibri" w:cs="Calibri" w:eastAsia="Calibri" w:hAnsi="Calibri"/>
                <w:sz w:val="19"/>
                <w:szCs w:val="19"/>
              </w:rPr>
              <w:t xml:space="preserve">0 %</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Intermédiaire</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−5 %</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Moyen / haut standing</w:t>
            </w:r>
          </w:p>
        </w:tc>
        <w:tc>
          <w:tcPr>
            <w:tcW w:type="dxa" w:w="4000"/>
            <w:tcMar>
              <w:top w:type="dxa" w:w="40"/>
              <w:left w:type="dxa" w:w="90"/>
              <w:bottom w:type="dxa" w:w="40"/>
              <w:right w:type="dxa" w:w="90"/>
            </w:tcMar>
          </w:tcPr>
          <w:p>
            <w:pPr>
              <w:spacing w:after="0" w:line="252"/>
              <w:jc w:val="center"/>
            </w:pPr>
            <w:r>
              <w:rPr>
                <w:rFonts w:ascii="Calibri" w:cs="Calibri" w:eastAsia="Calibri" w:hAnsi="Calibri"/>
                <w:sz w:val="19"/>
                <w:szCs w:val="19"/>
              </w:rPr>
              <w:t xml:space="preserve">0 %</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Touristique</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C00000"/>
                <w:sz w:val="19"/>
                <w:szCs w:val="19"/>
              </w:rPr>
              <w:t xml:space="preserve">−7 %</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Bureaux</w:t>
            </w:r>
          </w:p>
        </w:tc>
        <w:tc>
          <w:tcPr>
            <w:tcW w:type="dxa" w:w="4000"/>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−5 %</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Commerces</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−3 %</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Villas</w:t>
            </w:r>
          </w:p>
        </w:tc>
        <w:tc>
          <w:tcPr>
            <w:tcW w:type="dxa" w:w="4000"/>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−4 %</w:t>
            </w:r>
          </w:p>
        </w:tc>
      </w:tr>
    </w:tbl>
    <w:p>
      <w:pPr>
        <w:pStyle w:val="Heading2"/>
        <w:spacing w:after="120" w:before="0" w:line="276"/>
      </w:pPr>
      <w:r>
        <w:rPr>
          <w:rFonts w:ascii="Calibri" w:cs="Calibri" w:eastAsia="Calibri" w:hAnsi="Calibri"/>
          <w:sz w:val="21"/>
          <w:szCs w:val="21"/>
        </w:rPr>
        <w:t xml:space="preserve">6.2 Ajustement par zone géographique (β)</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5026"/>
        <w:gridCol w:w="4000"/>
      </w:tblGrid>
      <w:tr>
        <w:trPr>
          <w:tblHeader/>
        </w:trPr>
        <w:tc>
          <w:tcPr>
            <w:tcW w:type="dxa" w:w="50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Zone</w:t>
            </w:r>
          </w:p>
        </w:tc>
        <w:tc>
          <w:tcPr>
            <w:tcW w:type="dxa" w:w="40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Ajustement β</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Casablanca centre</w:t>
            </w:r>
          </w:p>
        </w:tc>
        <w:tc>
          <w:tcPr>
            <w:tcW w:type="dxa" w:w="4000"/>
            <w:tcMar>
              <w:top w:type="dxa" w:w="40"/>
              <w:left w:type="dxa" w:w="90"/>
              <w:bottom w:type="dxa" w:w="40"/>
              <w:right w:type="dxa" w:w="90"/>
            </w:tcMar>
          </w:tcPr>
          <w:p>
            <w:pPr>
              <w:spacing w:after="0" w:line="252"/>
              <w:jc w:val="center"/>
            </w:pPr>
            <w:r>
              <w:rPr>
                <w:rFonts w:ascii="Calibri" w:cs="Calibri" w:eastAsia="Calibri" w:hAnsi="Calibri"/>
                <w:sz w:val="19"/>
                <w:szCs w:val="19"/>
              </w:rPr>
              <w:t xml:space="preserve">0 %</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Casablanca périphérie</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−5 %</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Rabat centre</w:t>
            </w:r>
          </w:p>
        </w:tc>
        <w:tc>
          <w:tcPr>
            <w:tcW w:type="dxa" w:w="4000"/>
            <w:tcMar>
              <w:top w:type="dxa" w:w="40"/>
              <w:left w:type="dxa" w:w="90"/>
              <w:bottom w:type="dxa" w:w="40"/>
              <w:right w:type="dxa" w:w="90"/>
            </w:tcMar>
          </w:tcPr>
          <w:p>
            <w:pPr>
              <w:spacing w:after="0" w:line="252"/>
              <w:jc w:val="center"/>
            </w:pPr>
            <w:r>
              <w:rPr>
                <w:rFonts w:ascii="Calibri" w:cs="Calibri" w:eastAsia="Calibri" w:hAnsi="Calibri"/>
                <w:color w:val="548235"/>
                <w:sz w:val="19"/>
                <w:szCs w:val="19"/>
              </w:rPr>
              <w:t xml:space="preserve">+2 %</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Rabat périphérie</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0 %</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Tanger</w:t>
            </w:r>
          </w:p>
        </w:tc>
        <w:tc>
          <w:tcPr>
            <w:tcW w:type="dxa" w:w="4000"/>
            <w:tcMar>
              <w:top w:type="dxa" w:w="40"/>
              <w:left w:type="dxa" w:w="90"/>
              <w:bottom w:type="dxa" w:w="40"/>
              <w:right w:type="dxa" w:w="90"/>
            </w:tcMar>
          </w:tcPr>
          <w:p>
            <w:pPr>
              <w:spacing w:after="0" w:line="252"/>
              <w:jc w:val="center"/>
            </w:pPr>
            <w:r>
              <w:rPr>
                <w:rFonts w:ascii="Calibri" w:cs="Calibri" w:eastAsia="Calibri" w:hAnsi="Calibri"/>
                <w:sz w:val="19"/>
                <w:szCs w:val="19"/>
              </w:rPr>
              <w:t xml:space="preserve">0 %</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Marrakech</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C00000"/>
                <w:sz w:val="19"/>
                <w:szCs w:val="19"/>
              </w:rPr>
              <w:t xml:space="preserve">−7 %</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Agadir</w:t>
            </w:r>
          </w:p>
        </w:tc>
        <w:tc>
          <w:tcPr>
            <w:tcW w:type="dxa" w:w="4000"/>
            <w:tcMar>
              <w:top w:type="dxa" w:w="40"/>
              <w:left w:type="dxa" w:w="90"/>
              <w:bottom w:type="dxa" w:w="40"/>
              <w:right w:type="dxa" w:w="90"/>
            </w:tcMar>
          </w:tcPr>
          <w:p>
            <w:pPr>
              <w:spacing w:after="0" w:line="252"/>
              <w:jc w:val="center"/>
            </w:pPr>
            <w:r>
              <w:rPr>
                <w:rFonts w:ascii="Calibri" w:cs="Calibri" w:eastAsia="Calibri" w:hAnsi="Calibri"/>
                <w:sz w:val="19"/>
                <w:szCs w:val="19"/>
              </w:rPr>
              <w:t xml:space="preserve">0 %</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Fès / Oriental</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−3 %</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Régions intérieures</w:t>
            </w:r>
          </w:p>
        </w:tc>
        <w:tc>
          <w:tcPr>
            <w:tcW w:type="dxa" w:w="4000"/>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−5 %</w:t>
            </w:r>
          </w:p>
        </w:tc>
      </w:tr>
    </w:tbl>
    <w:p>
      <w:pPr>
        <w:pStyle w:val="Heading2"/>
        <w:spacing w:after="120" w:before="0" w:line="276"/>
      </w:pPr>
      <w:r>
        <w:rPr>
          <w:rFonts w:ascii="Calibri" w:cs="Calibri" w:eastAsia="Calibri" w:hAnsi="Calibri"/>
          <w:sz w:val="21"/>
          <w:szCs w:val="21"/>
        </w:rPr>
        <w:t xml:space="preserve">6.3 Coefficients réglementaires BAM (par classe)</w:t>
      </w:r>
    </w:p>
    <w:p>
      <w:pPr>
        <w:spacing w:after="120" w:before="0" w:line="276"/>
      </w:pPr>
      <w:r>
        <w:rPr>
          <w:rFonts w:ascii="Calibri" w:cs="Calibri" w:eastAsia="Calibri" w:hAnsi="Calibri"/>
          <w:sz w:val="21"/>
          <w:szCs w:val="21"/>
        </w:rPr>
        <w:t xml:space="preserve">Après application des malus, le score est pondéré par un coefficient dépendant de la classe réglementaire Bank Al-Maghrib. Ce coefficient traduit la dégradation réglementaire de la créance.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5026"/>
        <w:gridCol w:w="4000"/>
      </w:tblGrid>
      <w:tr>
        <w:trPr>
          <w:tblHeader/>
        </w:trPr>
        <w:tc>
          <w:tcPr>
            <w:tcW w:type="dxa" w:w="50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Classe réglementaire</w:t>
            </w:r>
          </w:p>
        </w:tc>
        <w:tc>
          <w:tcPr>
            <w:tcW w:type="dxa" w:w="40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Coefficient</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SAIN</w:t>
            </w:r>
          </w:p>
        </w:tc>
        <w:tc>
          <w:tcPr>
            <w:tcW w:type="dxa" w:w="4000"/>
            <w:tcMar>
              <w:top w:type="dxa" w:w="40"/>
              <w:left w:type="dxa" w:w="90"/>
              <w:bottom w:type="dxa" w:w="40"/>
              <w:right w:type="dxa" w:w="90"/>
            </w:tcMar>
          </w:tcPr>
          <w:p>
            <w:pPr>
              <w:spacing w:after="0" w:line="252"/>
              <w:jc w:val="center"/>
            </w:pPr>
            <w:r>
              <w:rPr>
                <w:rFonts w:ascii="Calibri" w:cs="Calibri" w:eastAsia="Calibri" w:hAnsi="Calibri"/>
                <w:color w:val="548235"/>
                <w:sz w:val="19"/>
                <w:szCs w:val="19"/>
              </w:rPr>
              <w:t xml:space="preserve">1,00</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SENSIBLE</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sz w:val="19"/>
                <w:szCs w:val="19"/>
              </w:rPr>
              <w:t xml:space="preserve">0,90</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PRÉ-DOUTEUX</w:t>
            </w:r>
          </w:p>
        </w:tc>
        <w:tc>
          <w:tcPr>
            <w:tcW w:type="dxa" w:w="4000"/>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0,70</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DOUTEUX</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BF8F00"/>
                <w:sz w:val="19"/>
                <w:szCs w:val="19"/>
              </w:rPr>
              <w:t xml:space="preserve">0,40</w:t>
            </w:r>
          </w:p>
        </w:tc>
      </w:tr>
      <w:tr>
        <w:tc>
          <w:tcPr>
            <w:tcW w:type="dxa" w:w="5026"/>
            <w:tcMar>
              <w:top w:type="dxa" w:w="40"/>
              <w:left w:type="dxa" w:w="90"/>
              <w:bottom w:type="dxa" w:w="40"/>
              <w:right w:type="dxa" w:w="90"/>
            </w:tcMar>
          </w:tcPr>
          <w:p>
            <w:pPr>
              <w:spacing w:after="0" w:line="252"/>
              <w:jc w:val="left"/>
            </w:pPr>
            <w:r>
              <w:rPr>
                <w:rFonts w:ascii="Calibri" w:cs="Calibri" w:eastAsia="Calibri" w:hAnsi="Calibri"/>
                <w:sz w:val="19"/>
                <w:szCs w:val="19"/>
              </w:rPr>
              <w:t xml:space="preserve">COMPROMIS</w:t>
            </w:r>
          </w:p>
        </w:tc>
        <w:tc>
          <w:tcPr>
            <w:tcW w:type="dxa" w:w="4000"/>
            <w:tcMar>
              <w:top w:type="dxa" w:w="40"/>
              <w:left w:type="dxa" w:w="90"/>
              <w:bottom w:type="dxa" w:w="40"/>
              <w:right w:type="dxa" w:w="90"/>
            </w:tcMar>
          </w:tcPr>
          <w:p>
            <w:pPr>
              <w:spacing w:after="0" w:line="252"/>
              <w:jc w:val="center"/>
            </w:pPr>
            <w:r>
              <w:rPr>
                <w:rFonts w:ascii="Calibri" w:cs="Calibri" w:eastAsia="Calibri" w:hAnsi="Calibri"/>
                <w:color w:val="C00000"/>
                <w:sz w:val="19"/>
                <w:szCs w:val="19"/>
              </w:rPr>
              <w:t xml:space="preserve">0,20</w:t>
            </w:r>
          </w:p>
        </w:tc>
      </w:tr>
      <w:tr>
        <w:tc>
          <w:tcPr>
            <w:tcW w:type="dxa" w:w="5026"/>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CTX (contentieux)</w:t>
            </w:r>
          </w:p>
        </w:tc>
        <w:tc>
          <w:tcPr>
            <w:tcW w:type="dxa" w:w="40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C00000"/>
                <w:sz w:val="19"/>
                <w:szCs w:val="19"/>
              </w:rPr>
              <w:t xml:space="preserve">0,00</w:t>
            </w:r>
          </w:p>
        </w:tc>
      </w:tr>
    </w:tbl>
    <w:p>
      <w:r>
        <w:br w:type="page"/>
      </w:r>
    </w:p>
    <w:p>
      <w:pPr>
        <w:pStyle w:val="Heading1"/>
        <w:spacing w:after="120" w:before="0" w:line="276"/>
      </w:pPr>
      <w:r>
        <w:rPr>
          <w:rFonts w:ascii="Calibri" w:cs="Calibri" w:eastAsia="Calibri" w:hAnsi="Calibri"/>
          <w:sz w:val="21"/>
          <w:szCs w:val="21"/>
        </w:rPr>
        <w:t xml:space="preserve">7. Décision et classe interne</w:t>
      </w:r>
    </w:p>
    <w:p>
      <w:pPr>
        <w:spacing w:after="120" w:before="0" w:line="276"/>
      </w:pPr>
      <w:r>
        <w:rPr>
          <w:rFonts w:ascii="Calibri" w:cs="Calibri" w:eastAsia="Calibri" w:hAnsi="Calibri"/>
          <w:sz w:val="21"/>
          <w:szCs w:val="21"/>
        </w:rPr>
        <w:t xml:space="preserve">Le score final (0 à 100) est traduit en décision d'octroi et en classe interne de risque selon les seuils suivants. Les règles bloquantes (gate, souffrance, CTX) priment sur ces seuils.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2200"/>
        <w:gridCol w:w="3626"/>
        <w:gridCol w:w="3200"/>
      </w:tblGrid>
      <w:tr>
        <w:trPr>
          <w:tblHeader/>
        </w:trPr>
        <w:tc>
          <w:tcPr>
            <w:tcW w:type="dxa" w:w="22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Score final</w:t>
            </w:r>
          </w:p>
        </w:tc>
        <w:tc>
          <w:tcPr>
            <w:tcW w:type="dxa" w:w="3626"/>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Décision</w:t>
            </w:r>
          </w:p>
        </w:tc>
        <w:tc>
          <w:tcPr>
            <w:tcW w:type="dxa" w:w="3200"/>
            <w:shd w:fill="2E5496" w:color="auto" w:val="clear"/>
            <w:tcMar>
              <w:top w:type="dxa" w:w="40"/>
              <w:left w:type="dxa" w:w="90"/>
              <w:bottom w:type="dxa" w:w="40"/>
              <w:right w:type="dxa" w:w="90"/>
            </w:tcMar>
          </w:tcPr>
          <w:p>
            <w:pPr>
              <w:spacing w:after="0" w:line="252"/>
              <w:jc w:val="left"/>
            </w:pPr>
            <w:r>
              <w:rPr>
                <w:rFonts w:ascii="Calibri" w:cs="Calibri" w:eastAsia="Calibri" w:hAnsi="Calibri"/>
                <w:b/>
                <w:bCs/>
                <w:color w:val="FFFFFF"/>
                <w:sz w:val="19"/>
                <w:szCs w:val="19"/>
              </w:rPr>
              <w:t xml:space="preserve">Classe interne</w:t>
            </w:r>
          </w:p>
        </w:tc>
      </w:tr>
      <w:tr>
        <w:tc>
          <w:tcPr>
            <w:tcW w:type="dxa" w:w="2200"/>
            <w:tcMar>
              <w:top w:type="dxa" w:w="40"/>
              <w:left w:type="dxa" w:w="90"/>
              <w:bottom w:type="dxa" w:w="40"/>
              <w:right w:type="dxa" w:w="90"/>
            </w:tcMar>
          </w:tcPr>
          <w:p>
            <w:pPr>
              <w:spacing w:after="0" w:line="252"/>
              <w:jc w:val="center"/>
            </w:pPr>
            <w:r>
              <w:rPr>
                <w:rFonts w:ascii="Calibri" w:cs="Calibri" w:eastAsia="Calibri" w:hAnsi="Calibri"/>
                <w:b/>
                <w:bCs/>
                <w:color w:val="548235"/>
                <w:sz w:val="19"/>
                <w:szCs w:val="19"/>
              </w:rPr>
              <w:t xml:space="preserve">≥ 75</w:t>
            </w:r>
          </w:p>
        </w:tc>
        <w:tc>
          <w:tcPr>
            <w:tcW w:type="dxa" w:w="3626"/>
            <w:tcMar>
              <w:top w:type="dxa" w:w="40"/>
              <w:left w:type="dxa" w:w="90"/>
              <w:bottom w:type="dxa" w:w="40"/>
              <w:right w:type="dxa" w:w="90"/>
            </w:tcMar>
          </w:tcPr>
          <w:p>
            <w:pPr>
              <w:spacing w:after="0" w:line="252"/>
            </w:pPr>
            <w:r>
              <w:rPr>
                <w:rFonts w:ascii="Calibri" w:cs="Calibri" w:eastAsia="Calibri" w:hAnsi="Calibri"/>
                <w:b/>
                <w:bCs/>
                <w:color w:val="548235"/>
                <w:sz w:val="19"/>
                <w:szCs w:val="19"/>
              </w:rPr>
              <w:t xml:space="preserve">GO</w:t>
            </w:r>
          </w:p>
        </w:tc>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Sain</w:t>
            </w:r>
          </w:p>
        </w:tc>
      </w:tr>
      <w:tr>
        <w:tc>
          <w:tcPr>
            <w:tcW w:type="dxa" w:w="2200"/>
            <w:shd w:fill="F2F5FB" w:color="auto" w:val="clear"/>
            <w:tcMar>
              <w:top w:type="dxa" w:w="40"/>
              <w:left w:type="dxa" w:w="90"/>
              <w:bottom w:type="dxa" w:w="40"/>
              <w:right w:type="dxa" w:w="90"/>
            </w:tcMar>
          </w:tcPr>
          <w:p>
            <w:pPr>
              <w:spacing w:after="0" w:line="252"/>
              <w:jc w:val="center"/>
            </w:pPr>
            <w:r>
              <w:rPr>
                <w:rFonts w:ascii="Calibri" w:cs="Calibri" w:eastAsia="Calibri" w:hAnsi="Calibri"/>
                <w:b/>
                <w:bCs/>
                <w:sz w:val="19"/>
                <w:szCs w:val="19"/>
              </w:rPr>
              <w:t xml:space="preserve">65 à 74</w:t>
            </w:r>
          </w:p>
        </w:tc>
        <w:tc>
          <w:tcPr>
            <w:tcW w:type="dxa" w:w="3626"/>
            <w:shd w:fill="F2F5FB" w:color="auto" w:val="clear"/>
            <w:tcMar>
              <w:top w:type="dxa" w:w="40"/>
              <w:left w:type="dxa" w:w="90"/>
              <w:bottom w:type="dxa" w:w="40"/>
              <w:right w:type="dxa" w:w="90"/>
            </w:tcMar>
          </w:tcPr>
          <w:p>
            <w:pPr>
              <w:spacing w:after="0" w:line="252"/>
            </w:pPr>
            <w:r>
              <w:rPr>
                <w:rFonts w:ascii="Calibri" w:cs="Calibri" w:eastAsia="Calibri" w:hAnsi="Calibri"/>
                <w:b/>
                <w:bCs/>
                <w:sz w:val="19"/>
                <w:szCs w:val="19"/>
              </w:rPr>
              <w:t xml:space="preserve">GO sous conditions</w:t>
            </w:r>
          </w:p>
        </w:tc>
        <w:tc>
          <w:tcPr>
            <w:tcW w:type="dxa" w:w="32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Surveillance</w:t>
            </w:r>
          </w:p>
        </w:tc>
      </w:tr>
      <w:tr>
        <w:tc>
          <w:tcPr>
            <w:tcW w:type="dxa" w:w="2200"/>
            <w:tcMar>
              <w:top w:type="dxa" w:w="40"/>
              <w:left w:type="dxa" w:w="90"/>
              <w:bottom w:type="dxa" w:w="40"/>
              <w:right w:type="dxa" w:w="90"/>
            </w:tcMar>
          </w:tcPr>
          <w:p>
            <w:pPr>
              <w:spacing w:after="0" w:line="252"/>
              <w:jc w:val="center"/>
            </w:pPr>
            <w:r>
              <w:rPr>
                <w:rFonts w:ascii="Calibri" w:cs="Calibri" w:eastAsia="Calibri" w:hAnsi="Calibri"/>
                <w:b/>
                <w:bCs/>
                <w:color w:val="BF8F00"/>
                <w:sz w:val="19"/>
                <w:szCs w:val="19"/>
              </w:rPr>
              <w:t xml:space="preserve">50 à 64</w:t>
            </w:r>
          </w:p>
        </w:tc>
        <w:tc>
          <w:tcPr>
            <w:tcW w:type="dxa" w:w="3626"/>
            <w:tcMar>
              <w:top w:type="dxa" w:w="40"/>
              <w:left w:type="dxa" w:w="90"/>
              <w:bottom w:type="dxa" w:w="40"/>
              <w:right w:type="dxa" w:w="90"/>
            </w:tcMar>
          </w:tcPr>
          <w:p>
            <w:pPr>
              <w:spacing w:after="0" w:line="252"/>
            </w:pPr>
            <w:r>
              <w:rPr>
                <w:rFonts w:ascii="Calibri" w:cs="Calibri" w:eastAsia="Calibri" w:hAnsi="Calibri"/>
                <w:b/>
                <w:bCs/>
                <w:color w:val="BF8F00"/>
                <w:sz w:val="19"/>
                <w:szCs w:val="19"/>
              </w:rPr>
              <w:t xml:space="preserve">Watch list</w:t>
            </w:r>
          </w:p>
        </w:tc>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Sensible probable</w:t>
            </w:r>
          </w:p>
        </w:tc>
      </w:tr>
      <w:tr>
        <w:tc>
          <w:tcPr>
            <w:tcW w:type="dxa" w:w="22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C00000"/>
                <w:sz w:val="19"/>
                <w:szCs w:val="19"/>
              </w:rPr>
              <w:t xml:space="preserve">&lt; 50</w:t>
            </w:r>
          </w:p>
        </w:tc>
        <w:tc>
          <w:tcPr>
            <w:tcW w:type="dxa" w:w="3626"/>
            <w:shd w:fill="F2F5FB" w:color="auto" w:val="clear"/>
            <w:tcMar>
              <w:top w:type="dxa" w:w="40"/>
              <w:left w:type="dxa" w:w="90"/>
              <w:bottom w:type="dxa" w:w="40"/>
              <w:right w:type="dxa" w:w="90"/>
            </w:tcMar>
          </w:tcPr>
          <w:p>
            <w:pPr>
              <w:spacing w:after="0" w:line="252"/>
            </w:pPr>
            <w:r>
              <w:rPr>
                <w:rFonts w:ascii="Calibri" w:cs="Calibri" w:eastAsia="Calibri" w:hAnsi="Calibri"/>
                <w:b/>
                <w:bCs/>
                <w:color w:val="C00000"/>
                <w:sz w:val="19"/>
                <w:szCs w:val="19"/>
              </w:rPr>
              <w:t xml:space="preserve">NO-GO</w:t>
            </w:r>
          </w:p>
        </w:tc>
        <w:tc>
          <w:tcPr>
            <w:tcW w:type="dxa" w:w="3200"/>
            <w:shd w:fill="F2F5FB" w:color="auto" w:val="clear"/>
            <w:tcMar>
              <w:top w:type="dxa" w:w="40"/>
              <w:left w:type="dxa" w:w="90"/>
              <w:bottom w:type="dxa" w:w="40"/>
              <w:right w:type="dxa" w:w="90"/>
            </w:tcMar>
          </w:tcPr>
          <w:p>
            <w:pPr>
              <w:spacing w:after="0" w:line="252"/>
              <w:jc w:val="left"/>
            </w:pPr>
            <w:r>
              <w:rPr>
                <w:rFonts w:ascii="Calibri" w:cs="Calibri" w:eastAsia="Calibri" w:hAnsi="Calibri"/>
                <w:sz w:val="19"/>
                <w:szCs w:val="19"/>
              </w:rPr>
              <w:t xml:space="preserve">Sensible</w:t>
            </w:r>
          </w:p>
        </w:tc>
      </w:tr>
      <w:tr>
        <w:tc>
          <w:tcPr>
            <w:tcW w:type="dxa" w:w="2200"/>
            <w:tcMar>
              <w:top w:type="dxa" w:w="40"/>
              <w:left w:type="dxa" w:w="90"/>
              <w:bottom w:type="dxa" w:w="40"/>
              <w:right w:type="dxa" w:w="90"/>
            </w:tcMar>
          </w:tcPr>
          <w:p>
            <w:pPr>
              <w:spacing w:after="0" w:line="252"/>
              <w:jc w:val="center"/>
            </w:pPr>
            <w:r>
              <w:rPr>
                <w:rFonts w:ascii="Calibri" w:cs="Calibri" w:eastAsia="Calibri" w:hAnsi="Calibri"/>
                <w:b/>
                <w:bCs/>
                <w:color w:val="C00000"/>
                <w:sz w:val="19"/>
                <w:szCs w:val="19"/>
              </w:rPr>
              <w:t xml:space="preserve">Règle bloquante</w:t>
            </w:r>
          </w:p>
        </w:tc>
        <w:tc>
          <w:tcPr>
            <w:tcW w:type="dxa" w:w="3626"/>
            <w:tcMar>
              <w:top w:type="dxa" w:w="40"/>
              <w:left w:type="dxa" w:w="90"/>
              <w:bottom w:type="dxa" w:w="40"/>
              <w:right w:type="dxa" w:w="90"/>
            </w:tcMar>
          </w:tcPr>
          <w:p>
            <w:pPr>
              <w:spacing w:after="0" w:line="252"/>
            </w:pPr>
            <w:r>
              <w:rPr>
                <w:rFonts w:ascii="Calibri" w:cs="Calibri" w:eastAsia="Calibri" w:hAnsi="Calibri"/>
                <w:b/>
                <w:bCs/>
                <w:color w:val="C00000"/>
                <w:sz w:val="19"/>
                <w:szCs w:val="19"/>
              </w:rPr>
              <w:t xml:space="preserve">NO-GO</w:t>
            </w:r>
          </w:p>
        </w:tc>
        <w:tc>
          <w:tcPr>
            <w:tcW w:type="dxa" w:w="3200"/>
            <w:tcMar>
              <w:top w:type="dxa" w:w="40"/>
              <w:left w:type="dxa" w:w="90"/>
              <w:bottom w:type="dxa" w:w="40"/>
              <w:right w:type="dxa" w:w="90"/>
            </w:tcMar>
          </w:tcPr>
          <w:p>
            <w:pPr>
              <w:spacing w:after="0" w:line="252"/>
              <w:jc w:val="left"/>
            </w:pPr>
            <w:r>
              <w:rPr>
                <w:rFonts w:ascii="Calibri" w:cs="Calibri" w:eastAsia="Calibri" w:hAnsi="Calibri"/>
                <w:sz w:val="19"/>
                <w:szCs w:val="19"/>
              </w:rPr>
              <w:t xml:space="preserve">Souffrance</w:t>
            </w:r>
          </w:p>
        </w:tc>
      </w:tr>
    </w:tbl>
    <w:p>
      <w:pPr>
        <w:pStyle w:val="Heading2"/>
        <w:spacing w:after="120" w:before="0" w:line="276"/>
      </w:pPr>
      <w:r>
        <w:rPr>
          <w:rFonts w:ascii="Calibri" w:cs="Calibri" w:eastAsia="Calibri" w:hAnsi="Calibri"/>
          <w:sz w:val="21"/>
          <w:szCs w:val="21"/>
        </w:rPr>
        <w:t xml:space="preserve">7.1 Priorité des règles bloquantes</w:t>
      </w:r>
    </w:p>
    <w:p>
      <w:pPr>
        <w:pStyle w:val="ListParagraph"/>
        <w:numPr>
          <w:ilvl w:val="0"/>
          <w:numId w:val="2"/>
        </w:numPr>
        <w:spacing w:after="60" w:line="276"/>
      </w:pPr>
      <w:r>
        <w:rPr>
          <w:rFonts w:ascii="Calibri" w:cs="Calibri" w:eastAsia="Calibri" w:hAnsi="Calibri"/>
          <w:b/>
          <w:bCs/>
          <w:sz w:val="21"/>
          <w:szCs w:val="21"/>
        </w:rPr>
        <w:t xml:space="preserve">Classe CTX ou blocage réglementaire : </w:t>
      </w:r>
      <w:r>
        <w:rPr>
          <w:rFonts w:ascii="Calibri" w:cs="Calibri" w:eastAsia="Calibri" w:hAnsi="Calibri"/>
          <w:sz w:val="21"/>
          <w:szCs w:val="21"/>
        </w:rPr>
        <w:t xml:space="preserve">score final forcé à 0, décision NO-GO, classe « Souffrance ».</w:t>
      </w:r>
    </w:p>
    <w:p>
      <w:pPr>
        <w:pStyle w:val="ListParagraph"/>
        <w:numPr>
          <w:ilvl w:val="0"/>
          <w:numId w:val="2"/>
        </w:numPr>
        <w:spacing w:after="60" w:line="276"/>
      </w:pPr>
      <w:r>
        <w:rPr>
          <w:rFonts w:ascii="Calibri" w:cs="Calibri" w:eastAsia="Calibri" w:hAnsi="Calibri"/>
          <w:b/>
          <w:bCs/>
          <w:sz w:val="21"/>
          <w:szCs w:val="21"/>
        </w:rPr>
        <w:t xml:space="preserve">Souffrance déclenchée (red flag bloquant) : </w:t>
      </w:r>
      <w:r>
        <w:rPr>
          <w:rFonts w:ascii="Calibri" w:cs="Calibri" w:eastAsia="Calibri" w:hAnsi="Calibri"/>
          <w:sz w:val="21"/>
          <w:szCs w:val="21"/>
        </w:rPr>
        <w:t xml:space="preserve">décision NO-GO, classe « Souffrance ».</w:t>
      </w:r>
    </w:p>
    <w:p>
      <w:pPr>
        <w:pStyle w:val="ListParagraph"/>
        <w:numPr>
          <w:ilvl w:val="0"/>
          <w:numId w:val="2"/>
        </w:numPr>
        <w:spacing w:after="60" w:line="276"/>
      </w:pPr>
      <w:r>
        <w:rPr>
          <w:rFonts w:ascii="Calibri" w:cs="Calibri" w:eastAsia="Calibri" w:hAnsi="Calibri"/>
          <w:b/>
          <w:bCs/>
          <w:sz w:val="21"/>
          <w:szCs w:val="21"/>
        </w:rPr>
        <w:t xml:space="preserve">Gate franchi (D1C6 ou D2C1) : </w:t>
      </w:r>
      <w:r>
        <w:rPr>
          <w:rFonts w:ascii="Calibri" w:cs="Calibri" w:eastAsia="Calibri" w:hAnsi="Calibri"/>
          <w:sz w:val="21"/>
          <w:szCs w:val="21"/>
        </w:rPr>
        <w:t xml:space="preserve">décision NO-GO, la classe interne reste calculée à partir du score.</w:t>
      </w:r>
    </w:p>
    <w:p>
      <w:pPr>
        <w:pStyle w:val="ListParagraph"/>
        <w:numPr>
          <w:ilvl w:val="0"/>
          <w:numId w:val="2"/>
        </w:numPr>
        <w:spacing w:after="60" w:line="276"/>
      </w:pPr>
      <w:r>
        <w:rPr>
          <w:rFonts w:ascii="Calibri" w:cs="Calibri" w:eastAsia="Calibri" w:hAnsi="Calibri"/>
          <w:b/>
          <w:bCs/>
          <w:sz w:val="21"/>
          <w:szCs w:val="21"/>
        </w:rPr>
        <w:t xml:space="preserve">Sinon : </w:t>
      </w:r>
      <w:r>
        <w:rPr>
          <w:rFonts w:ascii="Calibri" w:cs="Calibri" w:eastAsia="Calibri" w:hAnsi="Calibri"/>
          <w:sz w:val="21"/>
          <w:szCs w:val="21"/>
        </w:rPr>
        <w:t xml:space="preserve">décision et classe déterminées par les seuils ci-dessus.</w:t>
      </w:r>
    </w:p>
    <w:p>
      <w:pPr>
        <w:pStyle w:val="Heading1"/>
        <w:spacing w:after="120" w:before="0" w:line="276"/>
      </w:pPr>
      <w:r>
        <w:rPr>
          <w:rFonts w:ascii="Calibri" w:cs="Calibri" w:eastAsia="Calibri" w:hAnsi="Calibri"/>
          <w:sz w:val="21"/>
          <w:szCs w:val="21"/>
        </w:rPr>
        <w:t xml:space="preserve">8. Gouvernance et paramétrabilité</w:t>
      </w:r>
    </w:p>
    <w:p>
      <w:pPr>
        <w:spacing w:after="120" w:before="0" w:line="276"/>
      </w:pPr>
      <w:r>
        <w:rPr>
          <w:rFonts w:ascii="Calibri" w:cs="Calibri" w:eastAsia="Calibri" w:hAnsi="Calibri"/>
          <w:sz w:val="21"/>
          <w:szCs w:val="21"/>
        </w:rPr>
        <w:t xml:space="preserve">L'ensemble des paramètres décrits dans ce document est stocké en base de données et administrable via le Model Builder de l'outil, sans intervention sur le code. Le cycle de vie d'une version est gouverné :</w:t>
      </w:r>
    </w:p>
    <w:p>
      <w:pPr>
        <w:pStyle w:val="ListParagraph"/>
        <w:numPr>
          <w:ilvl w:val="0"/>
          <w:numId w:val="2"/>
        </w:numPr>
        <w:spacing w:after="60" w:line="276"/>
      </w:pPr>
      <w:r>
        <w:rPr>
          <w:rFonts w:ascii="Calibri" w:cs="Calibri" w:eastAsia="Calibri" w:hAnsi="Calibri"/>
          <w:b/>
          <w:bCs/>
          <w:sz w:val="21"/>
          <w:szCs w:val="21"/>
        </w:rPr>
        <w:t xml:space="preserve">Brouillon : </w:t>
      </w:r>
      <w:r>
        <w:rPr>
          <w:rFonts w:ascii="Calibri" w:cs="Calibri" w:eastAsia="Calibri" w:hAnsi="Calibri"/>
          <w:sz w:val="21"/>
          <w:szCs w:val="21"/>
        </w:rPr>
        <w:t xml:space="preserve">édition des domaines, critères, pondérations, barèmes, gates, red flags, ajustements et seuils.</w:t>
      </w:r>
    </w:p>
    <w:p>
      <w:pPr>
        <w:pStyle w:val="ListParagraph"/>
        <w:numPr>
          <w:ilvl w:val="0"/>
          <w:numId w:val="2"/>
        </w:numPr>
        <w:spacing w:after="60" w:line="276"/>
      </w:pPr>
      <w:r>
        <w:rPr>
          <w:rFonts w:ascii="Calibri" w:cs="Calibri" w:eastAsia="Calibri" w:hAnsi="Calibri"/>
          <w:b/>
          <w:bCs/>
          <w:sz w:val="21"/>
          <w:szCs w:val="21"/>
        </w:rPr>
        <w:t xml:space="preserve">Validation : </w:t>
      </w:r>
      <w:r>
        <w:rPr>
          <w:rFonts w:ascii="Calibri" w:cs="Calibri" w:eastAsia="Calibri" w:hAnsi="Calibri"/>
          <w:sz w:val="21"/>
          <w:szCs w:val="21"/>
        </w:rPr>
        <w:t xml:space="preserve">contrôle de cohérence (somme des poids = 100 %, barèmes complets).</w:t>
      </w:r>
    </w:p>
    <w:p>
      <w:pPr>
        <w:pStyle w:val="ListParagraph"/>
        <w:numPr>
          <w:ilvl w:val="0"/>
          <w:numId w:val="2"/>
        </w:numPr>
        <w:spacing w:after="60" w:line="276"/>
      </w:pPr>
      <w:r>
        <w:rPr>
          <w:rFonts w:ascii="Calibri" w:cs="Calibri" w:eastAsia="Calibri" w:hAnsi="Calibri"/>
          <w:b/>
          <w:bCs/>
          <w:sz w:val="21"/>
          <w:szCs w:val="21"/>
        </w:rPr>
        <w:t xml:space="preserve">Publication : </w:t>
      </w:r>
      <w:r>
        <w:rPr>
          <w:rFonts w:ascii="Calibri" w:cs="Calibri" w:eastAsia="Calibri" w:hAnsi="Calibri"/>
          <w:sz w:val="21"/>
          <w:szCs w:val="21"/>
        </w:rPr>
        <w:t xml:space="preserve">la nouvelle version remplace la version active. Les scores déjà calculés restent figés sur leur version d'origine (traçabilité).</w:t>
      </w:r>
    </w:p>
    <w:p>
      <w:pPr>
        <w:spacing w:after="120" w:before="0" w:line="276"/>
      </w:pPr>
      <w:r>
        <w:rPr>
          <w:rFonts w:ascii="Calibri" w:cs="Calibri" w:eastAsia="Calibri" w:hAnsi="Calibri"/>
          <w:sz w:val="21"/>
          <w:szCs w:val="21"/>
        </w:rPr>
        <w:t xml:space="preserve">Chaque calcul de scoring enregistre la version du modèle utilisée. Le stress test et les simulations s'appuient sur la même configuration publiée que le scoring officiel, garantissant la cohérence entre notation, simulation et décision.</w:t>
      </w:r>
    </w:p>
    <w:p>
      <w:pPr>
        <w:spacing w:after="120" w:before="0" w:line="276"/>
      </w:pPr>
      <w:r>
        <w:rPr>
          <w:rFonts w:ascii="Calibri" w:cs="Calibri" w:eastAsia="Calibri" w:hAnsi="Calibri"/>
          <w:i/>
          <w:iCs/>
          <w:color w:val="595959"/>
          <w:sz w:val="21"/>
          <w:szCs w:val="21"/>
        </w:rPr>
        <w:t xml:space="preserve">Modèle documenté : </w:t>
      </w:r>
      <w:r>
        <w:rPr>
          <w:rFonts w:ascii="Calibri" w:cs="Calibri" w:eastAsia="Calibri" w:hAnsi="Calibri"/>
          <w:i/>
          <w:iCs/>
          <w:color w:val="595959"/>
          <w:sz w:val="21"/>
          <w:szCs w:val="21"/>
        </w:rPr>
        <w:t xml:space="preserve">PI_PROMOTION v2.0.0 — publié le 24 juin 2026. </w:t>
      </w:r>
      <w:r>
        <w:rPr>
          <w:rFonts w:ascii="Calibri" w:cs="Calibri" w:eastAsia="Calibri" w:hAnsi="Calibri"/>
          <w:i/>
          <w:iCs/>
          <w:color w:val="595959"/>
          <w:sz w:val="21"/>
          <w:szCs w:val="21"/>
        </w:rPr>
        <w:t xml:space="preserve">Ce document reflète la configuration effectivement en production dans l'outil.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Modèle de scoring — Promotion Immobilière · PI_PROMOTION v2.0.0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scoring — Promotion Immobilière (PI_PROMOTION v2.0.0)</dc:title>
  <dc:creator>Outil de scoring PI</dc:creator>
  <dc:description>Spécification fonctionnelle et méthodologique du modèle de scoring de promotion immobilière</dc:description>
  <cp:lastModifiedBy>Un-named</cp:lastModifiedBy>
  <cp:revision>1</cp:revision>
  <dcterms:created xsi:type="dcterms:W3CDTF">2026-09-17T09:25:33.700Z</dcterms:created>
  <dcterms:modified xsi:type="dcterms:W3CDTF">2026-09-17T09:25:33.701Z</dcterms:modified>
</cp:coreProperties>
</file>

<file path=docProps/custom.xml><?xml version="1.0" encoding="utf-8"?>
<Properties xmlns="http://schemas.openxmlformats.org/officeDocument/2006/custom-properties" xmlns:vt="http://schemas.openxmlformats.org/officeDocument/2006/docPropsVTypes"/>
</file>