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rFonts w:ascii="Calibri" w:cs="Calibri" w:eastAsia="Calibri" w:hAnsi="Calibri"/>
          <w:b/>
          <w:bCs/>
          <w:color w:val="1F3864"/>
          <w:sz w:val="42"/>
          <w:szCs w:val="42"/>
        </w:rPr>
        <w:t xml:space="preserve">DIAGNOSTIC DESIGN ET FONCTIONNALITÉS</w:t>
      </w:r>
    </w:p>
    <w:p>
      <w:pPr>
        <w:spacing w:before="80"/>
        <w:jc w:val="center"/>
      </w:pPr>
      <w:r>
        <w:rPr>
          <w:rFonts w:ascii="Calibri" w:cs="Calibri" w:eastAsia="Calibri" w:hAnsi="Calibri"/>
          <w:b/>
          <w:bCs/>
          <w:color w:val="2E5496"/>
          <w:sz w:val="28"/>
          <w:szCs w:val="28"/>
        </w:rPr>
        <w:t xml:space="preserve">Application de scoring des projets de promotion immobilière</w:t>
      </w:r>
    </w:p>
    <w:p>
      <w:pPr>
        <w:pBdr>
          <w:top w:val="single" w:color="D9E1F2" w:sz="12" w:space="8"/>
        </w:pBdr>
        <w:spacing w:before="240"/>
        <w:jc w:val="center"/>
      </w:pPr>
      <w:r>
        <w:rPr>
          <w:rFonts w:ascii="Calibri" w:cs="Calibri" w:eastAsia="Calibri" w:hAnsi="Calibri"/>
          <w:sz w:val="2"/>
          <w:szCs w:val="2"/>
        </w:rPr>
        <w:t xml:space="preserve"/>
      </w:r>
    </w:p>
    <w:p>
      <w:pPr>
        <w:spacing w:before="240"/>
        <w:jc w:val="center"/>
      </w:pPr>
      <w:r>
        <w:rPr>
          <w:rFonts w:ascii="Calibri" w:cs="Calibri" w:eastAsia="Calibri" w:hAnsi="Calibri"/>
          <w:i/>
          <w:iCs/>
          <w:color w:val="595959"/>
          <w:sz w:val="24"/>
          <w:szCs w:val="24"/>
        </w:rPr>
        <w:t xml:space="preserve">Ergonomie · mobile · lisibilité · accessibilité · recherche et filtres · mise en place d'un environnement</w:t>
      </w:r>
    </w:p>
    <w:p>
      <w:pPr>
        <w:spacing w:before="1400"/>
        <w:jc w:val="center"/>
      </w:pPr>
      <w:r>
        <w:rPr>
          <w:rFonts w:ascii="Calibri" w:cs="Calibri" w:eastAsia="Calibri" w:hAnsi="Calibri"/>
          <w:color w:val="595959"/>
          <w:sz w:val="20"/>
          <w:szCs w:val="20"/>
        </w:rPr>
        <w:t xml:space="preserve">4 octobre 2026 — mis à jour avec la réalisation de la priorité 1</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Synthèse</w:t>
      </w:r>
    </w:p>
    <w:p>
      <w:pPr>
        <w:spacing w:after="120" w:before="0" w:line="276"/>
      </w:pPr>
      <w:r>
        <w:rPr>
          <w:rFonts w:ascii="Calibri" w:cs="Calibri" w:eastAsia="Calibri" w:hAnsi="Calibri"/>
          <w:sz w:val="21"/>
          <w:szCs w:val="21"/>
        </w:rPr>
        <w:t xml:space="preserve">L'application a été lancée en local avec les données de démonstration (12 projets) et parcourue écran par écran, sur grand écran (1 440 px) et sur téléphone (390 px). Ce parcours, complété par une revue du code de l'interface, fait ressortir 14 constats. Les 10 plus utiles ont été corrigés, puis la priorité 1 de la feuille de route a été réalisée (section 6) ; le reste forme la feuille de route (section 5).</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6238"/>
        <w:gridCol w:w="1200"/>
        <w:gridCol w:w="17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w:t>
            </w:r>
          </w:p>
        </w:tc>
        <w:tc>
          <w:tcPr>
            <w:tcW w:type="dxa" w:w="62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Constat</w:t>
            </w:r>
          </w:p>
        </w:tc>
        <w:tc>
          <w:tcPr>
            <w:tcW w:type="dxa" w:w="12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Gravité</w:t>
            </w:r>
          </w:p>
        </w:tc>
        <w:tc>
          <w:tcPr>
            <w:tcW w:type="dxa" w:w="1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État</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Aucune navigation sur téléphone : le menu latéral disparaît sans être remplacé.</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C00000"/>
                <w:sz w:val="18"/>
                <w:szCs w:val="18"/>
              </w:rPr>
              <w:t xml:space="preserve">Critique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Indicateurs illisibles : montants en pleine longueur (« 866.000.000 MA… » tronqué), page plus large que l'écran sur mobile.</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Liste des projets sans recherche, ni filtre, ni tri.</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4</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Une base vierge ne peut pas être reconstruite : le jeu de démonstration échoue (groupe GRP_ATLAS jamais créé) et les migrations ne rejouent pas depuis zéro.</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5</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Page Suivi de 15 blocs (≈ 4 500 px) sans sommaire ; action « Synchroniser vers le scoring » enfouie au milieu.</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6</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Lien de la page courante non signalé dans le menu ; pas de recherche rapide d'un dossier.</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7</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Accessibilité : aucun attribut ARIA, pas de focus clavier visible, pas de lien d'évitement.</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 (bases)</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8</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Pas d'écran de chargement, d'erreur ni de page introuvable dédiés.</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9</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Couleurs codées en dur : 23 combinaisons différentes pour les mêmes statuts, dans 30 fichiers.</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10</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Formats : point décimal (« 0.9 % ») au lieu de la virgule ; mélange de formats de montants.</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11</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projet : 5 boutons dont 2 doublent les onglets ; indicateurs « Étape » et « Fraîcheur » en très gros texte.</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12</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Graphique « Répartition par classe » vide sans explication ; icône d'onglet absente (erreur 404).</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13</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projet : 10 cartes avant les onglets ; formulaires sans composant commun (30 copies du même style de champ), erreurs non affichées par champ.</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14</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Pas de pagination côté serveur, d'export de la liste filtrée, ni de notifications d'échéance.</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595959"/>
                <w:sz w:val="18"/>
                <w:szCs w:val="18"/>
              </w:rPr>
              <w:t xml:space="preserve">Feuille de route</w:t>
            </w:r>
          </w:p>
        </w:tc>
      </w:tr>
    </w:tbl>
    <w:p>
      <w:pPr>
        <w:spacing w:after="60" w:before="0" w:line="276"/>
      </w:pPr>
      <w:r>
        <w:rPr>
          <w:rFonts w:ascii="Calibri" w:cs="Calibri" w:eastAsia="Calibri" w:hAnsi="Calibri"/>
          <w:sz w:val="21"/>
          <w:szCs w:val="21"/>
        </w:rPr>
        <w:t xml:space="preserve"/>
      </w:r>
    </w:p>
    <w:tbl>
      <w:tblPr>
        <w:tblW w:type="dxa" w:w="9638"/>
        <w:tblBorders>
          <w:top w:val="single" w:color="2E7D32" w:sz="4"/>
          <w:left w:val="single" w:color="2E7D32" w:sz="4"/>
          <w:bottom w:val="single" w:color="2E7D32" w:sz="4"/>
          <w:right w:val="single" w:color="2E7D32" w:sz="4"/>
          <w:insideH w:val="none"/>
          <w:insideV w:val="none"/>
        </w:tblBorders>
      </w:tblPr>
      <w:tblGrid>
        <w:gridCol w:w="9638"/>
      </w:tblGrid>
      <w:tr>
        <w:trPr>
          <w:cantSplit/>
        </w:trPr>
        <w:tc>
          <w:tcPr>
            <w:tcW w:type="dxa" w:w="9638"/>
            <w:shd w:fill="E4F2E5" w:color="auto" w:val="clear"/>
            <w:tcMar>
              <w:top w:type="dxa" w:w="100"/>
              <w:left w:type="dxa" w:w="160"/>
              <w:bottom w:type="dxa" w:w="100"/>
              <w:right w:type="dxa" w:w="160"/>
            </w:tcMar>
          </w:tcPr>
          <w:p>
            <w:pPr>
              <w:spacing w:after="40"/>
            </w:pPr>
            <w:r>
              <w:rPr>
                <w:rFonts w:ascii="Calibri" w:cs="Calibri" w:eastAsia="Calibri" w:hAnsi="Calibri"/>
                <w:b/>
                <w:bCs/>
                <w:color w:val="2E7D32"/>
                <w:sz w:val="21"/>
                <w:szCs w:val="21"/>
              </w:rPr>
              <w:t xml:space="preserve">Vérifications</w:t>
            </w:r>
          </w:p>
          <w:p>
            <w:pPr>
              <w:spacing w:after="40" w:line="276"/>
            </w:pPr>
            <w:r>
              <w:rPr>
                <w:rFonts w:ascii="Calibri" w:cs="Calibri" w:eastAsia="Calibri" w:hAnsi="Calibri"/>
                <w:sz w:val="21"/>
                <w:szCs w:val="21"/>
              </w:rPr>
              <w:t xml:space="preserve">370 tests automatiques passent (dont 9 nouveaux : formats, recherche, erreurs de formulaire), contrôle des types et lint sans erreur, build de production réussi.</w:t>
            </w:r>
          </w:p>
          <w:p>
            <w:pPr>
              <w:spacing w:after="40" w:line="276"/>
            </w:pPr>
            <w:r>
              <w:rPr>
                <w:rFonts w:ascii="Calibri" w:cs="Calibri" w:eastAsia="Calibri" w:hAnsi="Calibri"/>
                <w:sz w:val="21"/>
                <w:szCs w:val="21"/>
              </w:rPr>
              <w:t xml:space="preserve">Parcours réel dans le navigateur : pages sans erreur, menu mobile opérationnel au clavier (Échap ferme et rend le focus), lien actif signalé, recherche « residence » → 4 dossiers sur 12, tri par score ; erreur de saisie affichée sous le champ et reliée à celui-ci.</w:t>
            </w:r>
          </w:p>
          <w:p>
            <w:pPr>
              <w:spacing w:after="40" w:line="276"/>
            </w:pPr>
            <w:r>
              <w:rPr>
                <w:rFonts w:ascii="Calibri" w:cs="Calibri" w:eastAsia="Calibri" w:hAnsi="Calibri"/>
                <w:sz w:val="21"/>
                <w:szCs w:val="21"/>
              </w:rPr>
              <w:t xml:space="preserve">Migrations : une base vide reconstruite par les seules migrations est identique, élément par élément, à la production et à schema.prisma (741 éléments, même empreinte).</w:t>
            </w:r>
          </w:p>
        </w:tc>
      </w:tr>
    </w:tbl>
    <w:p>
      <w:r>
        <w:br w:type="page"/>
      </w:r>
    </w:p>
    <w:p>
      <w:pPr>
        <w:pStyle w:val="Heading1"/>
      </w:pPr>
      <w:r>
        <w:t xml:space="preserve">2. Constats design et corrections</w:t>
      </w:r>
    </w:p>
    <w:p>
      <w:pPr>
        <w:pStyle w:val="Heading2"/>
        <w:keepNext/>
      </w:pPr>
      <w:r>
        <w:t xml:space="preserve">2.1 Téléphone : navigation absente, pages qui débordent</w:t>
      </w:r>
    </w:p>
    <w:p>
      <w:pPr>
        <w:spacing w:after="120" w:before="0" w:line="276"/>
      </w:pPr>
      <w:r>
        <w:rPr>
          <w:rFonts w:ascii="Calibri" w:cs="Calibri" w:eastAsia="Calibri" w:hAnsi="Calibri"/>
          <w:sz w:val="21"/>
          <w:szCs w:val="21"/>
        </w:rPr>
        <w:t xml:space="preserve">Sur téléphone, le menu latéral était masqué sans solution de remplacement : impossible d'aller d'un écran à l'autre autrement que par les liens internes. Les montants en pleine longueur élargissaient la page au-delà de l'écran (459 px et 517 px de large pour 390 px disponibles).</w:t>
      </w:r>
    </w:p>
    <w:p>
      <w:pPr>
        <w:spacing w:after="120" w:before="0" w:line="276"/>
      </w:pPr>
      <w:r>
        <w:rPr>
          <w:rFonts w:ascii="Calibri" w:cs="Calibri" w:eastAsia="Calibri" w:hAnsi="Calibri"/>
          <w:sz w:val="21"/>
          <w:szCs w:val="21"/>
        </w:rPr>
        <w:t xml:space="preserve">Correction : barre supérieure avec bouton de menu ; tiroir de navigation accessible (fermeture par Échap ou clic extérieur, focus géré). Les pages font désormais exactement la largeur de l'écran.</w:t>
      </w:r>
    </w:p>
    <w:p>
      <w:pPr>
        <w:keepNext/>
        <w:spacing w:after="40" w:before="60"/>
        <w:jc w:val="center"/>
      </w:pPr>
      <w:r>
        <w:drawing>
          <wp:inline distT="0" distB="0" distL="0" distR="0">
            <wp:extent cx="4476750" cy="3105150"/>
            <wp:effectExtent t="0" r="0" b="0" l="0"/>
            <wp:docPr id="1" name="mobile.png" descr="mobile.png" titl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1051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Tableau de bord sur téléphone : avant (sans menu, débordement) · après · tiroir de navigation ouvert</w:t>
      </w:r>
    </w:p>
    <w:p>
      <w:pPr>
        <w:pStyle w:val="Heading2"/>
        <w:keepNext/>
      </w:pPr>
      <w:r>
        <w:t xml:space="preserve">2.2 Indicateurs lisibles et formats français</w:t>
      </w:r>
    </w:p>
    <w:p>
      <w:pPr>
        <w:spacing w:after="120" w:before="0" w:line="276"/>
      </w:pPr>
      <w:r>
        <w:rPr>
          <w:rFonts w:ascii="Calibri" w:cs="Calibri" w:eastAsia="Calibri" w:hAnsi="Calibri"/>
          <w:sz w:val="21"/>
          <w:szCs w:val="21"/>
        </w:rPr>
        <w:t xml:space="preserve">Les indicateurs affichaient les montants en entier (« 866.000.000 MAD », coupé à l'écran) et les décimales avec un point. Ils sont désormais abrégés (« 866 M MAD », « 7,6 M MAD »), avec le montant exact au survol, et toutes les décimales suivent l'usage français (« 0,9 % »). Une fonction commune applique ces formats dans 41 indicateurs et 21 affichages de décimales.</w:t>
      </w:r>
    </w:p>
    <w:p>
      <w:pPr>
        <w:keepNext/>
        <w:spacing w:after="40" w:before="60"/>
        <w:jc w:val="center"/>
      </w:pPr>
      <w:r>
        <w:drawing>
          <wp:inline distT="0" distB="0" distL="0" distR="0">
            <wp:extent cx="4476750" cy="800100"/>
            <wp:effectExtent t="0" r="0" b="0" l="0"/>
            <wp:docPr id="1" name="kpi_before.png" descr="kpi_before.png" title="kpi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80010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w:t>
      </w:r>
    </w:p>
    <w:p>
      <w:pPr>
        <w:keepNext/>
        <w:spacing w:after="40" w:before="60"/>
        <w:jc w:val="center"/>
      </w:pPr>
      <w:r>
        <w:drawing>
          <wp:inline distT="0" distB="0" distL="0" distR="0">
            <wp:extent cx="4476750" cy="866775"/>
            <wp:effectExtent t="0" r="0" b="0" l="0"/>
            <wp:docPr id="1" name="kpi_after.png" descr="kpi_after.png" title="kpi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8667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 : montants abrégés, virgule décimale, menu avec icônes et lien actif</w:t>
      </w:r>
    </w:p>
    <w:p>
      <w:pPr>
        <w:pStyle w:val="Heading2"/>
        <w:keepNext/>
      </w:pPr>
      <w:r>
        <w:t xml:space="preserve">2.3 Couleurs : un jeu de tons sémantiques</w:t>
      </w:r>
    </w:p>
    <w:p>
      <w:pPr>
        <w:spacing w:after="120" w:before="0" w:line="276"/>
      </w:pPr>
      <w:r>
        <w:rPr>
          <w:rFonts w:ascii="Calibri" w:cs="Calibri" w:eastAsia="Calibri" w:hAnsi="Calibri"/>
          <w:sz w:val="21"/>
          <w:szCs w:val="21"/>
        </w:rPr>
        <w:t xml:space="preserve">Les statuts (décision, classe BKAM, étape du circuit, alertes) étaient colorés par 23 combinaisons Tailwind recopiées dans 30 fichiers. Un fichier unique, lib/tones.ts, définit désormais huit tons (neutre, information, succès, succès atténué, vigilance, alerte, danger, accent) ; 130 occurrences y renvoient. Changer une teinte se fait en un seul endroit, et un futur mode sombre devient possible.</w:t>
      </w:r>
    </w:p>
    <w:p>
      <w:pPr>
        <w:pStyle w:val="Heading2"/>
        <w:keepNext/>
      </w:pPr>
      <w:r>
        <w:t xml:space="preserve">2.4 Fiche projet</w:t>
      </w:r>
    </w:p>
    <w:p>
      <w:pPr>
        <w:spacing w:after="120" w:before="0" w:line="276"/>
      </w:pPr>
      <w:r>
        <w:rPr>
          <w:rFonts w:ascii="Calibri" w:cs="Calibri" w:eastAsia="Calibri" w:hAnsi="Calibri"/>
          <w:sz w:val="21"/>
          <w:szCs w:val="21"/>
        </w:rPr>
        <w:t xml:space="preserve">Les boutons « Suivi » et « Wizard de scoring » doublaient les onglets situés juste en dessous ; ils sont retirés. Les exports du dossier de comité restent. Les indicateurs à texte long (étape du circuit, fraîcheur du score) passent en taille normale, et le score s'affiche « 85,8 / 100 ».</w:t>
      </w:r>
    </w:p>
    <w:p>
      <w:pPr>
        <w:keepNext/>
        <w:spacing w:after="40" w:before="60"/>
        <w:jc w:val="center"/>
      </w:pPr>
      <w:r>
        <w:drawing>
          <wp:inline distT="0" distB="0" distL="0" distR="0">
            <wp:extent cx="4476750" cy="933450"/>
            <wp:effectExtent t="0" r="0" b="0" l="0"/>
            <wp:docPr id="1" name="fiche_before.png" descr="fiche_before.png" title="fiche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9334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w:t>
      </w:r>
    </w:p>
    <w:p>
      <w:pPr>
        <w:keepNext/>
        <w:spacing w:after="40" w:before="60"/>
        <w:jc w:val="center"/>
      </w:pPr>
      <w:r>
        <w:drawing>
          <wp:inline distT="0" distB="0" distL="0" distR="0">
            <wp:extent cx="4476750" cy="942975"/>
            <wp:effectExtent t="0" r="0" b="0" l="0"/>
            <wp:docPr id="1" name="fiche_after.png" descr="fiche_after.png" title="fich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9429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w:t>
      </w:r>
    </w:p>
    <w:p>
      <w:pPr>
        <w:pStyle w:val="Heading2"/>
        <w:keepNext/>
      </w:pPr>
      <w:r>
        <w:t xml:space="preserve">2.5 Accessibilité et états de page</w:t>
      </w:r>
    </w:p>
    <w:p>
      <w:pPr>
        <w:pStyle w:val="ListParagraph"/>
        <w:numPr>
          <w:ilvl w:val="0"/>
          <w:numId w:val="2"/>
        </w:numPr>
        <w:spacing w:after="60" w:line="276"/>
      </w:pPr>
      <w:r>
        <w:rPr>
          <w:rFonts w:ascii="Calibri" w:cs="Calibri" w:eastAsia="Calibri" w:hAnsi="Calibri"/>
          <w:sz w:val="21"/>
          <w:szCs w:val="21"/>
        </w:rPr>
        <w:t xml:space="preserve">Lien « Aller au contenu » au premier appui sur Tab ; focus clavier visible sur tous les éléments ; animations réduites si le système le demande.</w:t>
      </w:r>
    </w:p>
    <w:p>
      <w:pPr>
        <w:pStyle w:val="ListParagraph"/>
        <w:numPr>
          <w:ilvl w:val="0"/>
          <w:numId w:val="2"/>
        </w:numPr>
        <w:spacing w:after="60" w:line="276"/>
      </w:pPr>
      <w:r>
        <w:rPr>
          <w:rFonts w:ascii="Calibri" w:cs="Calibri" w:eastAsia="Calibri" w:hAnsi="Calibri"/>
          <w:sz w:val="21"/>
          <w:szCs w:val="21"/>
        </w:rPr>
        <w:t xml:space="preserve">Menus et sous-navigation balisés (nav, aria-current) ; colonnes triables annoncées (aria-sort) ; champs de filtre avec libellés pour lecteur d'écran.</w:t>
      </w:r>
    </w:p>
    <w:p>
      <w:pPr>
        <w:pStyle w:val="ListParagraph"/>
        <w:numPr>
          <w:ilvl w:val="0"/>
          <w:numId w:val="2"/>
        </w:numPr>
        <w:spacing w:after="60" w:line="276"/>
      </w:pPr>
      <w:r>
        <w:rPr>
          <w:rFonts w:ascii="Calibri" w:cs="Calibri" w:eastAsia="Calibri" w:hAnsi="Calibri"/>
          <w:sz w:val="21"/>
          <w:szCs w:val="21"/>
        </w:rPr>
        <w:t xml:space="preserve">Écran de chargement (squelette), écran d'erreur avec référence et bouton « Réessayer », page « dossier introuvable » avec retours utiles.</w:t>
      </w:r>
    </w:p>
    <w:p>
      <w:pPr>
        <w:pStyle w:val="ListParagraph"/>
        <w:numPr>
          <w:ilvl w:val="0"/>
          <w:numId w:val="2"/>
        </w:numPr>
        <w:spacing w:after="60" w:line="276"/>
      </w:pPr>
      <w:r>
        <w:rPr>
          <w:rFonts w:ascii="Calibri" w:cs="Calibri" w:eastAsia="Calibri" w:hAnsi="Calibri"/>
          <w:sz w:val="21"/>
          <w:szCs w:val="21"/>
        </w:rPr>
        <w:t xml:space="preserve">Graphique vide remplacé par une explication ; icône d'onglet ajoutée (supprime une erreur 404 à chaque page).</w:t>
      </w:r>
    </w:p>
    <w:p>
      <w:r>
        <w:br w:type="page"/>
      </w:r>
    </w:p>
    <w:p>
      <w:pPr>
        <w:pStyle w:val="Heading1"/>
      </w:pPr>
      <w:r>
        <w:t xml:space="preserve">3. Fonctionnalités ajoutées</w:t>
      </w:r>
    </w:p>
    <w:p>
      <w:pPr>
        <w:pStyle w:val="Heading2"/>
        <w:keepNext/>
      </w:pPr>
      <w:r>
        <w:t xml:space="preserve">3.1 Recherche, filtres et tri de la liste des projets</w:t>
      </w:r>
    </w:p>
    <w:p>
      <w:pPr>
        <w:pStyle w:val="ListParagraph"/>
        <w:numPr>
          <w:ilvl w:val="0"/>
          <w:numId w:val="2"/>
        </w:numPr>
        <w:spacing w:after="60" w:line="276"/>
      </w:pPr>
      <w:r>
        <w:rPr>
          <w:rFonts w:ascii="Calibri" w:cs="Calibri" w:eastAsia="Calibri" w:hAnsi="Calibri"/>
          <w:sz w:val="21"/>
          <w:szCs w:val="21"/>
        </w:rPr>
        <w:t xml:space="preserve">Recherche sur la référence, le nom, le promoteur et la ville, insensible aux majuscules et aux accents, sur tous les mots saisis.</w:t>
      </w:r>
    </w:p>
    <w:p>
      <w:pPr>
        <w:pStyle w:val="ListParagraph"/>
        <w:numPr>
          <w:ilvl w:val="0"/>
          <w:numId w:val="2"/>
        </w:numPr>
        <w:spacing w:after="60" w:line="276"/>
      </w:pPr>
      <w:r>
        <w:rPr>
          <w:rFonts w:ascii="Calibri" w:cs="Calibri" w:eastAsia="Calibri" w:hAnsi="Calibri"/>
          <w:sz w:val="21"/>
          <w:szCs w:val="21"/>
        </w:rPr>
        <w:t xml:space="preserve">Filtres : segment, décision, classe BKAM, étape du circuit, dossiers scorés ou jamais scorés. Tri par référence, projet, promoteur, crédit, score ou date de mise à jour (les valeurs absentes restent en fin de liste).</w:t>
      </w:r>
    </w:p>
    <w:p>
      <w:pPr>
        <w:pStyle w:val="ListParagraph"/>
        <w:numPr>
          <w:ilvl w:val="0"/>
          <w:numId w:val="2"/>
        </w:numPr>
        <w:spacing w:after="60" w:line="276"/>
      </w:pPr>
      <w:r>
        <w:rPr>
          <w:rFonts w:ascii="Calibri" w:cs="Calibri" w:eastAsia="Calibri" w:hAnsi="Calibri"/>
          <w:sz w:val="21"/>
          <w:szCs w:val="21"/>
        </w:rPr>
        <w:t xml:space="preserve">Compteur « 4 dossier(s) sur 12 » et exposition de la sélection. Bouton « Effacer ».</w:t>
      </w:r>
    </w:p>
    <w:p>
      <w:pPr>
        <w:pStyle w:val="ListParagraph"/>
        <w:numPr>
          <w:ilvl w:val="0"/>
          <w:numId w:val="2"/>
        </w:numPr>
        <w:spacing w:after="60" w:line="276"/>
      </w:pPr>
      <w:r>
        <w:rPr>
          <w:rFonts w:ascii="Calibri" w:cs="Calibri" w:eastAsia="Calibri" w:hAnsi="Calibri"/>
          <w:sz w:val="21"/>
          <w:szCs w:val="21"/>
        </w:rPr>
        <w:t xml:space="preserve">L'état est dans l'adresse de la page : une liste filtrée se partage par lien et fonctionne même sans JavaScript.</w:t>
      </w:r>
    </w:p>
    <w:p>
      <w:pPr>
        <w:pStyle w:val="ListParagraph"/>
        <w:numPr>
          <w:ilvl w:val="0"/>
          <w:numId w:val="2"/>
        </w:numPr>
        <w:spacing w:after="60" w:line="276"/>
      </w:pPr>
      <w:r>
        <w:rPr>
          <w:rFonts w:ascii="Calibri" w:cs="Calibri" w:eastAsia="Calibri" w:hAnsi="Calibri"/>
          <w:sz w:val="21"/>
          <w:szCs w:val="21"/>
        </w:rPr>
        <w:t xml:space="preserve">Sur téléphone, une carte par dossier (score, étape, décision, classe, crédit) au lieu d'un tableau illisible.</w:t>
      </w:r>
    </w:p>
    <w:p>
      <w:pPr>
        <w:keepNext/>
        <w:spacing w:after="40" w:before="60"/>
        <w:jc w:val="center"/>
      </w:pPr>
      <w:r>
        <w:drawing>
          <wp:inline distT="0" distB="0" distL="0" distR="0">
            <wp:extent cx="4476750" cy="1933575"/>
            <wp:effectExtent t="0" r="0" b="0" l="0"/>
            <wp:docPr id="1" name="list_before.png" descr="list_before.png" title="list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9335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 : liste brute</w:t>
      </w:r>
    </w:p>
    <w:p>
      <w:pPr>
        <w:keepNext/>
        <w:spacing w:after="40" w:before="60"/>
        <w:jc w:val="center"/>
      </w:pPr>
      <w:r>
        <w:drawing>
          <wp:inline distT="0" distB="0" distL="0" distR="0">
            <wp:extent cx="4476750" cy="1962150"/>
            <wp:effectExtent t="0" r="0" b="0" l="0"/>
            <wp:docPr id="1" name="list_after.png" descr="list_after.png" title="list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19621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 : recherche « residence », tri par score, étape du circuit visible</w:t>
      </w:r>
    </w:p>
    <w:p>
      <w:pPr>
        <w:pStyle w:val="Heading2"/>
        <w:keepNext/>
      </w:pPr>
      <w:r>
        <w:t xml:space="preserve">3.2 Recherche rapide depuis le menu</w:t>
      </w:r>
    </w:p>
    <w:p>
      <w:pPr>
        <w:spacing w:after="120" w:before="0" w:line="276"/>
      </w:pPr>
      <w:r>
        <w:rPr>
          <w:rFonts w:ascii="Calibri" w:cs="Calibri" w:eastAsia="Calibri" w:hAnsi="Calibri"/>
          <w:sz w:val="21"/>
          <w:szCs w:val="21"/>
        </w:rPr>
        <w:t xml:space="preserve">Un champ « Rechercher un dossier… » en tête du menu, sur tous les écrans, ouvre la liste des projets filtrée.</w:t>
      </w:r>
    </w:p>
    <w:p>
      <w:pPr>
        <w:pStyle w:val="Heading2"/>
        <w:keepNext/>
      </w:pPr>
      <w:r>
        <w:t xml:space="preserve">3.3 Sommaire de la page Suivi</w:t>
      </w:r>
    </w:p>
    <w:p>
      <w:pPr>
        <w:spacing w:after="120" w:before="0" w:line="276"/>
      </w:pPr>
      <w:r>
        <w:rPr>
          <w:rFonts w:ascii="Calibri" w:cs="Calibri" w:eastAsia="Calibri" w:hAnsi="Calibri"/>
          <w:sz w:val="21"/>
          <w:szCs w:val="21"/>
        </w:rPr>
        <w:t xml:space="preserve">La page Suivi regroupe chantier, déblocages, trésorerie, acquéreurs, journal, programme et équipements, commercialisation, business plan, mainlevées et lots. Un sommaire collant donne un accès direct à chaque bloc (seuls les blocs présents sont proposés). L'action « Synchroniser vers le scoring », la plus importante de la page, est remontée en en-tête.</w:t>
      </w:r>
    </w:p>
    <w:p>
      <w:pPr>
        <w:keepNext/>
        <w:spacing w:after="40" w:before="60"/>
        <w:jc w:val="center"/>
      </w:pPr>
      <w:r>
        <w:drawing>
          <wp:inline distT="0" distB="0" distL="0" distR="0">
            <wp:extent cx="4476750" cy="1247775"/>
            <wp:effectExtent t="0" r="0" b="0" l="0"/>
            <wp:docPr id="1" name="suivi_after.png" descr="suivi_after.png" title="suivi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12477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Page Suivi : action de synchronisation en en-tête et sommaire collant</w:t>
      </w:r>
    </w:p>
    <w:p>
      <w:r>
        <w:br w:type="page"/>
      </w:r>
    </w:p>
    <w:p>
      <w:pPr>
        <w:pStyle w:val="Heading1"/>
      </w:pPr>
      <w:r>
        <w:t xml:space="preserve">4. Mise en place d'un environnement</w:t>
      </w:r>
    </w:p>
    <w:p>
      <w:pPr>
        <w:spacing w:after="120" w:before="0" w:line="276"/>
      </w:pPr>
      <w:r>
        <w:rPr>
          <w:rFonts w:ascii="Calibri" w:cs="Calibri" w:eastAsia="Calibri" w:hAnsi="Calibri"/>
          <w:sz w:val="21"/>
          <w:szCs w:val="21"/>
        </w:rPr>
        <w:t xml:space="preserve">Pour ce diagnostic, une base vierge a été construite. Deux défauts ont été rencontrés :</w:t>
      </w:r>
    </w:p>
    <w:p>
      <w:pPr>
        <w:pStyle w:val="ListParagraph"/>
        <w:numPr>
          <w:ilvl w:val="0"/>
          <w:numId w:val="2"/>
        </w:numPr>
        <w:spacing w:after="60" w:line="276"/>
      </w:pPr>
      <w:r>
        <w:rPr>
          <w:rFonts w:ascii="Calibri" w:cs="Calibri" w:eastAsia="Calibri" w:hAnsi="Calibri"/>
          <w:b/>
          <w:bCs/>
          <w:sz w:val="21"/>
          <w:szCs w:val="21"/>
        </w:rPr>
        <w:t xml:space="preserve">Jeu de démonstration (npm run seed) : </w:t>
      </w:r>
      <w:r>
        <w:rPr>
          <w:rFonts w:ascii="Calibri" w:cs="Calibri" w:eastAsia="Calibri" w:hAnsi="Calibri"/>
          <w:sz w:val="21"/>
          <w:szCs w:val="21"/>
        </w:rPr>
        <w:t xml:space="preserve">il rattachait le premier projet au groupe GRP_ATLAS sans le créer, ce qui faisait échouer l'installation. Corrigé : le groupe est créé avant le projet ; les régions sont écrites en codes, comme en production.</w:t>
      </w:r>
    </w:p>
    <w:p>
      <w:pPr>
        <w:pStyle w:val="ListParagraph"/>
        <w:numPr>
          <w:ilvl w:val="0"/>
          <w:numId w:val="2"/>
        </w:numPr>
        <w:spacing w:after="60" w:line="276"/>
      </w:pPr>
      <w:r>
        <w:rPr>
          <w:rFonts w:ascii="Calibri" w:cs="Calibri" w:eastAsia="Calibri" w:hAnsi="Calibri"/>
          <w:b/>
          <w:bCs/>
          <w:sz w:val="21"/>
          <w:szCs w:val="21"/>
        </w:rPr>
        <w:t xml:space="preserve">Migrations (prisma migrate deploy) : </w:t>
      </w:r>
      <w:r>
        <w:rPr>
          <w:rFonts w:ascii="Calibri" w:cs="Calibri" w:eastAsia="Calibri" w:hAnsi="Calibri"/>
          <w:sz w:val="21"/>
          <w:szCs w:val="21"/>
        </w:rPr>
        <w:t xml:space="preserve">l'historique ne rejouait pas sur une base vide (la table ProjectEvent n'était créée par aucune migration : des objets avaient été créés en production par « db push »). Corrigé — voir section 6.1.</w:t>
      </w:r>
    </w:p>
    <w:p>
      <w:r>
        <w:br w:type="page"/>
      </w:r>
    </w:p>
    <w:p>
      <w:pPr>
        <w:pStyle w:val="Heading1"/>
      </w:pPr>
      <w:r>
        <w:t xml:space="preserve">5. Feuille de route recommandée</w:t>
      </w:r>
    </w:p>
    <w:p>
      <w:pPr>
        <w:spacing w:after="120" w:before="0" w:line="276"/>
      </w:pPr>
      <w:r>
        <w:rPr>
          <w:rFonts w:ascii="Calibri" w:cs="Calibri" w:eastAsia="Calibri" w:hAnsi="Calibri"/>
          <w:sz w:val="21"/>
          <w:szCs w:val="21"/>
        </w:rPr>
        <w:t xml:space="preserve">La priorité 1 a été réalisée (section 6). Restent :</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1000"/>
        <w:gridCol w:w="4838"/>
        <w:gridCol w:w="3800"/>
      </w:tblGrid>
      <w:tr>
        <w:trPr>
          <w:cantSplit/>
          <w:tblHeader/>
        </w:trPr>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Priorité</w:t>
            </w:r>
          </w:p>
        </w:tc>
        <w:tc>
          <w:tcPr>
            <w:tcW w:type="dxa" w:w="48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Amélioration</w:t>
            </w:r>
          </w:p>
        </w:tc>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Pourquoi</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4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Indicateurs du tableau de bord cliquables vers la liste filtrée (ex. « Scorings à rafraîchir » → /projects?scored=unscored).</w:t>
            </w:r>
          </w:p>
        </w:tc>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Passer du constat à l'action en un clic.</w:t>
            </w:r>
          </w:p>
        </w:tc>
      </w:tr>
      <w:tr>
        <w:trPr>
          <w:cantSplit/>
        </w:trPr>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4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Export CSV / Excel de la liste filtrée.</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Reporting ad hoc sans retraitement.</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4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Notifications : revues périodiques échues, conditions de comité arrivant à expiration, alertes v5 déclenchées.</w:t>
            </w:r>
          </w:p>
        </w:tc>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Suivi proactif du risque.</w:t>
            </w:r>
          </w:p>
        </w:tc>
      </w:tr>
      <w:tr>
        <w:trPr>
          <w:cantSplit/>
        </w:trPr>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4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Fenêtres de confirmation intégrées à la place des confirmations du navigateur (suppression de domaine, de critère, de brouillon).</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Cohérence et accessibilité.</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4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Étendre les composants de formulaire aux écrans d'administration (constructeur de modèle, référentiels, calibrage) et aux panneaux secondaires.</w:t>
            </w:r>
          </w:p>
        </w:tc>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Une quinzaine de champs restent au style ancien.</w:t>
            </w:r>
          </w:p>
        </w:tc>
      </w:tr>
      <w:tr>
        <w:trPr>
          <w:cantSplit/>
        </w:trPr>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4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Pagination et filtres côté base de données quand le portefeuille dépassera quelques centaines de dossiers.</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Performance.</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4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Mode sombre (les tons sémantiques le rendent possible).</w:t>
            </w:r>
          </w:p>
        </w:tc>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Confort, usage prolongé.</w:t>
            </w:r>
          </w:p>
        </w:tc>
      </w:tr>
      <w:tr>
        <w:trPr>
          <w:cantSplit/>
        </w:trPr>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4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 de bout en bout (Playwright) à partir du banc de captures utilisé pour ce diagnostic.</w:t>
            </w:r>
          </w:p>
        </w:tc>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Non-régression visuelle et fonctionnelle.</w:t>
            </w:r>
          </w:p>
        </w:tc>
      </w:tr>
    </w:tbl>
    <w:p>
      <w:r>
        <w:br w:type="page"/>
      </w:r>
    </w:p>
    <w:p>
      <w:pPr>
        <w:pStyle w:val="Heading1"/>
      </w:pPr>
      <w:r>
        <w:t xml:space="preserve">6. Priorité 1 réalisée</w:t>
      </w:r>
    </w:p>
    <w:p>
      <w:pPr>
        <w:pStyle w:val="Heading2"/>
        <w:keepNext/>
      </w:pPr>
      <w:r>
        <w:t xml:space="preserve">6.1 Migrations rejouables sur une base vierge</w:t>
      </w:r>
    </w:p>
    <w:p>
      <w:pPr>
        <w:spacing w:after="120" w:before="0" w:line="276"/>
      </w:pPr>
      <w:r>
        <w:rPr>
          <w:rFonts w:ascii="Calibri" w:cs="Calibri" w:eastAsia="Calibri" w:hAnsi="Calibri"/>
          <w:sz w:val="21"/>
          <w:szCs w:val="21"/>
        </w:rPr>
        <w:t xml:space="preserve">Constat : entre juin et septembre 2026, trois tables (journal des événements, planning des déblocages, liens entre promoteurs), 23 colonnes, 3 valeurs d'énumération et leurs index et clés étrangères avaient été créés en production par « db push », sans migration. La migration de septembre (v3) les supposait présents : « prisma migrate deploy » échouait sur une base vide.</w:t>
      </w:r>
    </w:p>
    <w:p>
      <w:pPr>
        <w:pStyle w:val="ListParagraph"/>
        <w:numPr>
          <w:ilvl w:val="0"/>
          <w:numId w:val="2"/>
        </w:numPr>
        <w:spacing w:after="60" w:line="276"/>
      </w:pPr>
      <w:r>
        <w:rPr>
          <w:rFonts w:ascii="Calibri" w:cs="Calibri" w:eastAsia="Calibri" w:hAnsi="Calibri"/>
          <w:sz w:val="21"/>
          <w:szCs w:val="21"/>
        </w:rPr>
        <w:t xml:space="preserve">Migration 20260901000000_rattrapage_db_push : recrée ces objets, en SQL idempotent, avant la migration v3. Son contenu est obtenu par comparaison automatique entre l'état produit par les migrations antérieures et le schéma de l'époque. En production, elle est inscrite comme appliquée sans être exécutée (les objets existent).</w:t>
      </w:r>
    </w:p>
    <w:p>
      <w:pPr>
        <w:pStyle w:val="ListParagraph"/>
        <w:numPr>
          <w:ilvl w:val="0"/>
          <w:numId w:val="2"/>
        </w:numPr>
        <w:spacing w:after="60" w:line="276"/>
      </w:pPr>
      <w:r>
        <w:rPr>
          <w:rFonts w:ascii="Calibri" w:cs="Calibri" w:eastAsia="Calibri" w:hAnsi="Calibri"/>
          <w:sz w:val="21"/>
          <w:szCs w:val="21"/>
        </w:rPr>
        <w:t xml:space="preserve">Comparaison de la structure (colonnes, types, valeurs par défaut, contraintes, index, énumérations) entre la base reconstruite et la production : 741 éléments, 7 écarts, tous sur les dérogations comité et les autorisations du projet.</w:t>
      </w:r>
    </w:p>
    <w:p>
      <w:pPr>
        <w:pStyle w:val="ListParagraph"/>
        <w:numPr>
          <w:ilvl w:val="0"/>
          <w:numId w:val="2"/>
        </w:numPr>
        <w:spacing w:after="60" w:line="276"/>
      </w:pPr>
      <w:r>
        <w:rPr>
          <w:rFonts w:ascii="Calibri" w:cs="Calibri" w:eastAsia="Calibri" w:hAnsi="Calibri"/>
          <w:sz w:val="21"/>
          <w:szCs w:val="21"/>
        </w:rPr>
        <w:t xml:space="preserve">Migration 20261004000000_alignement_structure : aligne ces 7 écarts (règles des clés étrangères des dérogations, clé étrangère manquante des autorisations, valeurs par défaut de updatedAt) ; appliquée en production.</w:t>
      </w:r>
    </w:p>
    <w:p>
      <w:pPr>
        <w:pStyle w:val="ListParagraph"/>
        <w:numPr>
          <w:ilvl w:val="0"/>
          <w:numId w:val="2"/>
        </w:numPr>
        <w:spacing w:after="60" w:line="276"/>
      </w:pPr>
      <w:r>
        <w:rPr>
          <w:rFonts w:ascii="Calibri" w:cs="Calibri" w:eastAsia="Calibri" w:hAnsi="Calibri"/>
          <w:sz w:val="21"/>
          <w:szCs w:val="21"/>
        </w:rPr>
        <w:t xml:space="preserve">Résultat : base reconstruite par les migrations = production = schema.prisma (même empreinte sur les 741 éléments ; « prisma migrate diff » vide). Le jeu de démonstration et les jeux SQL s'installent sans erreur sur cette base.</w:t>
      </w:r>
    </w:p>
    <w:p>
      <w:pPr>
        <w:pStyle w:val="ListParagraph"/>
        <w:numPr>
          <w:ilvl w:val="0"/>
          <w:numId w:val="2"/>
        </w:numPr>
        <w:spacing w:after="60" w:line="276"/>
      </w:pPr>
      <w:r>
        <w:rPr>
          <w:rFonts w:ascii="Calibri" w:cs="Calibri" w:eastAsia="Calibri" w:hAnsi="Calibri"/>
          <w:sz w:val="21"/>
          <w:szCs w:val="21"/>
        </w:rPr>
        <w:t xml:space="preserve">Garde-fou : un job de CI rejoue les migrations sur une base PostgreSQL vide, vérifie l'absence d'écart avec schema.prisma et installe le jeu de démonstration, à chaque push. README, guide de déploiement et notice des migrations mis à jour (« migrate deploy » remplace « db push »).</w:t>
      </w:r>
    </w:p>
    <w:p>
      <w:pPr>
        <w:pStyle w:val="Heading2"/>
        <w:keepNext/>
      </w:pPr>
      <w:r>
        <w:t xml:space="preserve">6.2 Composants de formulaire communs</w:t>
      </w:r>
    </w:p>
    <w:p>
      <w:pPr>
        <w:pStyle w:val="ListParagraph"/>
        <w:numPr>
          <w:ilvl w:val="0"/>
          <w:numId w:val="2"/>
        </w:numPr>
        <w:spacing w:after="60" w:line="276"/>
      </w:pPr>
      <w:r>
        <w:rPr>
          <w:rFonts w:ascii="Calibri" w:cs="Calibri" w:eastAsia="Calibri" w:hAnsi="Calibri"/>
          <w:sz w:val="21"/>
          <w:szCs w:val="21"/>
        </w:rPr>
        <w:t xml:space="preserve">components/form.tsx : champ (libellé, aide, erreur reliés au contrôle par for/id, aria-describedby, aria-invalid), zone de texte, liste, case à cocher, groupe de champs (fieldset), message global annoncé aux lecteurs d'écran.</w:t>
      </w:r>
    </w:p>
    <w:p>
      <w:pPr>
        <w:pStyle w:val="ListParagraph"/>
        <w:numPr>
          <w:ilvl w:val="0"/>
          <w:numId w:val="2"/>
        </w:numPr>
        <w:spacing w:after="60" w:line="276"/>
      </w:pPr>
      <w:r>
        <w:rPr>
          <w:rFonts w:ascii="Calibri" w:cs="Calibri" w:eastAsia="Calibri" w:hAnsi="Calibri"/>
          <w:sz w:val="21"/>
          <w:szCs w:val="21"/>
        </w:rPr>
        <w:t xml:space="preserve">Les erreurs de validation renvoyées par le serveur s'affichent désormais sous chaque champ concerné, au lieu d'un message unique « Champs invalides ».</w:t>
      </w:r>
    </w:p>
    <w:p>
      <w:pPr>
        <w:pStyle w:val="ListParagraph"/>
        <w:numPr>
          <w:ilvl w:val="0"/>
          <w:numId w:val="2"/>
        </w:numPr>
        <w:spacing w:after="60" w:line="276"/>
      </w:pPr>
      <w:r>
        <w:rPr>
          <w:rFonts w:ascii="Calibri" w:cs="Calibri" w:eastAsia="Calibri" w:hAnsi="Calibri"/>
          <w:sz w:val="21"/>
          <w:szCs w:val="21"/>
        </w:rPr>
        <w:t xml:space="preserve">Formulaires migrés : projet, promoteur, rapport de visite, décision de comité, équipements exigés (v5) et saisie du scoring.</w:t>
      </w:r>
    </w:p>
    <w:p>
      <w:pPr>
        <w:pStyle w:val="ListParagraph"/>
        <w:numPr>
          <w:ilvl w:val="0"/>
          <w:numId w:val="2"/>
        </w:numPr>
        <w:spacing w:after="60" w:line="276"/>
      </w:pPr>
      <w:r>
        <w:rPr>
          <w:rFonts w:ascii="Calibri" w:cs="Calibri" w:eastAsia="Calibri" w:hAnsi="Calibri"/>
          <w:sz w:val="21"/>
          <w:szCs w:val="21"/>
        </w:rPr>
        <w:t xml:space="preserve">Défaut corrigé au passage : dans les formulaires projet et promoteur, les listes déroulantes étaient recréées à chaque frappe (composants définis dans le rendu) et perdaient le focus clavier. Vérifié dans le navigateur : la liste reste le même élément après saisie et choix.</w:t>
      </w:r>
    </w:p>
    <w:p>
      <w:pPr>
        <w:pStyle w:val="ListParagraph"/>
        <w:numPr>
          <w:ilvl w:val="0"/>
          <w:numId w:val="2"/>
        </w:numPr>
        <w:spacing w:after="60" w:line="276"/>
      </w:pPr>
      <w:r>
        <w:rPr>
          <w:rFonts w:ascii="Calibri" w:cs="Calibri" w:eastAsia="Calibri" w:hAnsi="Calibri"/>
          <w:sz w:val="21"/>
          <w:szCs w:val="21"/>
        </w:rPr>
        <w:t xml:space="preserve">Saisie du scoring : chaque pastille d'étape indique le nombre de champs renseignés (« 5/7 »), passe en vert quand l'étape est complète, et est entourée de rouge en cas d'erreur ; l'enregistrement conduit directement à la première étape à corriger.</w:t>
      </w:r>
    </w:p>
    <w:p>
      <w:pPr>
        <w:keepNext/>
        <w:spacing w:after="40" w:before="60"/>
        <w:jc w:val="center"/>
      </w:pPr>
      <w:r>
        <w:drawing>
          <wp:inline distT="0" distB="0" distL="0" distR="0">
            <wp:extent cx="4476750" cy="1619250"/>
            <wp:effectExtent t="0" r="0" b="0" l="0"/>
            <wp:docPr id="1" name="p1_form_error.png" descr="p1_form_error.png" title="p1_form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16192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Erreur de validation affichée sous le champ concerné, avec message global</w:t>
      </w:r>
    </w:p>
    <w:p>
      <w:pPr>
        <w:keepNext/>
        <w:spacing w:after="40" w:before="60"/>
        <w:jc w:val="center"/>
      </w:pPr>
      <w:r>
        <w:drawing>
          <wp:inline distT="0" distB="0" distL="0" distR="0">
            <wp:extent cx="4476750" cy="1838325"/>
            <wp:effectExtent t="0" r="0" b="0" l="0"/>
            <wp:docPr id="1" name="p1_wizard.png" descr="p1_wizard.png" title="p1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18383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Saisie du scoring : progression par étape</w:t>
      </w:r>
    </w:p>
    <w:p>
      <w:pPr>
        <w:pStyle w:val="Heading2"/>
        <w:keepNext/>
      </w:pPr>
      <w:r>
        <w:t xml:space="preserve">6.3 Fiche projet regroupée</w:t>
      </w:r>
    </w:p>
    <w:p>
      <w:pPr>
        <w:pStyle w:val="ListParagraph"/>
        <w:numPr>
          <w:ilvl w:val="0"/>
          <w:numId w:val="2"/>
        </w:numPr>
        <w:spacing w:after="60" w:line="276"/>
      </w:pPr>
      <w:r>
        <w:rPr>
          <w:rFonts w:ascii="Calibri" w:cs="Calibri" w:eastAsia="Calibri" w:hAnsi="Calibri"/>
          <w:sz w:val="21"/>
          <w:szCs w:val="21"/>
        </w:rPr>
        <w:t xml:space="preserve">Avant les onglets ne restent que la synthèse (score, classe, provision, étape, fraîcheur, saisie, prochaine action, rappel de la dernière décision de comité) et les deux actions : calcul du score et circuit de décision, côte à côte.</w:t>
      </w:r>
    </w:p>
    <w:p>
      <w:pPr>
        <w:pStyle w:val="ListParagraph"/>
        <w:numPr>
          <w:ilvl w:val="0"/>
          <w:numId w:val="2"/>
        </w:numPr>
        <w:spacing w:after="60" w:line="276"/>
      </w:pPr>
      <w:r>
        <w:rPr>
          <w:rFonts w:ascii="Calibri" w:cs="Calibri" w:eastAsia="Calibri" w:hAnsi="Calibri"/>
          <w:sz w:val="21"/>
          <w:szCs w:val="21"/>
        </w:rPr>
        <w:t xml:space="preserve">Déplacés dans les onglets : décision de comité et historique du circuit (nouvel onglet « Circuit &amp; comité », qui remplace « Audit » ; l'historique y était en double), GFA / VEFA et facilités (« Financement »), pièces jointes (« Identification »), indicateurs PD / LGD / perte attendue (« Risque &amp; provision »).</w:t>
      </w:r>
    </w:p>
    <w:p>
      <w:pPr>
        <w:pStyle w:val="ListParagraph"/>
        <w:numPr>
          <w:ilvl w:val="0"/>
          <w:numId w:val="2"/>
        </w:numPr>
        <w:spacing w:after="60" w:line="276"/>
      </w:pPr>
      <w:r>
        <w:rPr>
          <w:rFonts w:ascii="Calibri" w:cs="Calibri" w:eastAsia="Calibri" w:hAnsi="Calibri"/>
          <w:sz w:val="21"/>
          <w:szCs w:val="21"/>
        </w:rPr>
        <w:t xml:space="preserve">Lien direct vers un onglet (?onglet=circuit, financement, risque…), utilisé par le rappel de la décision de comité.</w:t>
      </w:r>
    </w:p>
    <w:p>
      <w:pPr>
        <w:pStyle w:val="ListParagraph"/>
        <w:numPr>
          <w:ilvl w:val="0"/>
          <w:numId w:val="2"/>
        </w:numPr>
        <w:spacing w:after="60" w:line="276"/>
      </w:pPr>
      <w:r>
        <w:rPr>
          <w:rFonts w:ascii="Calibri" w:cs="Calibri" w:eastAsia="Calibri" w:hAnsi="Calibri"/>
          <w:sz w:val="21"/>
          <w:szCs w:val="21"/>
        </w:rPr>
        <w:t xml:space="preserve">Hauteur de la fiche : 2 067 px → 1 469 px sur grand écran (−29 %), 3 544 px → 2 914 px sur téléphone (−18 %).</w:t>
      </w:r>
    </w:p>
    <w:p>
      <w:pPr>
        <w:keepNext/>
        <w:spacing w:after="40" w:before="60"/>
        <w:jc w:val="center"/>
      </w:pPr>
      <w:r>
        <w:drawing>
          <wp:inline distT="0" distB="0" distL="0" distR="0">
            <wp:extent cx="4476750" cy="3248025"/>
            <wp:effectExtent t="0" r="0" b="0" l="0"/>
            <wp:docPr id="1" name="p1_fiche.png" descr="p1_fiche.png" title="p1_f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2480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Fiche projet : synthèse, actions côte à côte, puis onglets</w:t>
      </w:r>
    </w:p>
    <w:p>
      <w:r>
        <w:br w:type="page"/>
      </w:r>
    </w:p>
    <w:p>
      <w:pPr>
        <w:pStyle w:val="Heading1"/>
      </w:pPr>
      <w:r>
        <w:t xml:space="preserve">Annexe — Fichiers modifiés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3800"/>
        <w:gridCol w:w="5838"/>
      </w:tblGrid>
      <w:tr>
        <w:trPr>
          <w:cantSplit/>
          <w:tblHeader/>
        </w:trPr>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Fichier</w:t>
            </w:r>
          </w:p>
        </w:tc>
        <w:tc>
          <w:tcPr>
            <w:tcW w:type="dxa" w:w="58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Changement</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app/layout.tsx, components/AppNav.tsx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Navigation responsive (barre latérale / tiroir mobile), icônes, lien actif, recherche rapide, lien d'évitement.</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app/loading.tsx, app/error.tsx, app/not-found.tsx, app/icon.svg</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États de chargement, d'erreur, de page introuvable ; icône d'onglet.</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app/globals.css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Focus clavier visible, chiffres tabulaires, mouvements réduits.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lib/utils.ts, components/ui.tsx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Formats français (formatDecimal, formatMADCompact) ; indicateurs sans débordement avec valeur exacte au survol.</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lib/tones.ts, lib/labels.ts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Tons sémantiques ; couleurs des étapes du circuit centralisées.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lib/projectFilters.ts, app/projects/page.tsx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Recherche, filtres, tri ; cartes sur mobile.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components/SectionNav.tsx, app/projects/[id]/suivi/page.tsx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Sommaire collant ; synchronisation en en-tête.</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app/projects/[id]/page.tsx, components/ProjectSubnav.tsx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Actions dédoublonnées ; indicateurs compacts ; sous-navigation défilante.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components/PortfolioChart.tsx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Graphique vide expliqué.</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prisma/seed.ts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Groupe créé avant rattachement ; régions en codes.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tests/formatters.test.ts, tests/projectFilters.test.ts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6 tests.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prisma/migrations/20260901000000_rattrapage_db_push, 20261004000000_alignement_structure, prisma/schema.prisma, .github/workflows/ci.yml</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Migrations rejouables, structure alignée, contrôle en CI.</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components/form.tsx, tests/formErrors.test.ts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Composants de formulaire communs ; 3 tests.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components/ProjectForm, PromoterForm, VisitReportForm, CommitteeDecisionForm, ProgrammeV5Card, ScoringWizard</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Formulaires migrés, erreurs par champ, progression de la saisie.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app/projects/[id]/page.tsx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regroupée en onglets ; lien direct vers un onglet.</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F2" w:sz="4" w:space="4"/>
      </w:pBdr>
      <w:spacing w:after="0"/>
      <w:jc w:val="right"/>
    </w:pPr>
    <w:r>
      <w:rPr>
        <w:rFonts w:ascii="Calibri" w:cs="Calibri" w:eastAsia="Calibri" w:hAnsi="Calibri"/>
        <w:color w:val="595959"/>
        <w:sz w:val="15"/>
        <w:szCs w:val="15"/>
      </w:rPr>
      <w:t xml:space="preserve">Diagnostic design et fonctionnalités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1F2" w:sz="6"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429ecb00fc28ef8abb1edd713bf95a9d4eda01.png"/><Relationship Id="rId10" Type="http://schemas.openxmlformats.org/officeDocument/2006/relationships/image" Target="media/4049bbe0bb9a690d7445f0723056eb6574e63d87.png"/><Relationship Id="rId11" Type="http://schemas.openxmlformats.org/officeDocument/2006/relationships/image" Target="media/9946f560bafc8ec36bd337b1b897f6fca480149e.png"/><Relationship Id="rId12" Type="http://schemas.openxmlformats.org/officeDocument/2006/relationships/image" Target="media/767652643e7e79abffe62289daaf6fffbfb6bd4c.png"/><Relationship Id="rId13" Type="http://schemas.openxmlformats.org/officeDocument/2006/relationships/image" Target="media/0a779a46c87f6982eea363a7dd08f57dca6a5c6a.png"/><Relationship Id="rId14" Type="http://schemas.openxmlformats.org/officeDocument/2006/relationships/image" Target="media/d1e7d8f923e129ccadbc139be7604f7a57528939.png"/><Relationship Id="rId15" Type="http://schemas.openxmlformats.org/officeDocument/2006/relationships/image" Target="media/2e7f6986b74b6f80aed1518c84e3ef5d84734779.png"/><Relationship Id="rId16" Type="http://schemas.openxmlformats.org/officeDocument/2006/relationships/image" Target="media/59b1fb3fe53a4c76d201db9eb1b1d17a8e7f1429.png"/><Relationship Id="rId17" Type="http://schemas.openxmlformats.org/officeDocument/2006/relationships/image" Target="media/5b51a5bfaa23fa76f1c8a42fda125e3ef7514790.png"/><Relationship Id="rId18" Type="http://schemas.openxmlformats.org/officeDocument/2006/relationships/image" Target="media/7f8a2de7a4975ed80759b890f55d764aeccc318f.png"/><Relationship Id="rId19" Type="http://schemas.openxmlformats.org/officeDocument/2006/relationships/image" Target="media/4bfe1ea8d619fc79e9f2890c9e4005cd123f856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 design et fonctionnalités</dc:title>
  <dc:creator>Outil de scoring PI</dc:creator>
  <cp:lastModifiedBy>Un-named</cp:lastModifiedBy>
  <cp:revision>1</cp:revision>
  <dcterms:created xsi:type="dcterms:W3CDTF">2026-10-04T20:51:20.593Z</dcterms:created>
  <dcterms:modified xsi:type="dcterms:W3CDTF">2026-10-04T20:51:20.594Z</dcterms:modified>
</cp:coreProperties>
</file>

<file path=docProps/custom.xml><?xml version="1.0" encoding="utf-8"?>
<Properties xmlns="http://schemas.openxmlformats.org/officeDocument/2006/custom-properties" xmlns:vt="http://schemas.openxmlformats.org/officeDocument/2006/docPropsVTypes"/>
</file>