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rFonts w:ascii="Calibri" w:cs="Calibri" w:eastAsia="Calibri" w:hAnsi="Calibri"/>
          <w:b/>
          <w:bCs/>
          <w:color w:val="1F3864"/>
          <w:sz w:val="48"/>
          <w:szCs w:val="48"/>
        </w:rPr>
        <w:t xml:space="preserve">DIAGNOSTIC D'ALIGNEMENT</w:t>
      </w:r>
    </w:p>
    <w:p>
      <w:pPr>
        <w:spacing w:before="60"/>
        <w:jc w:val="center"/>
      </w:pPr>
      <w:r>
        <w:rPr>
          <w:rFonts w:ascii="Calibri" w:cs="Calibri" w:eastAsia="Calibri" w:hAnsi="Calibri"/>
          <w:b/>
          <w:bCs/>
          <w:color w:val="2E5496"/>
          <w:sz w:val="30"/>
          <w:szCs w:val="30"/>
        </w:rPr>
        <w:t xml:space="preserve">Code · Base de données · Modèle PI_PROMOTION v4.0.0</w:t>
      </w:r>
    </w:p>
    <w:p>
      <w:pPr>
        <w:pBdr>
          <w:top w:val="single" w:color="D9E1F2" w:sz="12" w:space="8"/>
        </w:pBdr>
        <w:spacing w:before="240"/>
        <w:jc w:val="center"/>
      </w:pPr>
      <w:r>
        <w:rPr>
          <w:rFonts w:ascii="Calibri" w:cs="Calibri" w:eastAsia="Calibri" w:hAnsi="Calibri"/>
          <w:sz w:val="2"/>
          <w:szCs w:val="2"/>
        </w:rPr>
        <w:t xml:space="preserve"/>
      </w:r>
    </w:p>
    <w:p>
      <w:pPr>
        <w:spacing w:before="300"/>
        <w:jc w:val="center"/>
      </w:pPr>
      <w:r>
        <w:rPr>
          <w:rFonts w:ascii="Calibri" w:cs="Calibri" w:eastAsia="Calibri" w:hAnsi="Calibri"/>
          <w:i/>
          <w:iCs/>
          <w:color w:val="595959"/>
          <w:sz w:val="26"/>
          <w:szCs w:val="26"/>
        </w:rPr>
        <w:t xml:space="preserve">Constats, corrections apportées, actions restantes</w:t>
      </w:r>
    </w:p>
    <w:p>
      <w:pPr>
        <w:spacing w:before="1300"/>
        <w:jc w:val="center"/>
      </w:pPr>
      <w:r>
        <w:rPr>
          <w:rFonts w:ascii="Calibri" w:cs="Calibri" w:eastAsia="Calibri" w:hAnsi="Calibri"/>
          <w:b/>
          <w:bCs/>
          <w:color w:val="1F3864"/>
          <w:sz w:val="22"/>
          <w:szCs w:val="22"/>
        </w:rPr>
        <w:t xml:space="preserve">15 écarts relevés · 15 corrigés dans le code ou la base · 3 actions à mener</w:t>
      </w:r>
    </w:p>
    <w:p>
      <w:pPr>
        <w:spacing w:before="40"/>
        <w:jc w:val="center"/>
      </w:pPr>
      <w:r>
        <w:rPr>
          <w:rFonts w:ascii="Calibri" w:cs="Calibri" w:eastAsia="Calibri" w:hAnsi="Calibri"/>
          <w:color w:val="595959"/>
          <w:sz w:val="20"/>
          <w:szCs w:val="20"/>
        </w:rPr>
        <w:t xml:space="preserve">30 septembre 2026</w:t>
      </w:r>
    </w:p>
    <w:p>
      <w:r>
        <w:br w:type="page"/>
      </w:r>
    </w:p>
    <w:p>
      <w:pPr>
        <w:pStyle w:val="Heading1"/>
        <w:spacing w:after="120" w:before="0" w:line="276"/>
      </w:pPr>
      <w:r>
        <w:rPr>
          <w:rFonts w:ascii="Calibri" w:cs="Calibri" w:eastAsia="Calibri" w:hAnsi="Calibri"/>
          <w:sz w:val="21"/>
          <w:szCs w:val="21"/>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0" w:line="276"/>
      </w:pPr>
      <w:r>
        <w:rPr>
          <w:rFonts w:ascii="Calibri" w:cs="Calibri" w:eastAsia="Calibri" w:hAnsi="Calibri"/>
          <w:sz w:val="21"/>
          <w:szCs w:val="21"/>
        </w:rPr>
        <w:t xml:space="preserve">1. Synthèse</w:t>
      </w:r>
    </w:p>
    <w:p>
      <w:pPr>
        <w:spacing w:after="120" w:before="0" w:line="276"/>
      </w:pPr>
      <w:r>
        <w:rPr>
          <w:rFonts w:ascii="Calibri" w:cs="Calibri" w:eastAsia="Calibri" w:hAnsi="Calibri"/>
          <w:sz w:val="21"/>
          <w:szCs w:val="21"/>
        </w:rPr>
        <w:t xml:space="preserve">Le schéma de la base et le code étaient alignés colonne par colonne. En revanche, le modèle publié (v4) n'était pas réellement exploité par l'application : l'écran de saisie ne permettait pas de renseigner les nouveaux critères, une saisie vidée devenait 0 (ce qui peut améliorer une note), une alerte v4 ne pouvait jamais se déclencher, et les informations que le moteur calcule depuis la v3 (données manquantes, classe interne, notes séparées) n'étaient ni conservées ni affichées. Enfin, les 43 scores du portefeuille dataient tous du modèle v2.</w:t>
      </w:r>
    </w:p>
    <w:tbl>
      <w:tblPr>
        <w:tblW w:type="dxa" w:w="9026"/>
        <w:tblBorders>
          <w:top w:val="single" w:color="AEB6C6" w:sz="2"/>
          <w:left w:val="single" w:color="AEB6C6" w:sz="2"/>
          <w:bottom w:val="single" w:color="AEB6C6" w:sz="2"/>
          <w:right w:val="single" w:color="AEB6C6" w:sz="2"/>
          <w:insideH w:val="single" w:color="D0D6E2" w:sz="1"/>
          <w:insideV w:val="single" w:color="D0D6E2" w:sz="1"/>
        </w:tblBorders>
      </w:tblPr>
      <w:tblGrid>
        <w:gridCol w:w="2600"/>
        <w:gridCol w:w="3400"/>
        <w:gridCol w:w="3026"/>
      </w:tblGrid>
      <w:tr>
        <w:trPr>
          <w:cantSplit/>
          <w:tblHeader/>
        </w:trPr>
        <w:tc>
          <w:tcPr>
            <w:tcW w:type="dxa" w:w="26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Couche</w:t>
            </w:r>
          </w:p>
        </w:tc>
        <w:tc>
          <w:tcPr>
            <w:tcW w:type="dxa" w:w="34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État constaté</w:t>
            </w:r>
          </w:p>
        </w:tc>
        <w:tc>
          <w:tcPr>
            <w:tcW w:type="dxa" w:w="3026"/>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État après correction</w:t>
            </w:r>
          </w:p>
        </w:tc>
      </w:tr>
      <w:tr>
        <w:trPr>
          <w:cantSplit/>
        </w:trPr>
        <w:tc>
          <w:tcPr>
            <w:tcW w:type="dxa" w:w="2600"/>
            <w:tcMar>
              <w:top w:type="dxa" w:w="40"/>
              <w:left w:type="dxa" w:w="80"/>
              <w:bottom w:type="dxa" w:w="40"/>
              <w:right w:type="dxa" w:w="80"/>
            </w:tcMar>
          </w:tcPr>
          <w:p>
            <w:pPr>
              <w:spacing w:after="0" w:line="240"/>
            </w:pPr>
            <w:r>
              <w:rPr>
                <w:rFonts w:ascii="Calibri" w:cs="Calibri" w:eastAsia="Calibri" w:hAnsi="Calibri"/>
                <w:sz w:val="17"/>
                <w:szCs w:val="17"/>
              </w:rPr>
              <w:t xml:space="preserve">Base ↔ schéma Prisma</w:t>
            </w:r>
          </w:p>
        </w:tc>
        <w:tc>
          <w:tcPr>
            <w:tcW w:type="dxa" w:w="3400"/>
            <w:tcMar>
              <w:top w:type="dxa" w:w="40"/>
              <w:left w:type="dxa" w:w="80"/>
              <w:bottom w:type="dxa" w:w="40"/>
              <w:right w:type="dxa" w:w="80"/>
            </w:tcMar>
          </w:tcPr>
          <w:p>
            <w:pPr>
              <w:spacing w:after="0" w:line="240"/>
            </w:pPr>
            <w:r>
              <w:rPr>
                <w:rFonts w:ascii="Calibri" w:cs="Calibri" w:eastAsia="Calibri" w:hAnsi="Calibri"/>
                <w:color w:val="548235"/>
                <w:sz w:val="17"/>
                <w:szCs w:val="17"/>
              </w:rPr>
              <w:t xml:space="preserve">Aligné (45 tables, 494 colonnes, 21 énumérations)</w:t>
            </w:r>
          </w:p>
        </w:tc>
        <w:tc>
          <w:tcPr>
            <w:tcW w:type="dxa" w:w="3026"/>
            <w:tcMar>
              <w:top w:type="dxa" w:w="40"/>
              <w:left w:type="dxa" w:w="80"/>
              <w:bottom w:type="dxa" w:w="40"/>
              <w:right w:type="dxa" w:w="80"/>
            </w:tcMar>
          </w:tcPr>
          <w:p>
            <w:pPr>
              <w:spacing w:after="0" w:line="240"/>
            </w:pPr>
            <w:r>
              <w:rPr>
                <w:rFonts w:ascii="Calibri" w:cs="Calibri" w:eastAsia="Calibri" w:hAnsi="Calibri"/>
                <w:color w:val="548235"/>
                <w:sz w:val="17"/>
                <w:szCs w:val="17"/>
              </w:rPr>
              <w:t xml:space="preserve">Aligné + colonne details</w:t>
            </w:r>
          </w:p>
        </w:tc>
      </w:tr>
      <w:tr>
        <w:trPr>
          <w:cantSplit/>
        </w:trPr>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Historique des migrations</w:t>
            </w:r>
          </w:p>
        </w:tc>
        <w:tc>
          <w:tcPr>
            <w:tcW w:type="dxa" w:w="3400"/>
            <w:shd w:fill="F2F5FB" w:color="auto" w:val="clear"/>
            <w:tcMar>
              <w:top w:type="dxa" w:w="40"/>
              <w:left w:type="dxa" w:w="80"/>
              <w:bottom w:type="dxa" w:w="40"/>
              <w:right w:type="dxa" w:w="80"/>
            </w:tcMar>
          </w:tcPr>
          <w:p>
            <w:pPr>
              <w:spacing w:after="0" w:line="240"/>
            </w:pPr>
            <w:r>
              <w:rPr>
                <w:rFonts w:ascii="Calibri" w:cs="Calibri" w:eastAsia="Calibri" w:hAnsi="Calibri"/>
                <w:color w:val="BF8F00"/>
                <w:sz w:val="17"/>
                <w:szCs w:val="17"/>
              </w:rPr>
              <w:t xml:space="preserve">2 migrations appliquées mais non enregistrées</w:t>
            </w:r>
          </w:p>
        </w:tc>
        <w:tc>
          <w:tcPr>
            <w:tcW w:type="dxa" w:w="3026"/>
            <w:shd w:fill="F2F5FB" w:color="auto" w:val="clear"/>
            <w:tcMar>
              <w:top w:type="dxa" w:w="40"/>
              <w:left w:type="dxa" w:w="80"/>
              <w:bottom w:type="dxa" w:w="40"/>
              <w:right w:type="dxa" w:w="80"/>
            </w:tcMar>
          </w:tcPr>
          <w:p>
            <w:pPr>
              <w:spacing w:after="0" w:line="240"/>
            </w:pPr>
            <w:r>
              <w:rPr>
                <w:rFonts w:ascii="Calibri" w:cs="Calibri" w:eastAsia="Calibri" w:hAnsi="Calibri"/>
                <w:color w:val="548235"/>
                <w:sz w:val="17"/>
                <w:szCs w:val="17"/>
              </w:rPr>
              <w:t xml:space="preserve">Enregistrées</w:t>
            </w:r>
          </w:p>
        </w:tc>
      </w:tr>
      <w:tr>
        <w:trPr>
          <w:cantSplit/>
        </w:trPr>
        <w:tc>
          <w:tcPr>
            <w:tcW w:type="dxa" w:w="2600"/>
            <w:tcMar>
              <w:top w:type="dxa" w:w="40"/>
              <w:left w:type="dxa" w:w="80"/>
              <w:bottom w:type="dxa" w:w="40"/>
              <w:right w:type="dxa" w:w="80"/>
            </w:tcMar>
          </w:tcPr>
          <w:p>
            <w:pPr>
              <w:spacing w:after="0" w:line="240"/>
            </w:pPr>
            <w:r>
              <w:rPr>
                <w:rFonts w:ascii="Calibri" w:cs="Calibri" w:eastAsia="Calibri" w:hAnsi="Calibri"/>
                <w:sz w:val="17"/>
                <w:szCs w:val="17"/>
              </w:rPr>
              <w:t xml:space="preserve">Versions du modèle en base</w:t>
            </w:r>
          </w:p>
        </w:tc>
        <w:tc>
          <w:tcPr>
            <w:tcW w:type="dxa" w:w="3400"/>
            <w:tcMar>
              <w:top w:type="dxa" w:w="40"/>
              <w:left w:type="dxa" w:w="80"/>
              <w:bottom w:type="dxa" w:w="40"/>
              <w:right w:type="dxa" w:w="80"/>
            </w:tcMar>
          </w:tcPr>
          <w:p>
            <w:pPr>
              <w:spacing w:after="0" w:line="240"/>
            </w:pPr>
            <w:r>
              <w:rPr>
                <w:rFonts w:ascii="Calibri" w:cs="Calibri" w:eastAsia="Calibri" w:hAnsi="Calibri"/>
                <w:color w:val="BF8F00"/>
                <w:sz w:val="17"/>
                <w:szCs w:val="17"/>
              </w:rPr>
              <w:t xml:space="preserve">v2, v3 et v4 toutes « publiées »</w:t>
            </w:r>
          </w:p>
        </w:tc>
        <w:tc>
          <w:tcPr>
            <w:tcW w:type="dxa" w:w="3026"/>
            <w:tcMar>
              <w:top w:type="dxa" w:w="40"/>
              <w:left w:type="dxa" w:w="80"/>
              <w:bottom w:type="dxa" w:w="40"/>
              <w:right w:type="dxa" w:w="80"/>
            </w:tcMar>
          </w:tcPr>
          <w:p>
            <w:pPr>
              <w:spacing w:after="0" w:line="240"/>
            </w:pPr>
            <w:r>
              <w:rPr>
                <w:rFonts w:ascii="Calibri" w:cs="Calibri" w:eastAsia="Calibri" w:hAnsi="Calibri"/>
                <w:color w:val="548235"/>
                <w:sz w:val="17"/>
                <w:szCs w:val="17"/>
              </w:rPr>
              <w:t xml:space="preserve">v4 seule publiée</w:t>
            </w:r>
          </w:p>
        </w:tc>
      </w:tr>
      <w:tr>
        <w:trPr>
          <w:cantSplit/>
        </w:trPr>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Modèle v4 dans le dépôt</w:t>
            </w:r>
          </w:p>
        </w:tc>
        <w:tc>
          <w:tcPr>
            <w:tcW w:type="dxa" w:w="3400"/>
            <w:shd w:fill="F2F5FB" w:color="auto" w:val="clear"/>
            <w:tcMar>
              <w:top w:type="dxa" w:w="40"/>
              <w:left w:type="dxa" w:w="80"/>
              <w:bottom w:type="dxa" w:w="40"/>
              <w:right w:type="dxa" w:w="80"/>
            </w:tcMar>
          </w:tcPr>
          <w:p>
            <w:pPr>
              <w:spacing w:after="0" w:line="240"/>
            </w:pPr>
            <w:r>
              <w:rPr>
                <w:rFonts w:ascii="Calibri" w:cs="Calibri" w:eastAsia="Calibri" w:hAnsi="Calibri"/>
                <w:color w:val="C00000"/>
                <w:sz w:val="17"/>
                <w:szCs w:val="17"/>
              </w:rPr>
              <w:t xml:space="preserve">Absent (n'existait qu'en base)</w:t>
            </w:r>
          </w:p>
        </w:tc>
        <w:tc>
          <w:tcPr>
            <w:tcW w:type="dxa" w:w="3026"/>
            <w:shd w:fill="F2F5FB" w:color="auto" w:val="clear"/>
            <w:tcMar>
              <w:top w:type="dxa" w:w="40"/>
              <w:left w:type="dxa" w:w="80"/>
              <w:bottom w:type="dxa" w:w="40"/>
              <w:right w:type="dxa" w:w="80"/>
            </w:tcMar>
          </w:tcPr>
          <w:p>
            <w:pPr>
              <w:spacing w:after="0" w:line="240"/>
            </w:pPr>
            <w:r>
              <w:rPr>
                <w:rFonts w:ascii="Calibri" w:cs="Calibri" w:eastAsia="Calibri" w:hAnsi="Calibri"/>
                <w:color w:val="548235"/>
                <w:sz w:val="17"/>
                <w:szCs w:val="17"/>
              </w:rPr>
              <w:t xml:space="preserve">Instantané versionné et testé</w:t>
            </w:r>
          </w:p>
        </w:tc>
      </w:tr>
      <w:tr>
        <w:trPr>
          <w:cantSplit/>
        </w:trPr>
        <w:tc>
          <w:tcPr>
            <w:tcW w:type="dxa" w:w="2600"/>
            <w:tcMar>
              <w:top w:type="dxa" w:w="40"/>
              <w:left w:type="dxa" w:w="80"/>
              <w:bottom w:type="dxa" w:w="40"/>
              <w:right w:type="dxa" w:w="80"/>
            </w:tcMar>
          </w:tcPr>
          <w:p>
            <w:pPr>
              <w:spacing w:after="0" w:line="240"/>
            </w:pPr>
            <w:r>
              <w:rPr>
                <w:rFonts w:ascii="Calibri" w:cs="Calibri" w:eastAsia="Calibri" w:hAnsi="Calibri"/>
                <w:sz w:val="17"/>
                <w:szCs w:val="17"/>
              </w:rPr>
              <w:t xml:space="preserve">Saisie ↔ modèle</w:t>
            </w:r>
          </w:p>
        </w:tc>
        <w:tc>
          <w:tcPr>
            <w:tcW w:type="dxa" w:w="3400"/>
            <w:tcMar>
              <w:top w:type="dxa" w:w="40"/>
              <w:left w:type="dxa" w:w="80"/>
              <w:bottom w:type="dxa" w:w="40"/>
              <w:right w:type="dxa" w:w="80"/>
            </w:tcMar>
          </w:tcPr>
          <w:p>
            <w:pPr>
              <w:spacing w:after="0" w:line="240"/>
            </w:pPr>
            <w:r>
              <w:rPr>
                <w:rFonts w:ascii="Calibri" w:cs="Calibri" w:eastAsia="Calibri" w:hAnsi="Calibri"/>
                <w:color w:val="C00000"/>
                <w:sz w:val="17"/>
                <w:szCs w:val="17"/>
              </w:rPr>
              <w:t xml:space="preserve">7 clés v4 non saisissables ; vide = 0</w:t>
            </w:r>
          </w:p>
        </w:tc>
        <w:tc>
          <w:tcPr>
            <w:tcW w:type="dxa" w:w="3026"/>
            <w:tcMar>
              <w:top w:type="dxa" w:w="40"/>
              <w:left w:type="dxa" w:w="80"/>
              <w:bottom w:type="dxa" w:w="40"/>
              <w:right w:type="dxa" w:w="80"/>
            </w:tcMar>
          </w:tcPr>
          <w:p>
            <w:pPr>
              <w:spacing w:after="0" w:line="240"/>
            </w:pPr>
            <w:r>
              <w:rPr>
                <w:rFonts w:ascii="Calibri" w:cs="Calibri" w:eastAsia="Calibri" w:hAnsi="Calibri"/>
                <w:color w:val="548235"/>
                <w:sz w:val="17"/>
                <w:szCs w:val="17"/>
              </w:rPr>
              <w:t xml:space="preserve">Couverture totale, vide = absent</w:t>
            </w:r>
          </w:p>
        </w:tc>
      </w:tr>
      <w:tr>
        <w:trPr>
          <w:cantSplit/>
        </w:trPr>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Résultat ↔ écran</w:t>
            </w:r>
          </w:p>
        </w:tc>
        <w:tc>
          <w:tcPr>
            <w:tcW w:type="dxa" w:w="3400"/>
            <w:shd w:fill="F2F5FB" w:color="auto" w:val="clear"/>
            <w:tcMar>
              <w:top w:type="dxa" w:w="40"/>
              <w:left w:type="dxa" w:w="80"/>
              <w:bottom w:type="dxa" w:w="40"/>
              <w:right w:type="dxa" w:w="80"/>
            </w:tcMar>
          </w:tcPr>
          <w:p>
            <w:pPr>
              <w:spacing w:after="0" w:line="240"/>
            </w:pPr>
            <w:r>
              <w:rPr>
                <w:rFonts w:ascii="Calibri" w:cs="Calibri" w:eastAsia="Calibri" w:hAnsi="Calibri"/>
                <w:color w:val="C00000"/>
                <w:sz w:val="17"/>
                <w:szCs w:val="17"/>
              </w:rPr>
              <w:t xml:space="preserve">Données manquantes et notes v3 invisibles</w:t>
            </w:r>
          </w:p>
        </w:tc>
        <w:tc>
          <w:tcPr>
            <w:tcW w:type="dxa" w:w="3026"/>
            <w:shd w:fill="F2F5FB" w:color="auto" w:val="clear"/>
            <w:tcMar>
              <w:top w:type="dxa" w:w="40"/>
              <w:left w:type="dxa" w:w="80"/>
              <w:bottom w:type="dxa" w:w="40"/>
              <w:right w:type="dxa" w:w="80"/>
            </w:tcMar>
          </w:tcPr>
          <w:p>
            <w:pPr>
              <w:spacing w:after="0" w:line="240"/>
            </w:pPr>
            <w:r>
              <w:rPr>
                <w:rFonts w:ascii="Calibri" w:cs="Calibri" w:eastAsia="Calibri" w:hAnsi="Calibri"/>
                <w:color w:val="548235"/>
                <w:sz w:val="17"/>
                <w:szCs w:val="17"/>
              </w:rPr>
              <w:t xml:space="preserve">Conservées et affichées</w:t>
            </w:r>
          </w:p>
        </w:tc>
      </w:tr>
      <w:tr>
        <w:trPr>
          <w:cantSplit/>
        </w:trPr>
        <w:tc>
          <w:tcPr>
            <w:tcW w:type="dxa" w:w="2600"/>
            <w:tcMar>
              <w:top w:type="dxa" w:w="40"/>
              <w:left w:type="dxa" w:w="80"/>
              <w:bottom w:type="dxa" w:w="40"/>
              <w:right w:type="dxa" w:w="80"/>
            </w:tcMar>
          </w:tcPr>
          <w:p>
            <w:pPr>
              <w:spacing w:after="0" w:line="240"/>
            </w:pPr>
            <w:r>
              <w:rPr>
                <w:rFonts w:ascii="Calibri" w:cs="Calibri" w:eastAsia="Calibri" w:hAnsi="Calibri"/>
                <w:sz w:val="17"/>
                <w:szCs w:val="17"/>
              </w:rPr>
              <w:t xml:space="preserve">Chaîne de calcul</w:t>
            </w:r>
          </w:p>
        </w:tc>
        <w:tc>
          <w:tcPr>
            <w:tcW w:type="dxa" w:w="3400"/>
            <w:tcMar>
              <w:top w:type="dxa" w:w="40"/>
              <w:left w:type="dxa" w:w="80"/>
              <w:bottom w:type="dxa" w:w="40"/>
              <w:right w:type="dxa" w:w="80"/>
            </w:tcMar>
          </w:tcPr>
          <w:p>
            <w:pPr>
              <w:spacing w:after="0" w:line="240"/>
            </w:pPr>
            <w:r>
              <w:rPr>
                <w:rFonts w:ascii="Calibri" w:cs="Calibri" w:eastAsia="Calibri" w:hAnsi="Calibri"/>
                <w:color w:val="C00000"/>
                <w:sz w:val="17"/>
                <w:szCs w:val="17"/>
              </w:rPr>
              <w:t xml:space="preserve">Division des risques non branchée ; stress différent</w:t>
            </w:r>
          </w:p>
        </w:tc>
        <w:tc>
          <w:tcPr>
            <w:tcW w:type="dxa" w:w="3026"/>
            <w:tcMar>
              <w:top w:type="dxa" w:w="40"/>
              <w:left w:type="dxa" w:w="80"/>
              <w:bottom w:type="dxa" w:w="40"/>
              <w:right w:type="dxa" w:w="80"/>
            </w:tcMar>
          </w:tcPr>
          <w:p>
            <w:pPr>
              <w:spacing w:after="0" w:line="240"/>
            </w:pPr>
            <w:r>
              <w:rPr>
                <w:rFonts w:ascii="Calibri" w:cs="Calibri" w:eastAsia="Calibri" w:hAnsi="Calibri"/>
                <w:color w:val="548235"/>
                <w:sz w:val="17"/>
                <w:szCs w:val="17"/>
              </w:rPr>
              <w:t xml:space="preserve">Branchée ; stress identique</w:t>
            </w:r>
          </w:p>
        </w:tc>
      </w:tr>
      <w:tr>
        <w:trPr>
          <w:cantSplit/>
        </w:trPr>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Portefeuille</w:t>
            </w:r>
          </w:p>
        </w:tc>
        <w:tc>
          <w:tcPr>
            <w:tcW w:type="dxa" w:w="3400"/>
            <w:shd w:fill="F2F5FB" w:color="auto" w:val="clear"/>
            <w:tcMar>
              <w:top w:type="dxa" w:w="40"/>
              <w:left w:type="dxa" w:w="80"/>
              <w:bottom w:type="dxa" w:w="40"/>
              <w:right w:type="dxa" w:w="80"/>
            </w:tcMar>
          </w:tcPr>
          <w:p>
            <w:pPr>
              <w:spacing w:after="0" w:line="240"/>
            </w:pPr>
            <w:r>
              <w:rPr>
                <w:rFonts w:ascii="Calibri" w:cs="Calibri" w:eastAsia="Calibri" w:hAnsi="Calibri"/>
                <w:color w:val="C00000"/>
                <w:sz w:val="17"/>
                <w:szCs w:val="17"/>
              </w:rPr>
              <w:t xml:space="preserve">43 scores, tous en v2</w:t>
            </w:r>
          </w:p>
        </w:tc>
        <w:tc>
          <w:tcPr>
            <w:tcW w:type="dxa" w:w="3026"/>
            <w:shd w:fill="F2F5FB" w:color="auto" w:val="clear"/>
            <w:tcMar>
              <w:top w:type="dxa" w:w="40"/>
              <w:left w:type="dxa" w:w="80"/>
              <w:bottom w:type="dxa" w:w="40"/>
              <w:right w:type="dxa" w:w="80"/>
            </w:tcMar>
          </w:tcPr>
          <w:p>
            <w:pPr>
              <w:spacing w:after="0" w:line="240"/>
            </w:pPr>
            <w:r>
              <w:rPr>
                <w:rFonts w:ascii="Calibri" w:cs="Calibri" w:eastAsia="Calibri" w:hAnsi="Calibri"/>
                <w:b/>
                <w:bCs/>
                <w:color w:val="BF8F00"/>
                <w:sz w:val="17"/>
                <w:szCs w:val="17"/>
              </w:rPr>
              <w:t xml:space="preserve">Outil de recalcul livré — à lancer</w:t>
            </w:r>
          </w:p>
        </w:tc>
      </w:tr>
    </w:tbl>
    <w:p>
      <w:pPr>
        <w:pStyle w:val="Heading1"/>
        <w:spacing w:after="120" w:before="0" w:line="276"/>
      </w:pPr>
      <w:r>
        <w:rPr>
          <w:rFonts w:ascii="Calibri" w:cs="Calibri" w:eastAsia="Calibri" w:hAnsi="Calibri"/>
          <w:sz w:val="21"/>
          <w:szCs w:val="21"/>
        </w:rPr>
        <w:t xml:space="preserve">2. Méthode</w:t>
      </w:r>
    </w:p>
    <w:p>
      <w:pPr>
        <w:pStyle w:val="ListParagraph"/>
        <w:numPr>
          <w:ilvl w:val="0"/>
          <w:numId w:val="2"/>
        </w:numPr>
        <w:spacing w:after="60" w:line="276"/>
      </w:pPr>
      <w:r>
        <w:rPr>
          <w:rFonts w:ascii="Calibri" w:cs="Calibri" w:eastAsia="Calibri" w:hAnsi="Calibri"/>
          <w:sz w:val="21"/>
          <w:szCs w:val="21"/>
        </w:rPr>
        <w:t xml:space="preserve">Comparaison automatisée du schéma réel de la base (information_schema, types énumérés) avec le schéma Prisma, colonne par colonne.</w:t>
      </w:r>
    </w:p>
    <w:p>
      <w:pPr>
        <w:pStyle w:val="ListParagraph"/>
        <w:numPr>
          <w:ilvl w:val="0"/>
          <w:numId w:val="2"/>
        </w:numPr>
        <w:spacing w:after="60" w:line="276"/>
      </w:pPr>
      <w:r>
        <w:rPr>
          <w:rFonts w:ascii="Calibri" w:cs="Calibri" w:eastAsia="Calibri" w:hAnsi="Calibri"/>
          <w:sz w:val="21"/>
          <w:szCs w:val="21"/>
        </w:rPr>
        <w:t xml:space="preserve">Extraction complète de la version publiée du modèle (v4) en base et recoupement avec une extraction indépendante antérieure : 0 écart sur 29 critères, 86 lignes de barème et 13 alertes.</w:t>
      </w:r>
    </w:p>
    <w:p>
      <w:pPr>
        <w:pStyle w:val="ListParagraph"/>
        <w:numPr>
          <w:ilvl w:val="0"/>
          <w:numId w:val="2"/>
        </w:numPr>
        <w:spacing w:after="60" w:line="276"/>
      </w:pPr>
      <w:r>
        <w:rPr>
          <w:rFonts w:ascii="Calibri" w:cs="Calibri" w:eastAsia="Calibri" w:hAnsi="Calibri"/>
          <w:sz w:val="21"/>
          <w:szCs w:val="21"/>
        </w:rPr>
        <w:t xml:space="preserve">Croisement de chaque clé du modèle (critère ou alerte) avec chaque couche du code : saisie, validation, libellés, fichier d'import, extraction par IA, calculs dérivés du suivi.</w:t>
      </w:r>
    </w:p>
    <w:p>
      <w:pPr>
        <w:pStyle w:val="ListParagraph"/>
        <w:numPr>
          <w:ilvl w:val="0"/>
          <w:numId w:val="2"/>
        </w:numPr>
        <w:spacing w:after="60" w:line="276"/>
      </w:pPr>
      <w:r>
        <w:rPr>
          <w:rFonts w:ascii="Calibri" w:cs="Calibri" w:eastAsia="Calibri" w:hAnsi="Calibri"/>
          <w:sz w:val="21"/>
          <w:szCs w:val="21"/>
        </w:rPr>
        <w:t xml:space="preserve">Lecture du pipeline officiel (classification → scoring → provisionnement) et des calculs parallèles (stress, challengers) pour vérifier qu'ils appliquent les mêmes règles.</w:t>
      </w:r>
    </w:p>
    <w:p>
      <w:pPr>
        <w:pStyle w:val="ListParagraph"/>
        <w:numPr>
          <w:ilvl w:val="0"/>
          <w:numId w:val="2"/>
        </w:numPr>
        <w:spacing w:after="60" w:line="276"/>
      </w:pPr>
      <w:r>
        <w:rPr>
          <w:rFonts w:ascii="Calibri" w:cs="Calibri" w:eastAsia="Calibri" w:hAnsi="Calibri"/>
          <w:sz w:val="21"/>
          <w:szCs w:val="21"/>
        </w:rPr>
        <w:t xml:space="preserve">Contrôle des données en base : versions publiées, version utilisée par les scores, alimentation des clés v4 sur les projets.</w:t>
      </w:r>
    </w:p>
    <w:p>
      <w:r>
        <w:br w:type="page"/>
      </w:r>
    </w:p>
    <w:p>
      <w:pPr>
        <w:pStyle w:val="Heading1"/>
        <w:spacing w:after="120" w:before="0" w:line="276"/>
      </w:pPr>
      <w:r>
        <w:rPr>
          <w:rFonts w:ascii="Calibri" w:cs="Calibri" w:eastAsia="Calibri" w:hAnsi="Calibri"/>
          <w:sz w:val="21"/>
          <w:szCs w:val="21"/>
        </w:rPr>
        <w:t xml:space="preserve">3. Constats et corrections</w:t>
      </w:r>
    </w:p>
    <w:tbl>
      <w:tblPr>
        <w:tblW w:type="dxa" w:w="9026"/>
        <w:tblBorders>
          <w:top w:val="single" w:color="AEB6C6" w:sz="2"/>
          <w:left w:val="single" w:color="AEB6C6" w:sz="2"/>
          <w:bottom w:val="single" w:color="AEB6C6" w:sz="2"/>
          <w:right w:val="single" w:color="AEB6C6" w:sz="2"/>
          <w:insideH w:val="single" w:color="D0D6E2" w:sz="1"/>
          <w:insideV w:val="single" w:color="D0D6E2" w:sz="1"/>
        </w:tblBorders>
      </w:tblPr>
      <w:tblGrid>
        <w:gridCol w:w="600"/>
        <w:gridCol w:w="850"/>
        <w:gridCol w:w="1150"/>
        <w:gridCol w:w="3300"/>
        <w:gridCol w:w="2176"/>
        <w:gridCol w:w="950"/>
      </w:tblGrid>
      <w:tr>
        <w:trPr>
          <w:cantSplit/>
          <w:tblHeader/>
        </w:trPr>
        <w:tc>
          <w:tcPr>
            <w:tcW w:type="dxa" w:w="6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Réf.</w:t>
            </w:r>
          </w:p>
        </w:tc>
        <w:tc>
          <w:tcPr>
            <w:tcW w:type="dxa" w:w="85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Gravité</w:t>
            </w:r>
          </w:p>
        </w:tc>
        <w:tc>
          <w:tcPr>
            <w:tcW w:type="dxa" w:w="115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Couche</w:t>
            </w:r>
          </w:p>
        </w:tc>
        <w:tc>
          <w:tcPr>
            <w:tcW w:type="dxa" w:w="3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Constat</w:t>
            </w:r>
          </w:p>
        </w:tc>
        <w:tc>
          <w:tcPr>
            <w:tcW w:type="dxa" w:w="2176"/>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Correction</w:t>
            </w:r>
          </w:p>
        </w:tc>
        <w:tc>
          <w:tcPr>
            <w:tcW w:type="dxa" w:w="95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Statut</w:t>
            </w:r>
          </w:p>
        </w:tc>
      </w:tr>
      <w:tr>
        <w:trPr>
          <w:cantSplit/>
        </w:trPr>
        <w:tc>
          <w:tcPr>
            <w:tcW w:type="dxa" w:w="600"/>
            <w:tcMar>
              <w:top w:type="dxa" w:w="40"/>
              <w:left w:type="dxa" w:w="80"/>
              <w:bottom w:type="dxa" w:w="40"/>
              <w:right w:type="dxa" w:w="80"/>
            </w:tcMar>
          </w:tcPr>
          <w:p>
            <w:pPr>
              <w:spacing w:after="0" w:line="240"/>
            </w:pPr>
            <w:r>
              <w:rPr>
                <w:rFonts w:ascii="Calibri" w:cs="Calibri" w:eastAsia="Calibri" w:hAnsi="Calibri"/>
                <w:b/>
                <w:bCs/>
                <w:sz w:val="17"/>
                <w:szCs w:val="17"/>
              </w:rPr>
              <w:t xml:space="preserve">A01</w:t>
            </w:r>
          </w:p>
        </w:tc>
        <w:tc>
          <w:tcPr>
            <w:tcW w:type="dxa" w:w="850"/>
            <w:tcMar>
              <w:top w:type="dxa" w:w="40"/>
              <w:left w:type="dxa" w:w="80"/>
              <w:bottom w:type="dxa" w:w="40"/>
              <w:right w:type="dxa" w:w="80"/>
            </w:tcMar>
          </w:tcPr>
          <w:p>
            <w:pPr>
              <w:spacing w:after="0" w:line="240"/>
            </w:pPr>
            <w:r>
              <w:rPr>
                <w:rFonts w:ascii="Calibri" w:cs="Calibri" w:eastAsia="Calibri" w:hAnsi="Calibri"/>
                <w:b/>
                <w:bCs/>
                <w:color w:val="C00000"/>
                <w:sz w:val="17"/>
                <w:szCs w:val="17"/>
              </w:rPr>
              <w:t xml:space="preserve">Critique</w:t>
            </w:r>
          </w:p>
        </w:tc>
        <w:tc>
          <w:tcPr>
            <w:tcW w:type="dxa" w:w="1150"/>
            <w:tcMar>
              <w:top w:type="dxa" w:w="40"/>
              <w:left w:type="dxa" w:w="80"/>
              <w:bottom w:type="dxa" w:w="40"/>
              <w:right w:type="dxa" w:w="80"/>
            </w:tcMar>
          </w:tcPr>
          <w:p>
            <w:pPr>
              <w:spacing w:after="0" w:line="240"/>
            </w:pPr>
            <w:r>
              <w:rPr>
                <w:rFonts w:ascii="Calibri" w:cs="Calibri" w:eastAsia="Calibri" w:hAnsi="Calibri"/>
                <w:sz w:val="17"/>
                <w:szCs w:val="17"/>
              </w:rPr>
              <w:t xml:space="preserve">Saisie</w:t>
            </w:r>
          </w:p>
        </w:tc>
        <w:tc>
          <w:tcPr>
            <w:tcW w:type="dxa" w:w="3300"/>
            <w:tcMar>
              <w:top w:type="dxa" w:w="40"/>
              <w:left w:type="dxa" w:w="80"/>
              <w:bottom w:type="dxa" w:w="40"/>
              <w:right w:type="dxa" w:w="80"/>
            </w:tcMar>
          </w:tcPr>
          <w:p>
            <w:pPr>
              <w:spacing w:after="0" w:line="240"/>
            </w:pPr>
            <w:r>
              <w:rPr>
                <w:rFonts w:ascii="Calibri" w:cs="Calibri" w:eastAsia="Calibri" w:hAnsi="Calibri"/>
                <w:sz w:val="17"/>
                <w:szCs w:val="17"/>
              </w:rPr>
              <w:t xml:space="preserve">Un champ numérique vidé était enregistré 0. Exemples : impasse vidée = 0 = note 10 ; retard de chantier vidé = 0 = alerte désactivée. Contredit l'invariant « une omission n'améliore jamais la décision ».</w:t>
            </w:r>
          </w:p>
        </w:tc>
        <w:tc>
          <w:tcPr>
            <w:tcW w:type="dxa" w:w="2176"/>
            <w:tcMar>
              <w:top w:type="dxa" w:w="40"/>
              <w:left w:type="dxa" w:w="80"/>
              <w:bottom w:type="dxa" w:w="40"/>
              <w:right w:type="dxa" w:w="80"/>
            </w:tcMar>
          </w:tcPr>
          <w:p>
            <w:pPr>
              <w:spacing w:after="0" w:line="240"/>
            </w:pPr>
            <w:r>
              <w:rPr>
                <w:rFonts w:ascii="Calibri" w:cs="Calibri" w:eastAsia="Calibri" w:hAnsi="Calibri"/>
                <w:sz w:val="17"/>
                <w:szCs w:val="17"/>
              </w:rPr>
              <w:t xml:space="preserve">Vide = donnée absente ; la valeur est supprimée.</w:t>
            </w:r>
          </w:p>
        </w:tc>
        <w:tc>
          <w:tcPr>
            <w:tcW w:type="dxa" w:w="950"/>
            <w:tcMar>
              <w:top w:type="dxa" w:w="40"/>
              <w:left w:type="dxa" w:w="80"/>
              <w:bottom w:type="dxa" w:w="40"/>
              <w:right w:type="dxa" w:w="80"/>
            </w:tcMar>
          </w:tcPr>
          <w:p>
            <w:pPr>
              <w:spacing w:after="0" w:line="240"/>
            </w:pPr>
            <w:r>
              <w:rPr>
                <w:rFonts w:ascii="Calibri" w:cs="Calibri" w:eastAsia="Calibri" w:hAnsi="Calibri"/>
                <w:b/>
                <w:bCs/>
                <w:color w:val="548235"/>
                <w:sz w:val="17"/>
                <w:szCs w:val="17"/>
              </w:rPr>
              <w:t xml:space="preserve">Corrigé</w:t>
            </w:r>
          </w:p>
        </w:tc>
      </w:tr>
      <w:tr>
        <w:trPr>
          <w:cantSplit/>
        </w:trPr>
        <w:tc>
          <w:tcPr>
            <w:tcW w:type="dxa" w:w="6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A02</w:t>
            </w:r>
          </w:p>
        </w:tc>
        <w:tc>
          <w:tcPr>
            <w:tcW w:type="dxa" w:w="850"/>
            <w:shd w:fill="F2F5FB" w:color="auto" w:val="clear"/>
            <w:tcMar>
              <w:top w:type="dxa" w:w="40"/>
              <w:left w:type="dxa" w:w="80"/>
              <w:bottom w:type="dxa" w:w="40"/>
              <w:right w:type="dxa" w:w="80"/>
            </w:tcMar>
          </w:tcPr>
          <w:p>
            <w:pPr>
              <w:spacing w:after="0" w:line="240"/>
            </w:pPr>
            <w:r>
              <w:rPr>
                <w:rFonts w:ascii="Calibri" w:cs="Calibri" w:eastAsia="Calibri" w:hAnsi="Calibri"/>
                <w:color w:val="C00000"/>
                <w:sz w:val="17"/>
                <w:szCs w:val="17"/>
              </w:rPr>
              <w:t xml:space="preserve">Élevée</w:t>
            </w:r>
          </w:p>
        </w:tc>
        <w:tc>
          <w:tcPr>
            <w:tcW w:type="dxa" w:w="115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Validation</w:t>
            </w:r>
          </w:p>
        </w:tc>
        <w:tc>
          <w:tcPr>
            <w:tcW w:type="dxa" w:w="3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Valeurs par défaut fabriquées (retards à 0, booléens à « Non », exploitation « sain » / « non restructuré ») ; brouillon partiel impossible.</w:t>
            </w:r>
          </w:p>
        </w:tc>
        <w:tc>
          <w:tcPr>
            <w:tcW w:type="dxa" w:w="2176"/>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Plus aucune valeur fabriquée ; brouillons partiels acceptés ; la complétude est jugée par le moteur.</w:t>
            </w:r>
          </w:p>
        </w:tc>
        <w:tc>
          <w:tcPr>
            <w:tcW w:type="dxa" w:w="950"/>
            <w:shd w:fill="F2F5FB" w:color="auto" w:val="clear"/>
            <w:tcMar>
              <w:top w:type="dxa" w:w="40"/>
              <w:left w:type="dxa" w:w="80"/>
              <w:bottom w:type="dxa" w:w="40"/>
              <w:right w:type="dxa" w:w="80"/>
            </w:tcMar>
          </w:tcPr>
          <w:p>
            <w:pPr>
              <w:spacing w:after="0" w:line="240"/>
            </w:pPr>
            <w:r>
              <w:rPr>
                <w:rFonts w:ascii="Calibri" w:cs="Calibri" w:eastAsia="Calibri" w:hAnsi="Calibri"/>
                <w:b/>
                <w:bCs/>
                <w:color w:val="548235"/>
                <w:sz w:val="17"/>
                <w:szCs w:val="17"/>
              </w:rPr>
              <w:t xml:space="preserve">Corrigé</w:t>
            </w:r>
          </w:p>
        </w:tc>
      </w:tr>
      <w:tr>
        <w:trPr>
          <w:cantSplit/>
        </w:trPr>
        <w:tc>
          <w:tcPr>
            <w:tcW w:type="dxa" w:w="600"/>
            <w:tcMar>
              <w:top w:type="dxa" w:w="40"/>
              <w:left w:type="dxa" w:w="80"/>
              <w:bottom w:type="dxa" w:w="40"/>
              <w:right w:type="dxa" w:w="80"/>
            </w:tcMar>
          </w:tcPr>
          <w:p>
            <w:pPr>
              <w:spacing w:after="0" w:line="240"/>
            </w:pPr>
            <w:r>
              <w:rPr>
                <w:rFonts w:ascii="Calibri" w:cs="Calibri" w:eastAsia="Calibri" w:hAnsi="Calibri"/>
                <w:b/>
                <w:bCs/>
                <w:sz w:val="17"/>
                <w:szCs w:val="17"/>
              </w:rPr>
              <w:t xml:space="preserve">A03</w:t>
            </w:r>
          </w:p>
        </w:tc>
        <w:tc>
          <w:tcPr>
            <w:tcW w:type="dxa" w:w="850"/>
            <w:tcMar>
              <w:top w:type="dxa" w:w="40"/>
              <w:left w:type="dxa" w:w="80"/>
              <w:bottom w:type="dxa" w:w="40"/>
              <w:right w:type="dxa" w:w="80"/>
            </w:tcMar>
          </w:tcPr>
          <w:p>
            <w:pPr>
              <w:spacing w:after="0" w:line="240"/>
            </w:pPr>
            <w:r>
              <w:rPr>
                <w:rFonts w:ascii="Calibri" w:cs="Calibri" w:eastAsia="Calibri" w:hAnsi="Calibri"/>
                <w:color w:val="C00000"/>
                <w:sz w:val="17"/>
                <w:szCs w:val="17"/>
              </w:rPr>
              <w:t xml:space="preserve">Élevée</w:t>
            </w:r>
          </w:p>
        </w:tc>
        <w:tc>
          <w:tcPr>
            <w:tcW w:type="dxa" w:w="1150"/>
            <w:tcMar>
              <w:top w:type="dxa" w:w="40"/>
              <w:left w:type="dxa" w:w="80"/>
              <w:bottom w:type="dxa" w:w="40"/>
              <w:right w:type="dxa" w:w="80"/>
            </w:tcMar>
          </w:tcPr>
          <w:p>
            <w:pPr>
              <w:spacing w:after="0" w:line="240"/>
            </w:pPr>
            <w:r>
              <w:rPr>
                <w:rFonts w:ascii="Calibri" w:cs="Calibri" w:eastAsia="Calibri" w:hAnsi="Calibri"/>
                <w:sz w:val="17"/>
                <w:szCs w:val="17"/>
              </w:rPr>
              <w:t xml:space="preserve">Validation</w:t>
            </w:r>
          </w:p>
        </w:tc>
        <w:tc>
          <w:tcPr>
            <w:tcW w:type="dxa" w:w="3300"/>
            <w:tcMar>
              <w:top w:type="dxa" w:w="40"/>
              <w:left w:type="dxa" w:w="80"/>
              <w:bottom w:type="dxa" w:w="40"/>
              <w:right w:type="dxa" w:w="80"/>
            </w:tcMar>
          </w:tcPr>
          <w:p>
            <w:pPr>
              <w:spacing w:after="0" w:line="240"/>
            </w:pPr>
            <w:r>
              <w:rPr>
                <w:rFonts w:ascii="Calibri" w:cs="Calibri" w:eastAsia="Calibri" w:hAnsi="Calibri"/>
                <w:sz w:val="17"/>
                <w:szCs w:val="17"/>
              </w:rPr>
              <w:t xml:space="preserve">Un booléen transmis en texte « false » était lu comme vrai.</w:t>
            </w:r>
          </w:p>
        </w:tc>
        <w:tc>
          <w:tcPr>
            <w:tcW w:type="dxa" w:w="2176"/>
            <w:tcMar>
              <w:top w:type="dxa" w:w="40"/>
              <w:left w:type="dxa" w:w="80"/>
              <w:bottom w:type="dxa" w:w="40"/>
              <w:right w:type="dxa" w:w="80"/>
            </w:tcMar>
          </w:tcPr>
          <w:p>
            <w:pPr>
              <w:spacing w:after="0" w:line="240"/>
            </w:pPr>
            <w:r>
              <w:rPr>
                <w:rFonts w:ascii="Calibri" w:cs="Calibri" w:eastAsia="Calibri" w:hAnsi="Calibri"/>
                <w:sz w:val="17"/>
                <w:szCs w:val="17"/>
              </w:rPr>
              <w:t xml:space="preserve">Lecture explicite oui/non, vrai/faux, 1/0.</w:t>
            </w:r>
          </w:p>
        </w:tc>
        <w:tc>
          <w:tcPr>
            <w:tcW w:type="dxa" w:w="950"/>
            <w:tcMar>
              <w:top w:type="dxa" w:w="40"/>
              <w:left w:type="dxa" w:w="80"/>
              <w:bottom w:type="dxa" w:w="40"/>
              <w:right w:type="dxa" w:w="80"/>
            </w:tcMar>
          </w:tcPr>
          <w:p>
            <w:pPr>
              <w:spacing w:after="0" w:line="240"/>
            </w:pPr>
            <w:r>
              <w:rPr>
                <w:rFonts w:ascii="Calibri" w:cs="Calibri" w:eastAsia="Calibri" w:hAnsi="Calibri"/>
                <w:b/>
                <w:bCs/>
                <w:color w:val="548235"/>
                <w:sz w:val="17"/>
                <w:szCs w:val="17"/>
              </w:rPr>
              <w:t xml:space="preserve">Corrigé</w:t>
            </w:r>
          </w:p>
        </w:tc>
      </w:tr>
      <w:tr>
        <w:trPr>
          <w:cantSplit/>
        </w:trPr>
        <w:tc>
          <w:tcPr>
            <w:tcW w:type="dxa" w:w="6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A04</w:t>
            </w:r>
          </w:p>
        </w:tc>
        <w:tc>
          <w:tcPr>
            <w:tcW w:type="dxa" w:w="850"/>
            <w:shd w:fill="F2F5FB" w:color="auto" w:val="clear"/>
            <w:tcMar>
              <w:top w:type="dxa" w:w="40"/>
              <w:left w:type="dxa" w:w="80"/>
              <w:bottom w:type="dxa" w:w="40"/>
              <w:right w:type="dxa" w:w="80"/>
            </w:tcMar>
          </w:tcPr>
          <w:p>
            <w:pPr>
              <w:spacing w:after="0" w:line="240"/>
            </w:pPr>
            <w:r>
              <w:rPr>
                <w:rFonts w:ascii="Calibri" w:cs="Calibri" w:eastAsia="Calibri" w:hAnsi="Calibri"/>
                <w:color w:val="C00000"/>
                <w:sz w:val="17"/>
                <w:szCs w:val="17"/>
              </w:rPr>
              <w:t xml:space="preserve">Élevée</w:t>
            </w:r>
          </w:p>
        </w:tc>
        <w:tc>
          <w:tcPr>
            <w:tcW w:type="dxa" w:w="115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Saisie, import</w:t>
            </w:r>
          </w:p>
        </w:tc>
        <w:tc>
          <w:tcPr>
            <w:tcW w:type="dxa" w:w="3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Les 7 clés du modèle v4 étaient absentes de la saisie, de la validation (qui les supprimait), des libellés et du fichier d'import : elles ne pouvaient provenir que de la synchronisation du suivi.</w:t>
            </w:r>
          </w:p>
        </w:tc>
        <w:tc>
          <w:tcPr>
            <w:tcW w:type="dxa" w:w="2176"/>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Nouvel onglet « Pratique marocaine (modèle v4) », libellés, colonnes d'import.</w:t>
            </w:r>
          </w:p>
        </w:tc>
        <w:tc>
          <w:tcPr>
            <w:tcW w:type="dxa" w:w="950"/>
            <w:shd w:fill="F2F5FB" w:color="auto" w:val="clear"/>
            <w:tcMar>
              <w:top w:type="dxa" w:w="40"/>
              <w:left w:type="dxa" w:w="80"/>
              <w:bottom w:type="dxa" w:w="40"/>
              <w:right w:type="dxa" w:w="80"/>
            </w:tcMar>
          </w:tcPr>
          <w:p>
            <w:pPr>
              <w:spacing w:after="0" w:line="240"/>
            </w:pPr>
            <w:r>
              <w:rPr>
                <w:rFonts w:ascii="Calibri" w:cs="Calibri" w:eastAsia="Calibri" w:hAnsi="Calibri"/>
                <w:b/>
                <w:bCs/>
                <w:color w:val="548235"/>
                <w:sz w:val="17"/>
                <w:szCs w:val="17"/>
              </w:rPr>
              <w:t xml:space="preserve">Corrigé</w:t>
            </w:r>
          </w:p>
        </w:tc>
      </w:tr>
      <w:tr>
        <w:trPr>
          <w:cantSplit/>
        </w:trPr>
        <w:tc>
          <w:tcPr>
            <w:tcW w:type="dxa" w:w="600"/>
            <w:tcMar>
              <w:top w:type="dxa" w:w="40"/>
              <w:left w:type="dxa" w:w="80"/>
              <w:bottom w:type="dxa" w:w="40"/>
              <w:right w:type="dxa" w:w="80"/>
            </w:tcMar>
          </w:tcPr>
          <w:p>
            <w:pPr>
              <w:spacing w:after="0" w:line="240"/>
            </w:pPr>
            <w:r>
              <w:rPr>
                <w:rFonts w:ascii="Calibri" w:cs="Calibri" w:eastAsia="Calibri" w:hAnsi="Calibri"/>
                <w:b/>
                <w:bCs/>
                <w:sz w:val="17"/>
                <w:szCs w:val="17"/>
              </w:rPr>
              <w:t xml:space="preserve">A05</w:t>
            </w:r>
          </w:p>
        </w:tc>
        <w:tc>
          <w:tcPr>
            <w:tcW w:type="dxa" w:w="850"/>
            <w:tcMar>
              <w:top w:type="dxa" w:w="40"/>
              <w:left w:type="dxa" w:w="80"/>
              <w:bottom w:type="dxa" w:w="40"/>
              <w:right w:type="dxa" w:w="80"/>
            </w:tcMar>
          </w:tcPr>
          <w:p>
            <w:pPr>
              <w:spacing w:after="0" w:line="240"/>
            </w:pPr>
            <w:r>
              <w:rPr>
                <w:rFonts w:ascii="Calibri" w:cs="Calibri" w:eastAsia="Calibri" w:hAnsi="Calibri"/>
                <w:color w:val="C00000"/>
                <w:sz w:val="17"/>
                <w:szCs w:val="17"/>
              </w:rPr>
              <w:t xml:space="preserve">Élevée</w:t>
            </w:r>
          </w:p>
        </w:tc>
        <w:tc>
          <w:tcPr>
            <w:tcW w:type="dxa" w:w="1150"/>
            <w:tcMar>
              <w:top w:type="dxa" w:w="40"/>
              <w:left w:type="dxa" w:w="80"/>
              <w:bottom w:type="dxa" w:w="40"/>
              <w:right w:type="dxa" w:w="80"/>
            </w:tcMar>
          </w:tcPr>
          <w:p>
            <w:pPr>
              <w:spacing w:after="0" w:line="240"/>
            </w:pPr>
            <w:r>
              <w:rPr>
                <w:rFonts w:ascii="Calibri" w:cs="Calibri" w:eastAsia="Calibri" w:hAnsi="Calibri"/>
                <w:sz w:val="17"/>
                <w:szCs w:val="17"/>
              </w:rPr>
              <w:t xml:space="preserve">Chaîne de calcul</w:t>
            </w:r>
          </w:p>
        </w:tc>
        <w:tc>
          <w:tcPr>
            <w:tcW w:type="dxa" w:w="3300"/>
            <w:tcMar>
              <w:top w:type="dxa" w:w="40"/>
              <w:left w:type="dxa" w:w="80"/>
              <w:bottom w:type="dxa" w:w="40"/>
              <w:right w:type="dxa" w:w="80"/>
            </w:tcMar>
          </w:tcPr>
          <w:p>
            <w:pPr>
              <w:spacing w:after="0" w:line="240"/>
            </w:pPr>
            <w:r>
              <w:rPr>
                <w:rFonts w:ascii="Calibri" w:cs="Calibri" w:eastAsia="Calibri" w:hAnsi="Calibri"/>
                <w:sz w:val="17"/>
                <w:szCs w:val="17"/>
              </w:rPr>
              <w:t xml:space="preserve">L'alerte « Limite de division des risques dépassée » ne pouvait jamais se déclencher : le module de calcul existait mais n'était branché nulle part.</w:t>
            </w:r>
          </w:p>
        </w:tc>
        <w:tc>
          <w:tcPr>
            <w:tcW w:type="dxa" w:w="2176"/>
            <w:tcMar>
              <w:top w:type="dxa" w:w="40"/>
              <w:left w:type="dxa" w:w="80"/>
              <w:bottom w:type="dxa" w:w="40"/>
              <w:right w:type="dxa" w:w="80"/>
            </w:tcMar>
          </w:tcPr>
          <w:p>
            <w:pPr>
              <w:spacing w:after="0" w:line="240"/>
            </w:pPr>
            <w:r>
              <w:rPr>
                <w:rFonts w:ascii="Calibri" w:cs="Calibri" w:eastAsia="Calibri" w:hAnsi="Calibri"/>
                <w:sz w:val="17"/>
                <w:szCs w:val="17"/>
              </w:rPr>
              <w:t xml:space="preserve">Contrôle calculé à la synchronisation (groupe d'intérêt ou promoteur), sur fonds propres paramétrables.</w:t>
            </w:r>
          </w:p>
        </w:tc>
        <w:tc>
          <w:tcPr>
            <w:tcW w:type="dxa" w:w="950"/>
            <w:tcMar>
              <w:top w:type="dxa" w:w="40"/>
              <w:left w:type="dxa" w:w="80"/>
              <w:bottom w:type="dxa" w:w="40"/>
              <w:right w:type="dxa" w:w="80"/>
            </w:tcMar>
          </w:tcPr>
          <w:p>
            <w:pPr>
              <w:spacing w:after="0" w:line="240"/>
            </w:pPr>
            <w:r>
              <w:rPr>
                <w:rFonts w:ascii="Calibri" w:cs="Calibri" w:eastAsia="Calibri" w:hAnsi="Calibri"/>
                <w:b/>
                <w:bCs/>
                <w:color w:val="BF8F00"/>
                <w:sz w:val="17"/>
                <w:szCs w:val="17"/>
              </w:rPr>
              <w:t xml:space="preserve">Corrigé — à paramétrer</w:t>
            </w:r>
          </w:p>
        </w:tc>
      </w:tr>
      <w:tr>
        <w:trPr>
          <w:cantSplit/>
        </w:trPr>
        <w:tc>
          <w:tcPr>
            <w:tcW w:type="dxa" w:w="6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A06</w:t>
            </w:r>
          </w:p>
        </w:tc>
        <w:tc>
          <w:tcPr>
            <w:tcW w:type="dxa" w:w="850"/>
            <w:shd w:fill="F2F5FB" w:color="auto" w:val="clear"/>
            <w:tcMar>
              <w:top w:type="dxa" w:w="40"/>
              <w:left w:type="dxa" w:w="80"/>
              <w:bottom w:type="dxa" w:w="40"/>
              <w:right w:type="dxa" w:w="80"/>
            </w:tcMar>
          </w:tcPr>
          <w:p>
            <w:pPr>
              <w:spacing w:after="0" w:line="240"/>
            </w:pPr>
            <w:r>
              <w:rPr>
                <w:rFonts w:ascii="Calibri" w:cs="Calibri" w:eastAsia="Calibri" w:hAnsi="Calibri"/>
                <w:color w:val="C00000"/>
                <w:sz w:val="17"/>
                <w:szCs w:val="17"/>
              </w:rPr>
              <w:t xml:space="preserve">Élevée</w:t>
            </w:r>
          </w:p>
        </w:tc>
        <w:tc>
          <w:tcPr>
            <w:tcW w:type="dxa" w:w="115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Résultat, écran</w:t>
            </w:r>
          </w:p>
        </w:tc>
        <w:tc>
          <w:tcPr>
            <w:tcW w:type="dxa" w:w="3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Les informations calculées par le moteur depuis la v3 n'étaient ni conservées ni affichées : l'écran montrait « Dossier incomplet » sans dire ce qui manquait.</w:t>
            </w:r>
          </w:p>
        </w:tc>
        <w:tc>
          <w:tcPr>
            <w:tcW w:type="dxa" w:w="2176"/>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Colonne ScoringRun.details ; encart « Lecture du résultat » sur la fiche et dans le dossier comité.</w:t>
            </w:r>
          </w:p>
        </w:tc>
        <w:tc>
          <w:tcPr>
            <w:tcW w:type="dxa" w:w="950"/>
            <w:shd w:fill="F2F5FB" w:color="auto" w:val="clear"/>
            <w:tcMar>
              <w:top w:type="dxa" w:w="40"/>
              <w:left w:type="dxa" w:w="80"/>
              <w:bottom w:type="dxa" w:w="40"/>
              <w:right w:type="dxa" w:w="80"/>
            </w:tcMar>
          </w:tcPr>
          <w:p>
            <w:pPr>
              <w:spacing w:after="0" w:line="240"/>
            </w:pPr>
            <w:r>
              <w:rPr>
                <w:rFonts w:ascii="Calibri" w:cs="Calibri" w:eastAsia="Calibri" w:hAnsi="Calibri"/>
                <w:b/>
                <w:bCs/>
                <w:color w:val="548235"/>
                <w:sz w:val="17"/>
                <w:szCs w:val="17"/>
              </w:rPr>
              <w:t xml:space="preserve">Corrigé</w:t>
            </w:r>
          </w:p>
        </w:tc>
      </w:tr>
      <w:tr>
        <w:trPr>
          <w:cantSplit/>
        </w:trPr>
        <w:tc>
          <w:tcPr>
            <w:tcW w:type="dxa" w:w="600"/>
            <w:tcMar>
              <w:top w:type="dxa" w:w="40"/>
              <w:left w:type="dxa" w:w="80"/>
              <w:bottom w:type="dxa" w:w="40"/>
              <w:right w:type="dxa" w:w="80"/>
            </w:tcMar>
          </w:tcPr>
          <w:p>
            <w:pPr>
              <w:spacing w:after="0" w:line="240"/>
            </w:pPr>
            <w:r>
              <w:rPr>
                <w:rFonts w:ascii="Calibri" w:cs="Calibri" w:eastAsia="Calibri" w:hAnsi="Calibri"/>
                <w:b/>
                <w:bCs/>
                <w:sz w:val="17"/>
                <w:szCs w:val="17"/>
              </w:rPr>
              <w:t xml:space="preserve">A07</w:t>
            </w:r>
          </w:p>
        </w:tc>
        <w:tc>
          <w:tcPr>
            <w:tcW w:type="dxa" w:w="850"/>
            <w:tcMar>
              <w:top w:type="dxa" w:w="40"/>
              <w:left w:type="dxa" w:w="80"/>
              <w:bottom w:type="dxa" w:w="40"/>
              <w:right w:type="dxa" w:w="80"/>
            </w:tcMar>
          </w:tcPr>
          <w:p>
            <w:pPr>
              <w:spacing w:after="0" w:line="240"/>
            </w:pPr>
            <w:r>
              <w:rPr>
                <w:rFonts w:ascii="Calibri" w:cs="Calibri" w:eastAsia="Calibri" w:hAnsi="Calibri"/>
                <w:color w:val="C00000"/>
                <w:sz w:val="17"/>
                <w:szCs w:val="17"/>
              </w:rPr>
              <w:t xml:space="preserve">Élevée</w:t>
            </w:r>
          </w:p>
        </w:tc>
        <w:tc>
          <w:tcPr>
            <w:tcW w:type="dxa" w:w="1150"/>
            <w:tcMar>
              <w:top w:type="dxa" w:w="40"/>
              <w:left w:type="dxa" w:w="80"/>
              <w:bottom w:type="dxa" w:w="40"/>
              <w:right w:type="dxa" w:w="80"/>
            </w:tcMar>
          </w:tcPr>
          <w:p>
            <w:pPr>
              <w:spacing w:after="0" w:line="240"/>
            </w:pPr>
            <w:r>
              <w:rPr>
                <w:rFonts w:ascii="Calibri" w:cs="Calibri" w:eastAsia="Calibri" w:hAnsi="Calibri"/>
                <w:sz w:val="17"/>
                <w:szCs w:val="17"/>
              </w:rPr>
              <w:t xml:space="preserve">Portefeuille</w:t>
            </w:r>
          </w:p>
        </w:tc>
        <w:tc>
          <w:tcPr>
            <w:tcW w:type="dxa" w:w="3300"/>
            <w:tcMar>
              <w:top w:type="dxa" w:w="40"/>
              <w:left w:type="dxa" w:w="80"/>
              <w:bottom w:type="dxa" w:w="40"/>
              <w:right w:type="dxa" w:w="80"/>
            </w:tcMar>
          </w:tcPr>
          <w:p>
            <w:pPr>
              <w:spacing w:after="0" w:line="240"/>
            </w:pPr>
            <w:r>
              <w:rPr>
                <w:rFonts w:ascii="Calibri" w:cs="Calibri" w:eastAsia="Calibri" w:hAnsi="Calibri"/>
                <w:sz w:val="17"/>
                <w:szCs w:val="17"/>
              </w:rPr>
              <w:t xml:space="preserve">Les 43 scores en base ont été calculés avec le modèle v2 ; aucun projet n'a de score v4.</w:t>
            </w:r>
          </w:p>
        </w:tc>
        <w:tc>
          <w:tcPr>
            <w:tcW w:type="dxa" w:w="2176"/>
            <w:tcMar>
              <w:top w:type="dxa" w:w="40"/>
              <w:left w:type="dxa" w:w="80"/>
              <w:bottom w:type="dxa" w:w="40"/>
              <w:right w:type="dxa" w:w="80"/>
            </w:tcMar>
          </w:tcPr>
          <w:p>
            <w:pPr>
              <w:spacing w:after="0" w:line="240"/>
            </w:pPr>
            <w:r>
              <w:rPr>
                <w:rFonts w:ascii="Calibri" w:cs="Calibri" w:eastAsia="Calibri" w:hAnsi="Calibri"/>
                <w:sz w:val="17"/>
                <w:szCs w:val="17"/>
              </w:rPr>
              <w:t xml:space="preserve">Action « Recalculer le portefeuille » et alerte « version retirée » sur la fiche.</w:t>
            </w:r>
          </w:p>
        </w:tc>
        <w:tc>
          <w:tcPr>
            <w:tcW w:type="dxa" w:w="950"/>
            <w:tcMar>
              <w:top w:type="dxa" w:w="40"/>
              <w:left w:type="dxa" w:w="80"/>
              <w:bottom w:type="dxa" w:w="40"/>
              <w:right w:type="dxa" w:w="80"/>
            </w:tcMar>
          </w:tcPr>
          <w:p>
            <w:pPr>
              <w:spacing w:after="0" w:line="240"/>
            </w:pPr>
            <w:r>
              <w:rPr>
                <w:rFonts w:ascii="Calibri" w:cs="Calibri" w:eastAsia="Calibri" w:hAnsi="Calibri"/>
                <w:b/>
                <w:bCs/>
                <w:color w:val="BF8F00"/>
                <w:sz w:val="17"/>
                <w:szCs w:val="17"/>
              </w:rPr>
              <w:t xml:space="preserve">Outil livré — à lancer</w:t>
            </w:r>
          </w:p>
        </w:tc>
      </w:tr>
      <w:tr>
        <w:trPr>
          <w:cantSplit/>
        </w:trPr>
        <w:tc>
          <w:tcPr>
            <w:tcW w:type="dxa" w:w="6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A08</w:t>
            </w:r>
          </w:p>
        </w:tc>
        <w:tc>
          <w:tcPr>
            <w:tcW w:type="dxa" w:w="850"/>
            <w:shd w:fill="F2F5FB" w:color="auto" w:val="clear"/>
            <w:tcMar>
              <w:top w:type="dxa" w:w="40"/>
              <w:left w:type="dxa" w:w="80"/>
              <w:bottom w:type="dxa" w:w="40"/>
              <w:right w:type="dxa" w:w="80"/>
            </w:tcMar>
          </w:tcPr>
          <w:p>
            <w:pPr>
              <w:spacing w:after="0" w:line="240"/>
            </w:pPr>
            <w:r>
              <w:rPr>
                <w:rFonts w:ascii="Calibri" w:cs="Calibri" w:eastAsia="Calibri" w:hAnsi="Calibri"/>
                <w:color w:val="BF8F00"/>
                <w:sz w:val="17"/>
                <w:szCs w:val="17"/>
              </w:rPr>
              <w:t xml:space="preserve">Moyenne</w:t>
            </w:r>
          </w:p>
        </w:tc>
        <w:tc>
          <w:tcPr>
            <w:tcW w:type="dxa" w:w="115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Dépôt</w:t>
            </w:r>
          </w:p>
        </w:tc>
        <w:tc>
          <w:tcPr>
            <w:tcW w:type="dxa" w:w="3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Les modèles v3 et v4 n'existaient qu'en base ; le seed d'un nouvel environnement publiait la v2.</w:t>
            </w:r>
          </w:p>
        </w:tc>
        <w:tc>
          <w:tcPr>
            <w:tcW w:type="dxa" w:w="2176"/>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Instantané v4 versionné ; seed sur la v4 ; conversion commune base / instantané.</w:t>
            </w:r>
          </w:p>
        </w:tc>
        <w:tc>
          <w:tcPr>
            <w:tcW w:type="dxa" w:w="950"/>
            <w:shd w:fill="F2F5FB" w:color="auto" w:val="clear"/>
            <w:tcMar>
              <w:top w:type="dxa" w:w="40"/>
              <w:left w:type="dxa" w:w="80"/>
              <w:bottom w:type="dxa" w:w="40"/>
              <w:right w:type="dxa" w:w="80"/>
            </w:tcMar>
          </w:tcPr>
          <w:p>
            <w:pPr>
              <w:spacing w:after="0" w:line="240"/>
            </w:pPr>
            <w:r>
              <w:rPr>
                <w:rFonts w:ascii="Calibri" w:cs="Calibri" w:eastAsia="Calibri" w:hAnsi="Calibri"/>
                <w:b/>
                <w:bCs/>
                <w:color w:val="548235"/>
                <w:sz w:val="17"/>
                <w:szCs w:val="17"/>
              </w:rPr>
              <w:t xml:space="preserve">Corrigé</w:t>
            </w:r>
          </w:p>
        </w:tc>
      </w:tr>
      <w:tr>
        <w:trPr>
          <w:cantSplit/>
        </w:trPr>
        <w:tc>
          <w:tcPr>
            <w:tcW w:type="dxa" w:w="600"/>
            <w:tcMar>
              <w:top w:type="dxa" w:w="40"/>
              <w:left w:type="dxa" w:w="80"/>
              <w:bottom w:type="dxa" w:w="40"/>
              <w:right w:type="dxa" w:w="80"/>
            </w:tcMar>
          </w:tcPr>
          <w:p>
            <w:pPr>
              <w:spacing w:after="0" w:line="240"/>
            </w:pPr>
            <w:r>
              <w:rPr>
                <w:rFonts w:ascii="Calibri" w:cs="Calibri" w:eastAsia="Calibri" w:hAnsi="Calibri"/>
                <w:b/>
                <w:bCs/>
                <w:sz w:val="17"/>
                <w:szCs w:val="17"/>
              </w:rPr>
              <w:t xml:space="preserve">A09</w:t>
            </w:r>
          </w:p>
        </w:tc>
        <w:tc>
          <w:tcPr>
            <w:tcW w:type="dxa" w:w="850"/>
            <w:tcMar>
              <w:top w:type="dxa" w:w="40"/>
              <w:left w:type="dxa" w:w="80"/>
              <w:bottom w:type="dxa" w:w="40"/>
              <w:right w:type="dxa" w:w="80"/>
            </w:tcMar>
          </w:tcPr>
          <w:p>
            <w:pPr>
              <w:spacing w:after="0" w:line="240"/>
            </w:pPr>
            <w:r>
              <w:rPr>
                <w:rFonts w:ascii="Calibri" w:cs="Calibri" w:eastAsia="Calibri" w:hAnsi="Calibri"/>
                <w:color w:val="BF8F00"/>
                <w:sz w:val="17"/>
                <w:szCs w:val="17"/>
              </w:rPr>
              <w:t xml:space="preserve">Moyenne</w:t>
            </w:r>
          </w:p>
        </w:tc>
        <w:tc>
          <w:tcPr>
            <w:tcW w:type="dxa" w:w="1150"/>
            <w:tcMar>
              <w:top w:type="dxa" w:w="40"/>
              <w:left w:type="dxa" w:w="80"/>
              <w:bottom w:type="dxa" w:w="40"/>
              <w:right w:type="dxa" w:w="80"/>
            </w:tcMar>
          </w:tcPr>
          <w:p>
            <w:pPr>
              <w:spacing w:after="0" w:line="240"/>
            </w:pPr>
            <w:r>
              <w:rPr>
                <w:rFonts w:ascii="Calibri" w:cs="Calibri" w:eastAsia="Calibri" w:hAnsi="Calibri"/>
                <w:sz w:val="17"/>
                <w:szCs w:val="17"/>
              </w:rPr>
              <w:t xml:space="preserve">Base</w:t>
            </w:r>
          </w:p>
        </w:tc>
        <w:tc>
          <w:tcPr>
            <w:tcW w:type="dxa" w:w="3300"/>
            <w:tcMar>
              <w:top w:type="dxa" w:w="40"/>
              <w:left w:type="dxa" w:w="80"/>
              <w:bottom w:type="dxa" w:w="40"/>
              <w:right w:type="dxa" w:w="80"/>
            </w:tcMar>
          </w:tcPr>
          <w:p>
            <w:pPr>
              <w:spacing w:after="0" w:line="240"/>
            </w:pPr>
            <w:r>
              <w:rPr>
                <w:rFonts w:ascii="Calibri" w:cs="Calibri" w:eastAsia="Calibri" w:hAnsi="Calibri"/>
                <w:sz w:val="17"/>
                <w:szCs w:val="17"/>
              </w:rPr>
              <w:t xml:space="preserve">Trois versions du modèle promotion étaient simultanément « publiées » (la plus récente était retenue, mais l'état était incohérent).</w:t>
            </w:r>
          </w:p>
        </w:tc>
        <w:tc>
          <w:tcPr>
            <w:tcW w:type="dxa" w:w="2176"/>
            <w:tcMar>
              <w:top w:type="dxa" w:w="40"/>
              <w:left w:type="dxa" w:w="80"/>
              <w:bottom w:type="dxa" w:w="40"/>
              <w:right w:type="dxa" w:w="80"/>
            </w:tcMar>
          </w:tcPr>
          <w:p>
            <w:pPr>
              <w:spacing w:after="0" w:line="240"/>
            </w:pPr>
            <w:r>
              <w:rPr>
                <w:rFonts w:ascii="Calibri" w:cs="Calibri" w:eastAsia="Calibri" w:hAnsi="Calibri"/>
                <w:sz w:val="17"/>
                <w:szCs w:val="17"/>
              </w:rPr>
              <w:t xml:space="preserve">v2 et v3 passées « retirées », comme le fait la publication depuis l'administration.</w:t>
            </w:r>
          </w:p>
        </w:tc>
        <w:tc>
          <w:tcPr>
            <w:tcW w:type="dxa" w:w="950"/>
            <w:tcMar>
              <w:top w:type="dxa" w:w="40"/>
              <w:left w:type="dxa" w:w="80"/>
              <w:bottom w:type="dxa" w:w="40"/>
              <w:right w:type="dxa" w:w="80"/>
            </w:tcMar>
          </w:tcPr>
          <w:p>
            <w:pPr>
              <w:spacing w:after="0" w:line="240"/>
            </w:pPr>
            <w:r>
              <w:rPr>
                <w:rFonts w:ascii="Calibri" w:cs="Calibri" w:eastAsia="Calibri" w:hAnsi="Calibri"/>
                <w:b/>
                <w:bCs/>
                <w:color w:val="548235"/>
                <w:sz w:val="17"/>
                <w:szCs w:val="17"/>
              </w:rPr>
              <w:t xml:space="preserve">Corrigé</w:t>
            </w:r>
          </w:p>
        </w:tc>
      </w:tr>
      <w:tr>
        <w:trPr>
          <w:cantSplit/>
        </w:trPr>
        <w:tc>
          <w:tcPr>
            <w:tcW w:type="dxa" w:w="6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A10</w:t>
            </w:r>
          </w:p>
        </w:tc>
        <w:tc>
          <w:tcPr>
            <w:tcW w:type="dxa" w:w="850"/>
            <w:shd w:fill="F2F5FB" w:color="auto" w:val="clear"/>
            <w:tcMar>
              <w:top w:type="dxa" w:w="40"/>
              <w:left w:type="dxa" w:w="80"/>
              <w:bottom w:type="dxa" w:w="40"/>
              <w:right w:type="dxa" w:w="80"/>
            </w:tcMar>
          </w:tcPr>
          <w:p>
            <w:pPr>
              <w:spacing w:after="0" w:line="240"/>
            </w:pPr>
            <w:r>
              <w:rPr>
                <w:rFonts w:ascii="Calibri" w:cs="Calibri" w:eastAsia="Calibri" w:hAnsi="Calibri"/>
                <w:color w:val="BF8F00"/>
                <w:sz w:val="17"/>
                <w:szCs w:val="17"/>
              </w:rPr>
              <w:t xml:space="preserve">Moyenne</w:t>
            </w:r>
          </w:p>
        </w:tc>
        <w:tc>
          <w:tcPr>
            <w:tcW w:type="dxa" w:w="115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Base</w:t>
            </w:r>
          </w:p>
        </w:tc>
        <w:tc>
          <w:tcPr>
            <w:tcW w:type="dxa" w:w="3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Les migrations v3 et v4 étaient appliquées sans être enregistrées dans l'historique Prisma : un déploiement de migrations les aurait rejouées.</w:t>
            </w:r>
          </w:p>
        </w:tc>
        <w:tc>
          <w:tcPr>
            <w:tcW w:type="dxa" w:w="2176"/>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Migrations enregistrées avec leur empreinte.</w:t>
            </w:r>
          </w:p>
        </w:tc>
        <w:tc>
          <w:tcPr>
            <w:tcW w:type="dxa" w:w="950"/>
            <w:shd w:fill="F2F5FB" w:color="auto" w:val="clear"/>
            <w:tcMar>
              <w:top w:type="dxa" w:w="40"/>
              <w:left w:type="dxa" w:w="80"/>
              <w:bottom w:type="dxa" w:w="40"/>
              <w:right w:type="dxa" w:w="80"/>
            </w:tcMar>
          </w:tcPr>
          <w:p>
            <w:pPr>
              <w:spacing w:after="0" w:line="240"/>
            </w:pPr>
            <w:r>
              <w:rPr>
                <w:rFonts w:ascii="Calibri" w:cs="Calibri" w:eastAsia="Calibri" w:hAnsi="Calibri"/>
                <w:b/>
                <w:bCs/>
                <w:color w:val="548235"/>
                <w:sz w:val="17"/>
                <w:szCs w:val="17"/>
              </w:rPr>
              <w:t xml:space="preserve">Corrigé</w:t>
            </w:r>
          </w:p>
        </w:tc>
      </w:tr>
      <w:tr>
        <w:trPr>
          <w:cantSplit/>
        </w:trPr>
        <w:tc>
          <w:tcPr>
            <w:tcW w:type="dxa" w:w="600"/>
            <w:tcMar>
              <w:top w:type="dxa" w:w="40"/>
              <w:left w:type="dxa" w:w="80"/>
              <w:bottom w:type="dxa" w:w="40"/>
              <w:right w:type="dxa" w:w="80"/>
            </w:tcMar>
          </w:tcPr>
          <w:p>
            <w:pPr>
              <w:spacing w:after="0" w:line="240"/>
            </w:pPr>
            <w:r>
              <w:rPr>
                <w:rFonts w:ascii="Calibri" w:cs="Calibri" w:eastAsia="Calibri" w:hAnsi="Calibri"/>
                <w:b/>
                <w:bCs/>
                <w:sz w:val="17"/>
                <w:szCs w:val="17"/>
              </w:rPr>
              <w:t xml:space="preserve">A11</w:t>
            </w:r>
          </w:p>
        </w:tc>
        <w:tc>
          <w:tcPr>
            <w:tcW w:type="dxa" w:w="850"/>
            <w:tcMar>
              <w:top w:type="dxa" w:w="40"/>
              <w:left w:type="dxa" w:w="80"/>
              <w:bottom w:type="dxa" w:w="40"/>
              <w:right w:type="dxa" w:w="80"/>
            </w:tcMar>
          </w:tcPr>
          <w:p>
            <w:pPr>
              <w:spacing w:after="0" w:line="240"/>
            </w:pPr>
            <w:r>
              <w:rPr>
                <w:rFonts w:ascii="Calibri" w:cs="Calibri" w:eastAsia="Calibri" w:hAnsi="Calibri"/>
                <w:color w:val="BF8F00"/>
                <w:sz w:val="17"/>
                <w:szCs w:val="17"/>
              </w:rPr>
              <w:t xml:space="preserve">Moyenne</w:t>
            </w:r>
          </w:p>
        </w:tc>
        <w:tc>
          <w:tcPr>
            <w:tcW w:type="dxa" w:w="1150"/>
            <w:tcMar>
              <w:top w:type="dxa" w:w="40"/>
              <w:left w:type="dxa" w:w="80"/>
              <w:bottom w:type="dxa" w:w="40"/>
              <w:right w:type="dxa" w:w="80"/>
            </w:tcMar>
          </w:tcPr>
          <w:p>
            <w:pPr>
              <w:spacing w:after="0" w:line="240"/>
            </w:pPr>
            <w:r>
              <w:rPr>
                <w:rFonts w:ascii="Calibri" w:cs="Calibri" w:eastAsia="Calibri" w:hAnsi="Calibri"/>
                <w:sz w:val="17"/>
                <w:szCs w:val="17"/>
              </w:rPr>
              <w:t xml:space="preserve">Chaîne de calcul</w:t>
            </w:r>
          </w:p>
        </w:tc>
        <w:tc>
          <w:tcPr>
            <w:tcW w:type="dxa" w:w="3300"/>
            <w:tcMar>
              <w:top w:type="dxa" w:w="40"/>
              <w:left w:type="dxa" w:w="80"/>
              <w:bottom w:type="dxa" w:w="40"/>
              <w:right w:type="dxa" w:w="80"/>
            </w:tcMar>
          </w:tcPr>
          <w:p>
            <w:pPr>
              <w:spacing w:after="0" w:line="240"/>
            </w:pPr>
            <w:r>
              <w:rPr>
                <w:rFonts w:ascii="Calibri" w:cs="Calibri" w:eastAsia="Calibri" w:hAnsi="Calibri"/>
                <w:sz w:val="17"/>
                <w:szCs w:val="17"/>
              </w:rPr>
              <w:t xml:space="preserve">Un arrêt de chantier au journal n'alimentait pas la durée d'arrêt, clé de l'alerte bloquante « Projet à l'arrêt ≥ 12 mois ».</w:t>
            </w:r>
          </w:p>
        </w:tc>
        <w:tc>
          <w:tcPr>
            <w:tcW w:type="dxa" w:w="2176"/>
            <w:tcMar>
              <w:top w:type="dxa" w:w="40"/>
              <w:left w:type="dxa" w:w="80"/>
              <w:bottom w:type="dxa" w:w="40"/>
              <w:right w:type="dxa" w:w="80"/>
            </w:tcMar>
          </w:tcPr>
          <w:p>
            <w:pPr>
              <w:spacing w:after="0" w:line="240"/>
            </w:pPr>
            <w:r>
              <w:rPr>
                <w:rFonts w:ascii="Calibri" w:cs="Calibri" w:eastAsia="Calibri" w:hAnsi="Calibri"/>
                <w:sz w:val="17"/>
                <w:szCs w:val="17"/>
              </w:rPr>
              <w:t xml:space="preserve">Durée en mois dérivée de l'événement ouvert.</w:t>
            </w:r>
          </w:p>
        </w:tc>
        <w:tc>
          <w:tcPr>
            <w:tcW w:type="dxa" w:w="950"/>
            <w:tcMar>
              <w:top w:type="dxa" w:w="40"/>
              <w:left w:type="dxa" w:w="80"/>
              <w:bottom w:type="dxa" w:w="40"/>
              <w:right w:type="dxa" w:w="80"/>
            </w:tcMar>
          </w:tcPr>
          <w:p>
            <w:pPr>
              <w:spacing w:after="0" w:line="240"/>
            </w:pPr>
            <w:r>
              <w:rPr>
                <w:rFonts w:ascii="Calibri" w:cs="Calibri" w:eastAsia="Calibri" w:hAnsi="Calibri"/>
                <w:b/>
                <w:bCs/>
                <w:color w:val="548235"/>
                <w:sz w:val="17"/>
                <w:szCs w:val="17"/>
              </w:rPr>
              <w:t xml:space="preserve">Corrigé</w:t>
            </w:r>
          </w:p>
        </w:tc>
      </w:tr>
      <w:tr>
        <w:trPr>
          <w:cantSplit/>
        </w:trPr>
        <w:tc>
          <w:tcPr>
            <w:tcW w:type="dxa" w:w="6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A12</w:t>
            </w:r>
          </w:p>
        </w:tc>
        <w:tc>
          <w:tcPr>
            <w:tcW w:type="dxa" w:w="850"/>
            <w:shd w:fill="F2F5FB" w:color="auto" w:val="clear"/>
            <w:tcMar>
              <w:top w:type="dxa" w:w="40"/>
              <w:left w:type="dxa" w:w="80"/>
              <w:bottom w:type="dxa" w:w="40"/>
              <w:right w:type="dxa" w:w="80"/>
            </w:tcMar>
          </w:tcPr>
          <w:p>
            <w:pPr>
              <w:spacing w:after="0" w:line="240"/>
            </w:pPr>
            <w:r>
              <w:rPr>
                <w:rFonts w:ascii="Calibri" w:cs="Calibri" w:eastAsia="Calibri" w:hAnsi="Calibri"/>
                <w:color w:val="BF8F00"/>
                <w:sz w:val="17"/>
                <w:szCs w:val="17"/>
              </w:rPr>
              <w:t xml:space="preserve">Moyenne</w:t>
            </w:r>
          </w:p>
        </w:tc>
        <w:tc>
          <w:tcPr>
            <w:tcW w:type="dxa" w:w="115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Stress</w:t>
            </w:r>
          </w:p>
        </w:tc>
        <w:tc>
          <w:tcPr>
            <w:tcW w:type="dxa" w:w="3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Le stress de portefeuille ne notait pas comme le calcul officiel (défaut avéré, qualité des données bloquante, retard de paiement décisionnel ignorés).</w:t>
            </w:r>
          </w:p>
        </w:tc>
        <w:tc>
          <w:tcPr>
            <w:tcW w:type="dxa" w:w="2176"/>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Mêmes options que le calcul officiel.</w:t>
            </w:r>
          </w:p>
        </w:tc>
        <w:tc>
          <w:tcPr>
            <w:tcW w:type="dxa" w:w="950"/>
            <w:shd w:fill="F2F5FB" w:color="auto" w:val="clear"/>
            <w:tcMar>
              <w:top w:type="dxa" w:w="40"/>
              <w:left w:type="dxa" w:w="80"/>
              <w:bottom w:type="dxa" w:w="40"/>
              <w:right w:type="dxa" w:w="80"/>
            </w:tcMar>
          </w:tcPr>
          <w:p>
            <w:pPr>
              <w:spacing w:after="0" w:line="240"/>
            </w:pPr>
            <w:r>
              <w:rPr>
                <w:rFonts w:ascii="Calibri" w:cs="Calibri" w:eastAsia="Calibri" w:hAnsi="Calibri"/>
                <w:b/>
                <w:bCs/>
                <w:color w:val="548235"/>
                <w:sz w:val="17"/>
                <w:szCs w:val="17"/>
              </w:rPr>
              <w:t xml:space="preserve">Corrigé</w:t>
            </w:r>
          </w:p>
        </w:tc>
      </w:tr>
      <w:tr>
        <w:trPr>
          <w:cantSplit/>
        </w:trPr>
        <w:tc>
          <w:tcPr>
            <w:tcW w:type="dxa" w:w="600"/>
            <w:tcMar>
              <w:top w:type="dxa" w:w="40"/>
              <w:left w:type="dxa" w:w="80"/>
              <w:bottom w:type="dxa" w:w="40"/>
              <w:right w:type="dxa" w:w="80"/>
            </w:tcMar>
          </w:tcPr>
          <w:p>
            <w:pPr>
              <w:spacing w:after="0" w:line="240"/>
            </w:pPr>
            <w:r>
              <w:rPr>
                <w:rFonts w:ascii="Calibri" w:cs="Calibri" w:eastAsia="Calibri" w:hAnsi="Calibri"/>
                <w:b/>
                <w:bCs/>
                <w:sz w:val="17"/>
                <w:szCs w:val="17"/>
              </w:rPr>
              <w:t xml:space="preserve">A13</w:t>
            </w:r>
          </w:p>
        </w:tc>
        <w:tc>
          <w:tcPr>
            <w:tcW w:type="dxa" w:w="850"/>
            <w:tcMar>
              <w:top w:type="dxa" w:w="40"/>
              <w:left w:type="dxa" w:w="80"/>
              <w:bottom w:type="dxa" w:w="40"/>
              <w:right w:type="dxa" w:w="80"/>
            </w:tcMar>
          </w:tcPr>
          <w:p>
            <w:pPr>
              <w:spacing w:after="0" w:line="240"/>
            </w:pPr>
            <w:r>
              <w:rPr>
                <w:rFonts w:ascii="Calibri" w:cs="Calibri" w:eastAsia="Calibri" w:hAnsi="Calibri"/>
                <w:color w:val="BF8F00"/>
                <w:sz w:val="17"/>
                <w:szCs w:val="17"/>
              </w:rPr>
              <w:t xml:space="preserve">Moyenne</w:t>
            </w:r>
          </w:p>
        </w:tc>
        <w:tc>
          <w:tcPr>
            <w:tcW w:type="dxa" w:w="1150"/>
            <w:tcMar>
              <w:top w:type="dxa" w:w="40"/>
              <w:left w:type="dxa" w:w="80"/>
              <w:bottom w:type="dxa" w:w="40"/>
              <w:right w:type="dxa" w:w="80"/>
            </w:tcMar>
          </w:tcPr>
          <w:p>
            <w:pPr>
              <w:spacing w:after="0" w:line="240"/>
            </w:pPr>
            <w:r>
              <w:rPr>
                <w:rFonts w:ascii="Calibri" w:cs="Calibri" w:eastAsia="Calibri" w:hAnsi="Calibri"/>
                <w:sz w:val="17"/>
                <w:szCs w:val="17"/>
              </w:rPr>
              <w:t xml:space="preserve">Modèle administrable</w:t>
            </w:r>
          </w:p>
        </w:tc>
        <w:tc>
          <w:tcPr>
            <w:tcW w:type="dxa" w:w="3300"/>
            <w:tcMar>
              <w:top w:type="dxa" w:w="40"/>
              <w:left w:type="dxa" w:w="80"/>
              <w:bottom w:type="dxa" w:w="40"/>
              <w:right w:type="dxa" w:w="80"/>
            </w:tcMar>
          </w:tcPr>
          <w:p>
            <w:pPr>
              <w:spacing w:after="0" w:line="240"/>
            </w:pPr>
            <w:r>
              <w:rPr>
                <w:rFonts w:ascii="Calibri" w:cs="Calibri" w:eastAsia="Calibri" w:hAnsi="Calibri"/>
                <w:sz w:val="17"/>
                <w:szCs w:val="17"/>
              </w:rPr>
              <w:t xml:space="preserve">Un critère ou une alerte ajouté au modèle depuis l'administration n'était pas saisissable sans redéploiement.</w:t>
            </w:r>
          </w:p>
        </w:tc>
        <w:tc>
          <w:tcPr>
            <w:tcW w:type="dxa" w:w="2176"/>
            <w:tcMar>
              <w:top w:type="dxa" w:w="40"/>
              <w:left w:type="dxa" w:w="80"/>
              <w:bottom w:type="dxa" w:w="40"/>
              <w:right w:type="dxa" w:w="80"/>
            </w:tcMar>
          </w:tcPr>
          <w:p>
            <w:pPr>
              <w:spacing w:after="0" w:line="240"/>
            </w:pPr>
            <w:r>
              <w:rPr>
                <w:rFonts w:ascii="Calibri" w:cs="Calibri" w:eastAsia="Calibri" w:hAnsi="Calibri"/>
                <w:sz w:val="17"/>
                <w:szCs w:val="17"/>
              </w:rPr>
              <w:t xml:space="preserve">Étape « Autres critères du modèle publié » générée depuis le modèle ; validation étendue automatiquement.</w:t>
            </w:r>
          </w:p>
        </w:tc>
        <w:tc>
          <w:tcPr>
            <w:tcW w:type="dxa" w:w="950"/>
            <w:tcMar>
              <w:top w:type="dxa" w:w="40"/>
              <w:left w:type="dxa" w:w="80"/>
              <w:bottom w:type="dxa" w:w="40"/>
              <w:right w:type="dxa" w:w="80"/>
            </w:tcMar>
          </w:tcPr>
          <w:p>
            <w:pPr>
              <w:spacing w:after="0" w:line="240"/>
            </w:pPr>
            <w:r>
              <w:rPr>
                <w:rFonts w:ascii="Calibri" w:cs="Calibri" w:eastAsia="Calibri" w:hAnsi="Calibri"/>
                <w:b/>
                <w:bCs/>
                <w:color w:val="548235"/>
                <w:sz w:val="17"/>
                <w:szCs w:val="17"/>
              </w:rPr>
              <w:t xml:space="preserve">Corrigé</w:t>
            </w:r>
          </w:p>
        </w:tc>
      </w:tr>
      <w:tr>
        <w:trPr>
          <w:cantSplit/>
        </w:trPr>
        <w:tc>
          <w:tcPr>
            <w:tcW w:type="dxa" w:w="6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A14</w:t>
            </w:r>
          </w:p>
        </w:tc>
        <w:tc>
          <w:tcPr>
            <w:tcW w:type="dxa" w:w="850"/>
            <w:shd w:fill="F2F5FB" w:color="auto" w:val="clear"/>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Faible</w:t>
            </w:r>
          </w:p>
        </w:tc>
        <w:tc>
          <w:tcPr>
            <w:tcW w:type="dxa" w:w="115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Import</w:t>
            </w:r>
          </w:p>
        </w:tc>
        <w:tc>
          <w:tcPr>
            <w:tcW w:type="dxa" w:w="3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Une valeur hors référentiel (faute de frappe) était enregistrée puis silencieusement non notée.</w:t>
            </w:r>
          </w:p>
        </w:tc>
        <w:tc>
          <w:tcPr>
            <w:tcW w:type="dxa" w:w="2176"/>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Valeur refusée et signalée ; le projet est importé.</w:t>
            </w:r>
          </w:p>
        </w:tc>
        <w:tc>
          <w:tcPr>
            <w:tcW w:type="dxa" w:w="950"/>
            <w:shd w:fill="F2F5FB" w:color="auto" w:val="clear"/>
            <w:tcMar>
              <w:top w:type="dxa" w:w="40"/>
              <w:left w:type="dxa" w:w="80"/>
              <w:bottom w:type="dxa" w:w="40"/>
              <w:right w:type="dxa" w:w="80"/>
            </w:tcMar>
          </w:tcPr>
          <w:p>
            <w:pPr>
              <w:spacing w:after="0" w:line="240"/>
            </w:pPr>
            <w:r>
              <w:rPr>
                <w:rFonts w:ascii="Calibri" w:cs="Calibri" w:eastAsia="Calibri" w:hAnsi="Calibri"/>
                <w:b/>
                <w:bCs/>
                <w:color w:val="548235"/>
                <w:sz w:val="17"/>
                <w:szCs w:val="17"/>
              </w:rPr>
              <w:t xml:space="preserve">Corrigé</w:t>
            </w:r>
          </w:p>
        </w:tc>
      </w:tr>
      <w:tr>
        <w:trPr>
          <w:cantSplit/>
        </w:trPr>
        <w:tc>
          <w:tcPr>
            <w:tcW w:type="dxa" w:w="600"/>
            <w:tcMar>
              <w:top w:type="dxa" w:w="40"/>
              <w:left w:type="dxa" w:w="80"/>
              <w:bottom w:type="dxa" w:w="40"/>
              <w:right w:type="dxa" w:w="80"/>
            </w:tcMar>
          </w:tcPr>
          <w:p>
            <w:pPr>
              <w:spacing w:after="0" w:line="240"/>
            </w:pPr>
            <w:r>
              <w:rPr>
                <w:rFonts w:ascii="Calibri" w:cs="Calibri" w:eastAsia="Calibri" w:hAnsi="Calibri"/>
                <w:b/>
                <w:bCs/>
                <w:sz w:val="17"/>
                <w:szCs w:val="17"/>
              </w:rPr>
              <w:t xml:space="preserve">A15</w:t>
            </w:r>
          </w:p>
        </w:tc>
        <w:tc>
          <w:tcPr>
            <w:tcW w:type="dxa" w:w="850"/>
            <w:tcMar>
              <w:top w:type="dxa" w:w="40"/>
              <w:left w:type="dxa" w:w="80"/>
              <w:bottom w:type="dxa" w:w="40"/>
              <w:right w:type="dxa" w:w="80"/>
            </w:tcMar>
          </w:tcPr>
          <w:p>
            <w:pPr>
              <w:spacing w:after="0" w:line="240"/>
            </w:pPr>
            <w:r>
              <w:rPr>
                <w:rFonts w:ascii="Calibri" w:cs="Calibri" w:eastAsia="Calibri" w:hAnsi="Calibri"/>
                <w:color w:val="595959"/>
                <w:sz w:val="17"/>
                <w:szCs w:val="17"/>
              </w:rPr>
              <w:t xml:space="preserve">Faible</w:t>
            </w:r>
          </w:p>
        </w:tc>
        <w:tc>
          <w:tcPr>
            <w:tcW w:type="dxa" w:w="1150"/>
            <w:tcMar>
              <w:top w:type="dxa" w:w="40"/>
              <w:left w:type="dxa" w:w="80"/>
              <w:bottom w:type="dxa" w:w="40"/>
              <w:right w:type="dxa" w:w="80"/>
            </w:tcMar>
          </w:tcPr>
          <w:p>
            <w:pPr>
              <w:spacing w:after="0" w:line="240"/>
            </w:pPr>
            <w:r>
              <w:rPr>
                <w:rFonts w:ascii="Calibri" w:cs="Calibri" w:eastAsia="Calibri" w:hAnsi="Calibri"/>
                <w:sz w:val="17"/>
                <w:szCs w:val="17"/>
              </w:rPr>
              <w:t xml:space="preserve">Import</w:t>
            </w:r>
          </w:p>
        </w:tc>
        <w:tc>
          <w:tcPr>
            <w:tcW w:type="dxa" w:w="3300"/>
            <w:tcMar>
              <w:top w:type="dxa" w:w="40"/>
              <w:left w:type="dxa" w:w="80"/>
              <w:bottom w:type="dxa" w:w="40"/>
              <w:right w:type="dxa" w:w="80"/>
            </w:tcMar>
          </w:tcPr>
          <w:p>
            <w:pPr>
              <w:spacing w:after="0" w:line="240"/>
            </w:pPr>
            <w:r>
              <w:rPr>
                <w:rFonts w:ascii="Calibri" w:cs="Calibri" w:eastAsia="Calibri" w:hAnsi="Calibri"/>
                <w:sz w:val="17"/>
                <w:szCs w:val="17"/>
              </w:rPr>
              <w:t xml:space="preserve">Le dictionnaire du fichier d'import omettait la modalité « moyenne » de la sensibilité macro.</w:t>
            </w:r>
          </w:p>
        </w:tc>
        <w:tc>
          <w:tcPr>
            <w:tcW w:type="dxa" w:w="2176"/>
            <w:tcMar>
              <w:top w:type="dxa" w:w="40"/>
              <w:left w:type="dxa" w:w="80"/>
              <w:bottom w:type="dxa" w:w="40"/>
              <w:right w:type="dxa" w:w="80"/>
            </w:tcMar>
          </w:tcPr>
          <w:p>
            <w:pPr>
              <w:spacing w:after="0" w:line="240"/>
            </w:pPr>
            <w:r>
              <w:rPr>
                <w:rFonts w:ascii="Calibri" w:cs="Calibri" w:eastAsia="Calibri" w:hAnsi="Calibri"/>
                <w:sz w:val="17"/>
                <w:szCs w:val="17"/>
              </w:rPr>
              <w:t xml:space="preserve">Corrigé ; verrouillé par un test.</w:t>
            </w:r>
          </w:p>
        </w:tc>
        <w:tc>
          <w:tcPr>
            <w:tcW w:type="dxa" w:w="950"/>
            <w:tcMar>
              <w:top w:type="dxa" w:w="40"/>
              <w:left w:type="dxa" w:w="80"/>
              <w:bottom w:type="dxa" w:w="40"/>
              <w:right w:type="dxa" w:w="80"/>
            </w:tcMar>
          </w:tcPr>
          <w:p>
            <w:pPr>
              <w:spacing w:after="0" w:line="240"/>
            </w:pPr>
            <w:r>
              <w:rPr>
                <w:rFonts w:ascii="Calibri" w:cs="Calibri" w:eastAsia="Calibri" w:hAnsi="Calibri"/>
                <w:b/>
                <w:bCs/>
                <w:color w:val="548235"/>
                <w:sz w:val="17"/>
                <w:szCs w:val="17"/>
              </w:rPr>
              <w:t xml:space="preserve">Corrigé</w:t>
            </w:r>
          </w:p>
        </w:tc>
      </w:tr>
    </w:tbl>
    <w:p>
      <w:pPr>
        <w:pStyle w:val="Heading2"/>
        <w:spacing w:after="120" w:before="0" w:line="276"/>
      </w:pPr>
      <w:r>
        <w:rPr>
          <w:rFonts w:ascii="Calibri" w:cs="Calibri" w:eastAsia="Calibri" w:hAnsi="Calibri"/>
          <w:sz w:val="21"/>
          <w:szCs w:val="21"/>
        </w:rPr>
        <w:t xml:space="preserve">Points contrôlés conformes</w:t>
      </w:r>
    </w:p>
    <w:p>
      <w:pPr>
        <w:pStyle w:val="ListParagraph"/>
        <w:numPr>
          <w:ilvl w:val="0"/>
          <w:numId w:val="2"/>
        </w:numPr>
        <w:spacing w:after="60" w:line="276"/>
      </w:pPr>
      <w:r>
        <w:rPr>
          <w:rFonts w:ascii="Calibri" w:cs="Calibri" w:eastAsia="Calibri" w:hAnsi="Calibri"/>
          <w:sz w:val="21"/>
          <w:szCs w:val="21"/>
        </w:rPr>
        <w:t xml:space="preserve">Schéma : 45 tables et 494 colonnes identiques entre la base et le schéma Prisma (type et caractère obligatoire).</w:t>
      </w:r>
    </w:p>
    <w:p>
      <w:pPr>
        <w:pStyle w:val="ListParagraph"/>
        <w:numPr>
          <w:ilvl w:val="0"/>
          <w:numId w:val="2"/>
        </w:numPr>
        <w:spacing w:after="60" w:line="276"/>
      </w:pPr>
      <w:r>
        <w:rPr>
          <w:rFonts w:ascii="Calibri" w:cs="Calibri" w:eastAsia="Calibri" w:hAnsi="Calibri"/>
          <w:sz w:val="21"/>
          <w:szCs w:val="21"/>
        </w:rPr>
        <w:t xml:space="preserve">Types énumérés : 21 énumérations identiques (décisions, classes réglementaires, statuts…).</w:t>
      </w:r>
    </w:p>
    <w:p>
      <w:pPr>
        <w:pStyle w:val="ListParagraph"/>
        <w:numPr>
          <w:ilvl w:val="0"/>
          <w:numId w:val="2"/>
        </w:numPr>
        <w:spacing w:after="60" w:line="276"/>
      </w:pPr>
      <w:r>
        <w:rPr>
          <w:rFonts w:ascii="Calibri" w:cs="Calibri" w:eastAsia="Calibri" w:hAnsi="Calibri"/>
          <w:sz w:val="21"/>
          <w:szCs w:val="21"/>
        </w:rPr>
        <w:t xml:space="preserve">Modalités des critères qualitatifs : identiques entre la base, la saisie et la validation.</w:t>
      </w:r>
    </w:p>
    <w:p>
      <w:pPr>
        <w:pStyle w:val="ListParagraph"/>
        <w:numPr>
          <w:ilvl w:val="0"/>
          <w:numId w:val="2"/>
        </w:numPr>
        <w:spacing w:after="60" w:line="276"/>
      </w:pPr>
      <w:r>
        <w:rPr>
          <w:rFonts w:ascii="Calibri" w:cs="Calibri" w:eastAsia="Calibri" w:hAnsi="Calibri"/>
          <w:sz w:val="21"/>
          <w:szCs w:val="21"/>
        </w:rPr>
        <w:t xml:space="preserve">Modèle d'exploitation : modalités de saisie identiques à la base.</w:t>
      </w:r>
    </w:p>
    <w:p>
      <w:pPr>
        <w:pStyle w:val="ListParagraph"/>
        <w:numPr>
          <w:ilvl w:val="0"/>
          <w:numId w:val="2"/>
        </w:numPr>
        <w:spacing w:after="60" w:line="276"/>
      </w:pPr>
      <w:r>
        <w:rPr>
          <w:rFonts w:ascii="Calibri" w:cs="Calibri" w:eastAsia="Calibri" w:hAnsi="Calibri"/>
          <w:sz w:val="21"/>
          <w:szCs w:val="21"/>
        </w:rPr>
        <w:t xml:space="preserve">Chargement du modèle : le moteur retient bien la version publiée la plus récente (v4).</w:t>
      </w:r>
    </w:p>
    <w:p>
      <w:r>
        <w:br w:type="page"/>
      </w:r>
    </w:p>
    <w:p>
      <w:pPr>
        <w:pStyle w:val="Heading1"/>
        <w:spacing w:after="120" w:before="0" w:line="276"/>
      </w:pPr>
      <w:r>
        <w:rPr>
          <w:rFonts w:ascii="Calibri" w:cs="Calibri" w:eastAsia="Calibri" w:hAnsi="Calibri"/>
          <w:sz w:val="21"/>
          <w:szCs w:val="21"/>
        </w:rPr>
        <w:t xml:space="preserve">4. Garde-fous ajoutés</w:t>
      </w:r>
    </w:p>
    <w:p>
      <w:pPr>
        <w:spacing w:after="120" w:before="0" w:line="276"/>
      </w:pPr>
      <w:r>
        <w:rPr>
          <w:rFonts w:ascii="Calibri" w:cs="Calibri" w:eastAsia="Calibri" w:hAnsi="Calibri"/>
          <w:sz w:val="21"/>
          <w:szCs w:val="21"/>
        </w:rPr>
        <w:t xml:space="preserve">Pour que l'alignement tienne dans le temps, un test automatique échoue désormais si :</w:t>
      </w:r>
    </w:p>
    <w:p>
      <w:pPr>
        <w:pStyle w:val="ListParagraph"/>
        <w:numPr>
          <w:ilvl w:val="0"/>
          <w:numId w:val="2"/>
        </w:numPr>
        <w:spacing w:after="60" w:line="276"/>
      </w:pPr>
      <w:r>
        <w:rPr>
          <w:rFonts w:ascii="Calibri" w:cs="Calibri" w:eastAsia="Calibri" w:hAnsi="Calibri"/>
          <w:sz w:val="21"/>
          <w:szCs w:val="21"/>
        </w:rPr>
        <w:t xml:space="preserve">une clé du modèle publié n'a pas de champ de saisie, de libellé, de contrôle de validation ou de colonne d'import ;</w:t>
      </w:r>
    </w:p>
    <w:p>
      <w:pPr>
        <w:pStyle w:val="ListParagraph"/>
        <w:numPr>
          <w:ilvl w:val="0"/>
          <w:numId w:val="2"/>
        </w:numPr>
        <w:spacing w:after="60" w:line="276"/>
      </w:pPr>
      <w:r>
        <w:rPr>
          <w:rFonts w:ascii="Calibri" w:cs="Calibri" w:eastAsia="Calibri" w:hAnsi="Calibri"/>
          <w:sz w:val="21"/>
          <w:szCs w:val="21"/>
        </w:rPr>
        <w:t xml:space="preserve">les modalités d'un critère qualitatif divergent entre la base, la saisie, la validation et l'import ;</w:t>
      </w:r>
    </w:p>
    <w:p>
      <w:pPr>
        <w:pStyle w:val="ListParagraph"/>
        <w:numPr>
          <w:ilvl w:val="0"/>
          <w:numId w:val="2"/>
        </w:numPr>
        <w:spacing w:after="60" w:line="276"/>
      </w:pPr>
      <w:r>
        <w:rPr>
          <w:rFonts w:ascii="Calibri" w:cs="Calibri" w:eastAsia="Calibri" w:hAnsi="Calibri"/>
          <w:sz w:val="21"/>
          <w:szCs w:val="21"/>
        </w:rPr>
        <w:t xml:space="preserve">le moteur ne reproduit plus les 20 cas de référence de l'outil Excel sur le modèle v4 ;</w:t>
      </w:r>
    </w:p>
    <w:p>
      <w:pPr>
        <w:pStyle w:val="ListParagraph"/>
        <w:numPr>
          <w:ilvl w:val="0"/>
          <w:numId w:val="2"/>
        </w:numPr>
        <w:spacing w:after="60" w:line="276"/>
      </w:pPr>
      <w:r>
        <w:rPr>
          <w:rFonts w:ascii="Calibri" w:cs="Calibri" w:eastAsia="Calibri" w:hAnsi="Calibri"/>
          <w:sz w:val="21"/>
          <w:szCs w:val="21"/>
        </w:rPr>
        <w:t xml:space="preserve">un champ vide redevient 0, ou une valeur par défaut est de nouveau fabriquée.</w:t>
      </w:r>
    </w:p>
    <w:p>
      <w:pPr>
        <w:spacing w:after="120" w:before="80" w:line="276"/>
      </w:pPr>
      <w:r>
        <w:rPr>
          <w:rFonts w:ascii="Calibri" w:cs="Calibri" w:eastAsia="Calibri" w:hAnsi="Calibri"/>
          <w:sz w:val="21"/>
          <w:szCs w:val="21"/>
        </w:rPr>
        <w:t xml:space="preserve">La procédure de mise à jour de l'instantané après une publication est décrite dans prisma/models/README.md.</w:t>
      </w:r>
    </w:p>
    <w:p>
      <w:pPr>
        <w:pStyle w:val="Heading2"/>
        <w:spacing w:after="120" w:before="0" w:line="276"/>
      </w:pPr>
      <w:r>
        <w:rPr>
          <w:rFonts w:ascii="Calibri" w:cs="Calibri" w:eastAsia="Calibri" w:hAnsi="Calibri"/>
          <w:sz w:val="21"/>
          <w:szCs w:val="21"/>
        </w:rPr>
        <w:t xml:space="preserve">Vérifications réalisées</w:t>
      </w:r>
    </w:p>
    <w:tbl>
      <w:tblPr>
        <w:tblW w:type="dxa" w:w="9026"/>
        <w:tblBorders>
          <w:top w:val="single" w:color="AEB6C6" w:sz="2"/>
          <w:left w:val="single" w:color="AEB6C6" w:sz="2"/>
          <w:bottom w:val="single" w:color="AEB6C6" w:sz="2"/>
          <w:right w:val="single" w:color="AEB6C6" w:sz="2"/>
          <w:insideH w:val="single" w:color="D0D6E2" w:sz="1"/>
          <w:insideV w:val="single" w:color="D0D6E2" w:sz="1"/>
        </w:tblBorders>
      </w:tblPr>
      <w:tblGrid>
        <w:gridCol w:w="6300"/>
        <w:gridCol w:w="2726"/>
      </w:tblGrid>
      <w:tr>
        <w:trPr>
          <w:cantSplit/>
          <w:tblHeader/>
        </w:trPr>
        <w:tc>
          <w:tcPr>
            <w:tcW w:type="dxa" w:w="6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Contrôle</w:t>
            </w:r>
          </w:p>
        </w:tc>
        <w:tc>
          <w:tcPr>
            <w:tcW w:type="dxa" w:w="2726"/>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Résultat</w:t>
            </w:r>
          </w:p>
        </w:tc>
      </w:tr>
      <w:tr>
        <w:trPr>
          <w:cantSplit/>
        </w:trPr>
        <w:tc>
          <w:tcPr>
            <w:tcW w:type="dxa" w:w="6300"/>
            <w:tcMar>
              <w:top w:type="dxa" w:w="40"/>
              <w:left w:type="dxa" w:w="80"/>
              <w:bottom w:type="dxa" w:w="40"/>
              <w:right w:type="dxa" w:w="80"/>
            </w:tcMar>
          </w:tcPr>
          <w:p>
            <w:pPr>
              <w:spacing w:after="0" w:line="240"/>
            </w:pPr>
            <w:r>
              <w:rPr>
                <w:rFonts w:ascii="Calibri" w:cs="Calibri" w:eastAsia="Calibri" w:hAnsi="Calibri"/>
                <w:sz w:val="17"/>
                <w:szCs w:val="17"/>
              </w:rPr>
              <w:t xml:space="preserve">Tests automatisés</w:t>
            </w:r>
          </w:p>
        </w:tc>
        <w:tc>
          <w:tcPr>
            <w:tcW w:type="dxa" w:w="2726"/>
            <w:tcMar>
              <w:top w:type="dxa" w:w="40"/>
              <w:left w:type="dxa" w:w="80"/>
              <w:bottom w:type="dxa" w:w="40"/>
              <w:right w:type="dxa" w:w="80"/>
            </w:tcMar>
          </w:tcPr>
          <w:p>
            <w:pPr>
              <w:spacing w:after="0" w:line="240"/>
            </w:pPr>
            <w:r>
              <w:rPr>
                <w:rFonts w:ascii="Calibri" w:cs="Calibri" w:eastAsia="Calibri" w:hAnsi="Calibri"/>
                <w:b/>
                <w:bCs/>
                <w:color w:val="548235"/>
                <w:sz w:val="17"/>
                <w:szCs w:val="17"/>
              </w:rPr>
              <w:t xml:space="preserve">342 / 342 (dont 18 nouveaux)</w:t>
            </w:r>
          </w:p>
        </w:tc>
      </w:tr>
      <w:tr>
        <w:trPr>
          <w:cantSplit/>
        </w:trPr>
        <w:tc>
          <w:tcPr>
            <w:tcW w:type="dxa" w:w="6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Typage TypeScript et lint</w:t>
            </w:r>
          </w:p>
        </w:tc>
        <w:tc>
          <w:tcPr>
            <w:tcW w:type="dxa" w:w="2726"/>
            <w:shd w:fill="F2F5FB" w:color="auto" w:val="clear"/>
            <w:tcMar>
              <w:top w:type="dxa" w:w="40"/>
              <w:left w:type="dxa" w:w="80"/>
              <w:bottom w:type="dxa" w:w="40"/>
              <w:right w:type="dxa" w:w="80"/>
            </w:tcMar>
          </w:tcPr>
          <w:p>
            <w:pPr>
              <w:spacing w:after="0" w:line="240"/>
            </w:pPr>
            <w:r>
              <w:rPr>
                <w:rFonts w:ascii="Calibri" w:cs="Calibri" w:eastAsia="Calibri" w:hAnsi="Calibri"/>
                <w:b/>
                <w:bCs/>
                <w:color w:val="548235"/>
                <w:sz w:val="17"/>
                <w:szCs w:val="17"/>
              </w:rPr>
              <w:t xml:space="preserve">Sans erreur</w:t>
            </w:r>
          </w:p>
        </w:tc>
      </w:tr>
      <w:tr>
        <w:trPr>
          <w:cantSplit/>
        </w:trPr>
        <w:tc>
          <w:tcPr>
            <w:tcW w:type="dxa" w:w="6300"/>
            <w:tcMar>
              <w:top w:type="dxa" w:w="40"/>
              <w:left w:type="dxa" w:w="80"/>
              <w:bottom w:type="dxa" w:w="40"/>
              <w:right w:type="dxa" w:w="80"/>
            </w:tcMar>
          </w:tcPr>
          <w:p>
            <w:pPr>
              <w:spacing w:after="0" w:line="240"/>
            </w:pPr>
            <w:r>
              <w:rPr>
                <w:rFonts w:ascii="Calibri" w:cs="Calibri" w:eastAsia="Calibri" w:hAnsi="Calibri"/>
                <w:sz w:val="17"/>
                <w:szCs w:val="17"/>
              </w:rPr>
              <w:t xml:space="preserve">Build de production Next.js</w:t>
            </w:r>
          </w:p>
        </w:tc>
        <w:tc>
          <w:tcPr>
            <w:tcW w:type="dxa" w:w="2726"/>
            <w:tcMar>
              <w:top w:type="dxa" w:w="40"/>
              <w:left w:type="dxa" w:w="80"/>
              <w:bottom w:type="dxa" w:w="40"/>
              <w:right w:type="dxa" w:w="80"/>
            </w:tcMar>
          </w:tcPr>
          <w:p>
            <w:pPr>
              <w:spacing w:after="0" w:line="240"/>
            </w:pPr>
            <w:r>
              <w:rPr>
                <w:rFonts w:ascii="Calibri" w:cs="Calibri" w:eastAsia="Calibri" w:hAnsi="Calibri"/>
                <w:b/>
                <w:bCs/>
                <w:color w:val="548235"/>
                <w:sz w:val="17"/>
                <w:szCs w:val="17"/>
              </w:rPr>
              <w:t xml:space="preserve">Réussi</w:t>
            </w:r>
          </w:p>
        </w:tc>
      </w:tr>
      <w:tr>
        <w:trPr>
          <w:cantSplit/>
        </w:trPr>
        <w:tc>
          <w:tcPr>
            <w:tcW w:type="dxa" w:w="6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Instantané v4 vs extraction indépendante</w:t>
            </w:r>
          </w:p>
        </w:tc>
        <w:tc>
          <w:tcPr>
            <w:tcW w:type="dxa" w:w="2726"/>
            <w:shd w:fill="F2F5FB" w:color="auto" w:val="clear"/>
            <w:tcMar>
              <w:top w:type="dxa" w:w="40"/>
              <w:left w:type="dxa" w:w="80"/>
              <w:bottom w:type="dxa" w:w="40"/>
              <w:right w:type="dxa" w:w="80"/>
            </w:tcMar>
          </w:tcPr>
          <w:p>
            <w:pPr>
              <w:spacing w:after="0" w:line="240"/>
            </w:pPr>
            <w:r>
              <w:rPr>
                <w:rFonts w:ascii="Calibri" w:cs="Calibri" w:eastAsia="Calibri" w:hAnsi="Calibri"/>
                <w:b/>
                <w:bCs/>
                <w:color w:val="548235"/>
                <w:sz w:val="17"/>
                <w:szCs w:val="17"/>
              </w:rPr>
              <w:t xml:space="preserve">0 écart</w:t>
            </w:r>
          </w:p>
        </w:tc>
      </w:tr>
      <w:tr>
        <w:trPr>
          <w:cantSplit/>
        </w:trPr>
        <w:tc>
          <w:tcPr>
            <w:tcW w:type="dxa" w:w="6300"/>
            <w:tcMar>
              <w:top w:type="dxa" w:w="40"/>
              <w:left w:type="dxa" w:w="80"/>
              <w:bottom w:type="dxa" w:w="40"/>
              <w:right w:type="dxa" w:w="80"/>
            </w:tcMar>
          </w:tcPr>
          <w:p>
            <w:pPr>
              <w:spacing w:after="0" w:line="240"/>
            </w:pPr>
            <w:r>
              <w:rPr>
                <w:rFonts w:ascii="Calibri" w:cs="Calibri" w:eastAsia="Calibri" w:hAnsi="Calibri"/>
                <w:sz w:val="17"/>
                <w:szCs w:val="17"/>
              </w:rPr>
              <w:t xml:space="preserve">Corrections en base (colonne, historique, statuts)</w:t>
            </w:r>
          </w:p>
        </w:tc>
        <w:tc>
          <w:tcPr>
            <w:tcW w:type="dxa" w:w="2726"/>
            <w:tcMar>
              <w:top w:type="dxa" w:w="40"/>
              <w:left w:type="dxa" w:w="80"/>
              <w:bottom w:type="dxa" w:w="40"/>
              <w:right w:type="dxa" w:w="80"/>
            </w:tcMar>
          </w:tcPr>
          <w:p>
            <w:pPr>
              <w:spacing w:after="0" w:line="240"/>
            </w:pPr>
            <w:r>
              <w:rPr>
                <w:rFonts w:ascii="Calibri" w:cs="Calibri" w:eastAsia="Calibri" w:hAnsi="Calibri"/>
                <w:b/>
                <w:bCs/>
                <w:color w:val="548235"/>
                <w:sz w:val="17"/>
                <w:szCs w:val="17"/>
              </w:rPr>
              <w:t xml:space="preserve">Appliquées et relues</w:t>
            </w:r>
          </w:p>
        </w:tc>
      </w:tr>
      <w:tr>
        <w:trPr>
          <w:cantSplit/>
        </w:trPr>
        <w:tc>
          <w:tcPr>
            <w:tcW w:type="dxa" w:w="6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Écrans parcourus sur les données réelles</w:t>
            </w:r>
          </w:p>
        </w:tc>
        <w:tc>
          <w:tcPr>
            <w:tcW w:type="dxa" w:w="2726"/>
            <w:shd w:fill="F2F5FB" w:color="auto" w:val="clear"/>
            <w:tcMar>
              <w:top w:type="dxa" w:w="40"/>
              <w:left w:type="dxa" w:w="80"/>
              <w:bottom w:type="dxa" w:w="40"/>
              <w:right w:type="dxa" w:w="80"/>
            </w:tcMar>
          </w:tcPr>
          <w:p>
            <w:pPr>
              <w:spacing w:after="0" w:line="240"/>
            </w:pPr>
            <w:r>
              <w:rPr>
                <w:rFonts w:ascii="Calibri" w:cs="Calibri" w:eastAsia="Calibri" w:hAnsi="Calibri"/>
                <w:b/>
                <w:bCs/>
                <w:color w:val="C00000"/>
                <w:sz w:val="17"/>
                <w:szCs w:val="17"/>
              </w:rPr>
              <w:t xml:space="preserve">NON réalisé</w:t>
            </w:r>
          </w:p>
        </w:tc>
      </w:tr>
    </w:tbl>
    <w:p>
      <w:pPr>
        <w:spacing w:after="120" w:before="120" w:line="276"/>
      </w:pPr>
      <w:r>
        <w:rPr>
          <w:rFonts w:ascii="Calibri" w:cs="Calibri" w:eastAsia="Calibri" w:hAnsi="Calibri"/>
          <w:b/>
          <w:bCs/>
          <w:color w:val="C00000"/>
          <w:sz w:val="21"/>
          <w:szCs w:val="21"/>
        </w:rPr>
        <w:t xml:space="preserve">Limite. </w:t>
      </w:r>
      <w:r>
        <w:rPr>
          <w:rFonts w:ascii="Calibri" w:cs="Calibri" w:eastAsia="Calibri" w:hAnsi="Calibri"/>
          <w:i/>
          <w:iCs/>
          <w:sz w:val="21"/>
          <w:szCs w:val="21"/>
        </w:rPr>
        <w:t xml:space="preserve">L'environnement de travail n'avait pas les identifiants de connexion de l'application à la base : les écrans modifiés ont été compilés et testés, mais pas parcourus sur les données réelles. Une recette rapide après déploiement est nécessaire (section 5).</w:t>
      </w:r>
    </w:p>
    <w:p>
      <w:pPr>
        <w:pStyle w:val="Heading1"/>
        <w:spacing w:after="120" w:before="0" w:line="276"/>
      </w:pPr>
      <w:r>
        <w:rPr>
          <w:rFonts w:ascii="Calibri" w:cs="Calibri" w:eastAsia="Calibri" w:hAnsi="Calibri"/>
          <w:sz w:val="21"/>
          <w:szCs w:val="21"/>
        </w:rPr>
        <w:t xml:space="preserve">5. Actions à mener</w:t>
      </w:r>
    </w:p>
    <w:p>
      <w:pPr>
        <w:pStyle w:val="ListParagraph"/>
        <w:numPr>
          <w:ilvl w:val="0"/>
          <w:numId w:val="3"/>
        </w:numPr>
        <w:spacing w:after="60" w:line="276"/>
      </w:pPr>
      <w:r>
        <w:rPr>
          <w:rFonts w:ascii="Calibri" w:cs="Calibri" w:eastAsia="Calibri" w:hAnsi="Calibri"/>
          <w:b/>
          <w:bCs/>
          <w:sz w:val="21"/>
          <w:szCs w:val="21"/>
        </w:rPr>
        <w:t xml:space="preserve">Déployer </w:t>
      </w:r>
      <w:r>
        <w:rPr>
          <w:rFonts w:ascii="Calibri" w:cs="Calibri" w:eastAsia="Calibri" w:hAnsi="Calibri"/>
          <w:sz w:val="21"/>
          <w:szCs w:val="21"/>
        </w:rPr>
        <w:t xml:space="preserve">la branche (pull request à fusionner). La colonne en base est déjà créée : l'ordre de déploiement est sans risque.</w:t>
      </w:r>
    </w:p>
    <w:p>
      <w:pPr>
        <w:pStyle w:val="ListParagraph"/>
        <w:numPr>
          <w:ilvl w:val="0"/>
          <w:numId w:val="3"/>
        </w:numPr>
        <w:spacing w:after="60" w:line="276"/>
      </w:pPr>
      <w:r>
        <w:rPr>
          <w:rFonts w:ascii="Calibri" w:cs="Calibri" w:eastAsia="Calibri" w:hAnsi="Calibri"/>
          <w:b/>
          <w:bCs/>
          <w:sz w:val="21"/>
          <w:szCs w:val="21"/>
        </w:rPr>
        <w:t xml:space="preserve">Paramétrer les fonds propres prudentiels </w:t>
      </w:r>
      <w:r>
        <w:rPr>
          <w:rFonts w:ascii="Calibri" w:cs="Calibri" w:eastAsia="Calibri" w:hAnsi="Calibri"/>
          <w:sz w:val="21"/>
          <w:szCs w:val="21"/>
        </w:rPr>
        <w:t xml:space="preserve">dans Référentiels › Limites prudentielles (code DIVISION_RISQUES). Sans ce paramètre, le contrôle de division des risques n'est pas effectué et la synchronisation le signale.</w:t>
      </w:r>
    </w:p>
    <w:p>
      <w:pPr>
        <w:pStyle w:val="ListParagraph"/>
        <w:numPr>
          <w:ilvl w:val="0"/>
          <w:numId w:val="3"/>
        </w:numPr>
        <w:spacing w:after="60" w:line="276"/>
      </w:pPr>
      <w:r>
        <w:rPr>
          <w:rFonts w:ascii="Calibri" w:cs="Calibri" w:eastAsia="Calibri" w:hAnsi="Calibri"/>
          <w:b/>
          <w:bCs/>
          <w:sz w:val="21"/>
          <w:szCs w:val="21"/>
        </w:rPr>
        <w:t xml:space="preserve">Recalculer le portefeuille </w:t>
      </w:r>
      <w:r>
        <w:rPr>
          <w:rFonts w:ascii="Calibri" w:cs="Calibri" w:eastAsia="Calibri" w:hAnsi="Calibri"/>
          <w:sz w:val="21"/>
          <w:szCs w:val="21"/>
        </w:rPr>
        <w:t xml:space="preserve">depuis Administration › Modèle, en cochant la synchronisation préalable.</w:t>
      </w:r>
    </w:p>
    <w:p>
      <w:pPr>
        <w:pStyle w:val="Heading2"/>
        <w:spacing w:after="120" w:before="0" w:line="276"/>
      </w:pPr>
      <w:r>
        <w:rPr>
          <w:rFonts w:ascii="Calibri" w:cs="Calibri" w:eastAsia="Calibri" w:hAnsi="Calibri"/>
          <w:sz w:val="21"/>
          <w:szCs w:val="21"/>
        </w:rPr>
        <w:t xml:space="preserve">Effet attendu du recalcul — à anticiper</w:t>
      </w:r>
    </w:p>
    <w:p>
      <w:pPr>
        <w:spacing w:after="120" w:before="0" w:line="276"/>
      </w:pPr>
      <w:r>
        <w:rPr>
          <w:rFonts w:ascii="Calibri" w:cs="Calibri" w:eastAsia="Calibri" w:hAnsi="Calibri"/>
          <w:sz w:val="21"/>
          <w:szCs w:val="21"/>
        </w:rPr>
        <w:t xml:space="preserve">Les données qui alimentent les trois nouveaux critères v4 sont aujourd'hui très peu renseignées sur les 12 projets en base :</w:t>
      </w:r>
    </w:p>
    <w:p>
      <w:pPr>
        <w:pStyle w:val="ListParagraph"/>
        <w:numPr>
          <w:ilvl w:val="0"/>
          <w:numId w:val="2"/>
        </w:numPr>
        <w:spacing w:after="60" w:line="276"/>
      </w:pPr>
      <w:r>
        <w:rPr>
          <w:rFonts w:ascii="Calibri" w:cs="Calibri" w:eastAsia="Calibri" w:hAnsi="Calibri"/>
          <w:sz w:val="21"/>
          <w:szCs w:val="21"/>
        </w:rPr>
        <w:t xml:space="preserve">quotité de désengagement : renseignée sur 0 projet ;</w:t>
      </w:r>
    </w:p>
    <w:p>
      <w:pPr>
        <w:pStyle w:val="ListParagraph"/>
        <w:numPr>
          <w:ilvl w:val="0"/>
          <w:numId w:val="2"/>
        </w:numPr>
        <w:spacing w:after="60" w:line="276"/>
      </w:pPr>
      <w:r>
        <w:rPr>
          <w:rFonts w:ascii="Calibri" w:cs="Calibri" w:eastAsia="Calibri" w:hAnsi="Calibri"/>
          <w:sz w:val="21"/>
          <w:szCs w:val="21"/>
        </w:rPr>
        <w:t xml:space="preserve">statut de financement de l'acquéreur : renseigné sur 0 lot ;</w:t>
      </w:r>
    </w:p>
    <w:p>
      <w:pPr>
        <w:pStyle w:val="ListParagraph"/>
        <w:numPr>
          <w:ilvl w:val="0"/>
          <w:numId w:val="2"/>
        </w:numPr>
        <w:spacing w:after="60" w:line="276"/>
      </w:pPr>
      <w:r>
        <w:rPr>
          <w:rFonts w:ascii="Calibri" w:cs="Calibri" w:eastAsia="Calibri" w:hAnsi="Calibri"/>
          <w:sz w:val="21"/>
          <w:szCs w:val="21"/>
        </w:rPr>
        <w:t xml:space="preserve">chaîne d'autorisations : saisie sur 4 projets.</w:t>
      </w:r>
    </w:p>
    <w:p>
      <w:pPr>
        <w:spacing w:after="120" w:before="0" w:line="276"/>
      </w:pPr>
      <w:r>
        <w:rPr>
          <w:rFonts w:ascii="Calibri" w:cs="Calibri" w:eastAsia="Calibri" w:hAnsi="Calibri"/>
          <w:sz w:val="21"/>
          <w:szCs w:val="21"/>
        </w:rPr>
        <w:t xml:space="preserve">Conformément à la règle du modèle (une donnée absente reçoit la note plancher, jamais une note neutre), les scores recalculés baisseront tant que ces données ne sont pas saisies. C'est le comportement voulu : la baisse mesure un manque d'information, pas une dégradation du risque. Il est recommandé de compléter ces données sur les dossiers actifs avant de présenter les nouveaux scores en comité.</w:t>
      </w:r>
    </w:p>
    <w:p>
      <w:pPr>
        <w:pStyle w:val="Heading2"/>
        <w:spacing w:after="120" w:before="0" w:line="276"/>
      </w:pPr>
      <w:r>
        <w:rPr>
          <w:rFonts w:ascii="Calibri" w:cs="Calibri" w:eastAsia="Calibri" w:hAnsi="Calibri"/>
          <w:sz w:val="21"/>
          <w:szCs w:val="21"/>
        </w:rPr>
        <w:t xml:space="preserve">Recette après déploiement (15 minutes)</w:t>
      </w:r>
    </w:p>
    <w:p>
      <w:pPr>
        <w:pStyle w:val="ListParagraph"/>
        <w:numPr>
          <w:ilvl w:val="0"/>
          <w:numId w:val="2"/>
        </w:numPr>
        <w:spacing w:after="60" w:line="276"/>
      </w:pPr>
      <w:r>
        <w:rPr>
          <w:rFonts w:ascii="Calibri" w:cs="Calibri" w:eastAsia="Calibri" w:hAnsi="Calibri"/>
          <w:sz w:val="21"/>
          <w:szCs w:val="21"/>
        </w:rPr>
        <w:t xml:space="preserve">Wizard : vider un champ, enregistrer, recharger — le champ doit rester vide (et non 0).</w:t>
      </w:r>
    </w:p>
    <w:p>
      <w:pPr>
        <w:pStyle w:val="ListParagraph"/>
        <w:numPr>
          <w:ilvl w:val="0"/>
          <w:numId w:val="2"/>
        </w:numPr>
        <w:spacing w:after="60" w:line="276"/>
      </w:pPr>
      <w:r>
        <w:rPr>
          <w:rFonts w:ascii="Calibri" w:cs="Calibri" w:eastAsia="Calibri" w:hAnsi="Calibri"/>
          <w:sz w:val="21"/>
          <w:szCs w:val="21"/>
        </w:rPr>
        <w:t xml:space="preserve">Wizard : l'onglet « Pratique marocaine (modèle v4) » est présent et enregistre les valeurs.</w:t>
      </w:r>
    </w:p>
    <w:p>
      <w:pPr>
        <w:pStyle w:val="ListParagraph"/>
        <w:numPr>
          <w:ilvl w:val="0"/>
          <w:numId w:val="2"/>
        </w:numPr>
        <w:spacing w:after="60" w:line="276"/>
      </w:pPr>
      <w:r>
        <w:rPr>
          <w:rFonts w:ascii="Calibri" w:cs="Calibri" w:eastAsia="Calibri" w:hAnsi="Calibri"/>
          <w:sz w:val="21"/>
          <w:szCs w:val="21"/>
        </w:rPr>
        <w:t xml:space="preserve">Fiche projet › Scoring : l'encart « Lecture du résultat » apparaît après un nouveau calcul ; un ancien score affiche « version retirée ».</w:t>
      </w:r>
    </w:p>
    <w:p>
      <w:pPr>
        <w:pStyle w:val="ListParagraph"/>
        <w:numPr>
          <w:ilvl w:val="0"/>
          <w:numId w:val="2"/>
        </w:numPr>
        <w:spacing w:after="60" w:line="276"/>
      </w:pPr>
      <w:r>
        <w:rPr>
          <w:rFonts w:ascii="Calibri" w:cs="Calibri" w:eastAsia="Calibri" w:hAnsi="Calibri"/>
          <w:sz w:val="21"/>
          <w:szCs w:val="21"/>
        </w:rPr>
        <w:t xml:space="preserve">Dossier incomplet : la liste des données manquantes est affichée, avec leurs libellés.</w:t>
      </w:r>
    </w:p>
    <w:p>
      <w:pPr>
        <w:pStyle w:val="ListParagraph"/>
        <w:numPr>
          <w:ilvl w:val="0"/>
          <w:numId w:val="2"/>
        </w:numPr>
        <w:spacing w:after="60" w:line="276"/>
      </w:pPr>
      <w:r>
        <w:rPr>
          <w:rFonts w:ascii="Calibri" w:cs="Calibri" w:eastAsia="Calibri" w:hAnsi="Calibri"/>
          <w:sz w:val="21"/>
          <w:szCs w:val="21"/>
        </w:rPr>
        <w:t xml:space="preserve">Administration › Modèle : le compteur de scores périmés passe à 0 après le recalcul.</w:t>
      </w:r>
    </w:p>
    <w:p>
      <w:pPr>
        <w:pStyle w:val="Heading2"/>
        <w:spacing w:after="120" w:before="0" w:line="276"/>
      </w:pPr>
      <w:r>
        <w:rPr>
          <w:rFonts w:ascii="Calibri" w:cs="Calibri" w:eastAsia="Calibri" w:hAnsi="Calibri"/>
          <w:sz w:val="21"/>
          <w:szCs w:val="21"/>
        </w:rPr>
        <w:t xml:space="preserve">Hors périmètre, à considérer</w:t>
      </w:r>
    </w:p>
    <w:p>
      <w:pPr>
        <w:pStyle w:val="ListParagraph"/>
        <w:numPr>
          <w:ilvl w:val="0"/>
          <w:numId w:val="2"/>
        </w:numPr>
        <w:spacing w:after="60" w:line="276"/>
      </w:pPr>
      <w:r>
        <w:rPr>
          <w:rFonts w:ascii="Calibri" w:cs="Calibri" w:eastAsia="Calibri" w:hAnsi="Calibri"/>
          <w:sz w:val="21"/>
          <w:szCs w:val="21"/>
        </w:rPr>
        <w:t xml:space="preserve">Le modèle d'exploitation (hôtels, immobilier de rapport) est resté en v2 : sans criticité ni famille de critères, il ne produit pas de note de sûretés séparée.</w:t>
      </w:r>
    </w:p>
    <w:p>
      <w:pPr>
        <w:pStyle w:val="ListParagraph"/>
        <w:numPr>
          <w:ilvl w:val="0"/>
          <w:numId w:val="2"/>
        </w:numPr>
        <w:spacing w:after="60" w:line="276"/>
      </w:pPr>
      <w:r>
        <w:rPr>
          <w:rFonts w:ascii="Calibri" w:cs="Calibri" w:eastAsia="Calibri" w:hAnsi="Calibri"/>
          <w:sz w:val="21"/>
          <w:szCs w:val="21"/>
        </w:rPr>
        <w:t xml:space="preserve">La synchronisation du suivi écrase une saisie manuelle des clés dérivées ; une règle de priorité explicite (saisie ou suivi) pourrait être ajoutée.</w:t>
      </w:r>
    </w:p>
    <w:p>
      <w:pPr>
        <w:pStyle w:val="ListParagraph"/>
        <w:numPr>
          <w:ilvl w:val="0"/>
          <w:numId w:val="2"/>
        </w:numPr>
        <w:spacing w:after="60" w:line="276"/>
      </w:pPr>
      <w:r>
        <w:rPr>
          <w:rFonts w:ascii="Calibri" w:cs="Calibri" w:eastAsia="Calibri" w:hAnsi="Calibri"/>
          <w:sz w:val="21"/>
          <w:szCs w:val="21"/>
        </w:rPr>
        <w:t xml:space="preserve">Le retard de chantier en mois n'est pas encore dérivé du planning de livraison des tranches.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F2" w:sz="4" w:space="4"/>
      </w:pBdr>
      <w:spacing w:after="0"/>
      <w:jc w:val="right"/>
    </w:pPr>
    <w:r>
      <w:rPr>
        <w:rFonts w:ascii="Calibri" w:cs="Calibri" w:eastAsia="Calibri" w:hAnsi="Calibri"/>
        <w:color w:val="595959"/>
        <w:sz w:val="15"/>
        <w:szCs w:val="15"/>
      </w:rPr>
      <w:t xml:space="preserve">Diagnostic d'alignement — code, base, modèle v4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E1F2" w:sz="6" w:space="4"/>
      </w:pBdr>
      <w:spacing w:after="140" w:before="2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Diagnostic d'alignement code, base et modèle v4</dc:title>
  <dc:creator>Outil de scoring PI</dc:creator>
  <cp:lastModifiedBy>Un-named</cp:lastModifiedBy>
  <cp:revision>1</cp:revision>
  <dcterms:created xsi:type="dcterms:W3CDTF">2026-09-30T05:58:52.445Z</dcterms:created>
  <dcterms:modified xsi:type="dcterms:W3CDTF">2026-09-30T05:58:52.445Z</dcterms:modified>
</cp:coreProperties>
</file>

<file path=docProps/custom.xml><?xml version="1.0" encoding="utf-8"?>
<Properties xmlns="http://schemas.openxmlformats.org/officeDocument/2006/custom-properties" xmlns:vt="http://schemas.openxmlformats.org/officeDocument/2006/docPropsVTypes"/>
</file>