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r>
        <w:rPr>
          <w:rFonts w:ascii="Calibri" w:cs="Calibri" w:eastAsia="Calibri" w:hAnsi="Calibri"/>
          <w:b/>
          <w:bCs/>
          <w:color w:val="2563EB"/>
          <w:spacing w:val="60"/>
          <w:sz w:val="24"/>
          <w:szCs w:val="24"/>
        </w:rPr>
        <w:t xml:space="preserve">ERP PLATFORM</w:t>
      </w:r>
    </w:p>
    <w:p>
      <w:pPr>
        <w:spacing w:after="120" w:before="120"/>
      </w:pPr>
      <w:r>
        <w:rPr>
          <w:rFonts w:ascii="Calibri" w:cs="Calibri" w:eastAsia="Calibri" w:hAnsi="Calibri"/>
          <w:b/>
          <w:bCs/>
          <w:color w:val="1F2A44"/>
          <w:sz w:val="64"/>
          <w:szCs w:val="64"/>
        </w:rPr>
        <w:t xml:space="preserve">Product Features Overview</w:t>
      </w:r>
    </w:p>
    <w:p>
      <w:pPr>
        <w:pBdr>
          <w:bottom w:val="single" w:color="2563EB" w:sz="12" w:space="8"/>
        </w:pBdr>
        <w:spacing w:after="300"/>
      </w:pPr>
      <w:r>
        <w:rPr>
          <w:rFonts w:ascii="Calibri" w:cs="Calibri" w:eastAsia="Calibri" w:hAnsi="Calibri"/>
          <w:color w:val="5B6475"/>
          <w:sz w:val="24"/>
          <w:szCs w:val="24"/>
        </w:rPr>
        <w:t xml:space="preserve">Accounting · Inventory &amp; Warehousing · Purchasing · Sales · Banking · Reporting · AI Insights</w:t>
      </w:r>
    </w:p>
    <w:p>
      <w:pPr>
        <w:spacing w:after="120" w:line="300"/>
      </w:pPr>
      <w:r>
        <w:rPr>
          <w:rFonts w:ascii="Calibri" w:cs="Calibri" w:eastAsia="Calibri" w:hAnsi="Calibri"/>
          <w:color w:val="5B6475"/>
          <w:sz w:val="22"/>
          <w:szCs w:val="22"/>
        </w:rPr>
        <w:t xml:space="preserve">A multi-company, multi-branch ERP built for accounting-grade accuracy in day-to-day operations.</w:t>
      </w:r>
    </w:p>
    <w:p>
      <w:pPr>
        <w:spacing w:before="2400"/>
      </w:pPr>
      <w:r>
        <w:rPr>
          <w:rFonts w:ascii="Calibri" w:cs="Calibri" w:eastAsia="Calibri" w:hAnsi="Calibri"/>
          <w:color w:val="5B6475"/>
          <w:sz w:val="20"/>
          <w:szCs w:val="20"/>
        </w:rPr>
        <w:t xml:space="preserve">Document Version 1.0  ·  October 2026</w:t>
      </w:r>
    </w:p>
    <w:p>
      <w:pPr>
        <w:sectPr>
          <w:pgSz w:w="11906" w:h="16838" w:orient="portrait"/>
          <w:pgMar w:top="1200" w:right="1200" w:bottom="1200" w:left="1200" w:header="708" w:footer="708" w:gutter="0"/>
          <w:pgNumType/>
          <w:docGrid w:linePitch="360"/>
        </w:sectPr>
      </w:pPr>
      <w:r>
        <w:rPr>
          <w:rFonts w:ascii="Calibri" w:cs="Calibri" w:eastAsia="Calibri" w:hAnsi="Calibri"/>
          <w:color w:val="5B6475"/>
          <w:sz w:val="20"/>
          <w:szCs w:val="20"/>
        </w:rPr>
        <w:t xml:space="preserve">Client Presentation Copy</w:t>
      </w:r>
    </w:p>
    <w:p>
      <w:pPr>
        <w:pageBreakBefore/>
        <w:spacing w:after="200"/>
      </w:pPr>
      <w:r>
        <w:rPr>
          <w:rFonts w:ascii="Calibri" w:cs="Calibri" w:eastAsia="Calibri" w:hAnsi="Calibri"/>
          <w:b/>
          <w:bCs/>
          <w:color w:val="1F2A44"/>
          <w:sz w:val="36"/>
          <w:szCs w:val="36"/>
        </w:rPr>
        <w:t xml:space="preserve">Contents</w:t>
      </w:r>
    </w:p>
    <w:sdt>
      <w:sdtPr>
        <w:alias w:val="Contents"/>
      </w:sdtPr>
      <w:sdtContent>
        <w:p>
          <w:pPr>
            <w:pStyle w:val="TOC1"/>
            <w:tabs>
              <w:tab w:val="right" w:pos="9506" w:leader="dot"/>
            </w:tabs>
          </w:pPr>
          <w:r>
            <w:fldChar w:fldCharType="begin" w:dirty="true"/>
            <w:instrText xml:space="preserve">TOC \h \o "1-2"</w:instrText>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TOC2"/>
            <w:tabs>
              <w:tab w:val="right" w:pos="9506" w:leader="dot"/>
            </w:tabs>
            <w:ind w:left="220"/>
          </w:pPr>
          <w:hyperlink w:history="1" w:anchor="_Toc2">
            <w:r>
              <w:t xml:space="preserve">Why It Is Different</w:t>
            </w:r>
            <w:r>
              <w:tab/>
            </w:r>
            <w:r>
              <w:fldChar w:fldCharType="begin" w:dirty="true"/>
              <w:instrText xml:space="preserve">PAGEREF _Toc2 \h</w:instrText>
              <w:fldChar w:fldCharType="separate"/>
              <w:fldChar w:fldCharType="end"/>
            </w:r>
          </w:hyperlink>
        </w:p>
        <w:p>
          <w:pPr>
            <w:pStyle w:val="TOC2"/>
            <w:tabs>
              <w:tab w:val="right" w:pos="9506" w:leader="dot"/>
            </w:tabs>
            <w:ind w:left="220"/>
          </w:pPr>
          <w:hyperlink w:history="1" w:anchor="_Toc3">
            <w:r>
              <w:t xml:space="preserve">Feature Status Key</w:t>
            </w:r>
            <w:r>
              <w:tab/>
            </w:r>
            <w:r>
              <w:fldChar w:fldCharType="begin" w:dirty="true"/>
              <w:instrText xml:space="preserve">PAGEREF _Toc3 \h</w:instrText>
              <w:fldChar w:fldCharType="separate"/>
              <w:fldChar w:fldCharType="end"/>
            </w:r>
          </w:hyperlink>
        </w:p>
        <w:p>
          <w:pPr>
            <w:pStyle w:val="TOC2"/>
            <w:tabs>
              <w:tab w:val="right" w:pos="9506" w:leader="dot"/>
            </w:tabs>
            <w:ind w:left="220"/>
          </w:pPr>
          <w:hyperlink w:history="1" w:anchor="_Toc4">
            <w:r>
              <w:t xml:space="preserve">Modules At A Glance</w:t>
            </w:r>
            <w:r>
              <w:tab/>
            </w:r>
            <w:r>
              <w:fldChar w:fldCharType="begin" w:dirty="true"/>
              <w:instrText xml:space="preserve">PAGEREF _Toc4 \h</w:instrText>
              <w:fldChar w:fldCharType="separate"/>
              <w:fldChar w:fldCharType="end"/>
            </w:r>
          </w:hyperlink>
        </w:p>
        <w:p>
          <w:pPr>
            <w:pStyle w:val="TOC1"/>
            <w:tabs>
              <w:tab w:val="right" w:pos="9506" w:leader="dot"/>
            </w:tabs>
          </w:pPr>
          <w:hyperlink w:history="1" w:anchor="_Toc5">
            <w:r>
              <w:t xml:space="preserve">2. Feature List By Module</w:t>
            </w:r>
            <w:r>
              <w:tab/>
            </w:r>
            <w:r>
              <w:fldChar w:fldCharType="begin" w:dirty="true"/>
              <w:instrText xml:space="preserve">PAGEREF _Toc5 \h</w:instrText>
              <w:fldChar w:fldCharType="separate"/>
              <w:fldChar w:fldCharType="end"/>
            </w:r>
          </w:hyperlink>
        </w:p>
        <w:p>
          <w:pPr>
            <w:pStyle w:val="TOC2"/>
            <w:tabs>
              <w:tab w:val="right" w:pos="9506" w:leader="dot"/>
            </w:tabs>
            <w:ind w:left="220"/>
          </w:pPr>
          <w:hyperlink w:history="1" w:anchor="_Toc6">
            <w:r>
              <w:t xml:space="preserve">2.1 General Ledger &amp; Accounting</w:t>
            </w:r>
            <w:r>
              <w:tab/>
            </w:r>
            <w:r>
              <w:fldChar w:fldCharType="begin" w:dirty="true"/>
              <w:instrText xml:space="preserve">PAGEREF _Toc6 \h</w:instrText>
              <w:fldChar w:fldCharType="separate"/>
              <w:fldChar w:fldCharType="end"/>
            </w:r>
          </w:hyperlink>
        </w:p>
        <w:p>
          <w:pPr>
            <w:pStyle w:val="TOC2"/>
            <w:tabs>
              <w:tab w:val="right" w:pos="9506" w:leader="dot"/>
            </w:tabs>
            <w:ind w:left="220"/>
          </w:pPr>
          <w:hyperlink w:history="1" w:anchor="_Toc7">
            <w:r>
              <w:t xml:space="preserve">2.2 Inventory &amp; Warehousing</w:t>
            </w:r>
            <w:r>
              <w:tab/>
            </w:r>
            <w:r>
              <w:fldChar w:fldCharType="begin" w:dirty="true"/>
              <w:instrText xml:space="preserve">PAGEREF _Toc7 \h</w:instrText>
              <w:fldChar w:fldCharType="separate"/>
              <w:fldChar w:fldCharType="end"/>
            </w:r>
          </w:hyperlink>
        </w:p>
        <w:p>
          <w:pPr>
            <w:pStyle w:val="TOC2"/>
            <w:tabs>
              <w:tab w:val="right" w:pos="9506" w:leader="dot"/>
            </w:tabs>
            <w:ind w:left="220"/>
          </w:pPr>
          <w:hyperlink w:history="1" w:anchor="_Toc8">
            <w:r>
              <w:t xml:space="preserve">2.3 Purchasing (Accounts Payable)</w:t>
            </w:r>
            <w:r>
              <w:tab/>
            </w:r>
            <w:r>
              <w:fldChar w:fldCharType="begin" w:dirty="true"/>
              <w:instrText xml:space="preserve">PAGEREF _Toc8 \h</w:instrText>
              <w:fldChar w:fldCharType="separate"/>
              <w:fldChar w:fldCharType="end"/>
            </w:r>
          </w:hyperlink>
        </w:p>
        <w:p>
          <w:pPr>
            <w:pStyle w:val="TOC2"/>
            <w:tabs>
              <w:tab w:val="right" w:pos="9506" w:leader="dot"/>
            </w:tabs>
            <w:ind w:left="220"/>
          </w:pPr>
          <w:hyperlink w:history="1" w:anchor="_Toc9">
            <w:r>
              <w:t xml:space="preserve">2.4 Sales (Accounts Receivable)</w:t>
            </w:r>
            <w:r>
              <w:tab/>
            </w:r>
            <w:r>
              <w:fldChar w:fldCharType="begin" w:dirty="true"/>
              <w:instrText xml:space="preserve">PAGEREF _Toc9 \h</w:instrText>
              <w:fldChar w:fldCharType="separate"/>
              <w:fldChar w:fldCharType="end"/>
            </w:r>
          </w:hyperlink>
        </w:p>
        <w:p>
          <w:pPr>
            <w:pStyle w:val="TOC2"/>
            <w:tabs>
              <w:tab w:val="right" w:pos="9506" w:leader="dot"/>
            </w:tabs>
            <w:ind w:left="220"/>
          </w:pPr>
          <w:hyperlink w:history="1" w:anchor="_Toc10">
            <w:r>
              <w:t xml:space="preserve">2.5 Banking</w:t>
            </w:r>
            <w:r>
              <w:tab/>
            </w:r>
            <w:r>
              <w:fldChar w:fldCharType="begin" w:dirty="true"/>
              <w:instrText xml:space="preserve">PAGEREF _Toc10 \h</w:instrText>
              <w:fldChar w:fldCharType="separate"/>
              <w:fldChar w:fldCharType="end"/>
            </w:r>
          </w:hyperlink>
        </w:p>
        <w:p>
          <w:pPr>
            <w:pStyle w:val="TOC2"/>
            <w:tabs>
              <w:tab w:val="right" w:pos="9506" w:leader="dot"/>
            </w:tabs>
            <w:ind w:left="220"/>
          </w:pPr>
          <w:hyperlink w:history="1" w:anchor="_Toc11">
            <w:r>
              <w:t xml:space="preserve">2.6 Reporting &amp; Dashboard</w:t>
            </w:r>
            <w:r>
              <w:tab/>
            </w:r>
            <w:r>
              <w:fldChar w:fldCharType="begin" w:dirty="true"/>
              <w:instrText xml:space="preserve">PAGEREF _Toc11 \h</w:instrText>
              <w:fldChar w:fldCharType="separate"/>
              <w:fldChar w:fldCharType="end"/>
            </w:r>
          </w:hyperlink>
        </w:p>
        <w:p>
          <w:pPr>
            <w:pStyle w:val="TOC2"/>
            <w:tabs>
              <w:tab w:val="right" w:pos="9506" w:leader="dot"/>
            </w:tabs>
            <w:ind w:left="220"/>
          </w:pPr>
          <w:hyperlink w:history="1" w:anchor="_Toc12">
            <w:r>
              <w:t xml:space="preserve">2.7 Administration &amp; Settings</w:t>
            </w:r>
            <w:r>
              <w:tab/>
            </w:r>
            <w:r>
              <w:fldChar w:fldCharType="begin" w:dirty="true"/>
              <w:instrText xml:space="preserve">PAGEREF _Toc12 \h</w:instrText>
              <w:fldChar w:fldCharType="separate"/>
              <w:fldChar w:fldCharType="end"/>
            </w:r>
          </w:hyperlink>
        </w:p>
        <w:p>
          <w:pPr>
            <w:pStyle w:val="TOC1"/>
            <w:tabs>
              <w:tab w:val="right" w:pos="9506" w:leader="dot"/>
            </w:tabs>
          </w:pPr>
          <w:hyperlink w:history="1" w:anchor="_Toc13">
            <w:r>
              <w:t xml:space="preserve">3. AI Insights &amp; Chat-Based Reporting</w:t>
            </w:r>
            <w:r>
              <w:tab/>
            </w:r>
            <w:r>
              <w:fldChar w:fldCharType="begin" w:dirty="true"/>
              <w:instrText xml:space="preserve">PAGEREF _Toc13 \h</w:instrText>
              <w:fldChar w:fldCharType="separate"/>
              <w:fldChar w:fldCharType="end"/>
            </w:r>
          </w:hyperlink>
        </w:p>
        <w:p>
          <w:pPr>
            <w:pStyle w:val="TOC2"/>
            <w:tabs>
              <w:tab w:val="right" w:pos="9506" w:leader="dot"/>
            </w:tabs>
            <w:ind w:left="220"/>
          </w:pPr>
          <w:hyperlink w:history="1" w:anchor="_Toc14">
            <w:r>
              <w:t xml:space="preserve">3.1 Chat-Based Dynamic Reports</w:t>
            </w:r>
            <w:r>
              <w:tab/>
            </w:r>
            <w:r>
              <w:fldChar w:fldCharType="begin" w:dirty="true"/>
              <w:instrText xml:space="preserve">PAGEREF _Toc14 \h</w:instrText>
              <w:fldChar w:fldCharType="separate"/>
              <w:fldChar w:fldCharType="end"/>
            </w:r>
          </w:hyperlink>
        </w:p>
        <w:p>
          <w:pPr>
            <w:pStyle w:val="TOC2"/>
            <w:tabs>
              <w:tab w:val="right" w:pos="9506" w:leader="dot"/>
            </w:tabs>
            <w:ind w:left="220"/>
          </w:pPr>
          <w:hyperlink w:history="1" w:anchor="_Toc15">
            <w:r>
              <w:t xml:space="preserve">3.2 AI Business Insights</w:t>
            </w:r>
            <w:r>
              <w:tab/>
            </w:r>
            <w:r>
              <w:fldChar w:fldCharType="begin" w:dirty="true"/>
              <w:instrText xml:space="preserve">PAGEREF _Toc15 \h</w:instrText>
              <w:fldChar w:fldCharType="separate"/>
              <w:fldChar w:fldCharType="end"/>
            </w:r>
          </w:hyperlink>
        </w:p>
        <w:p>
          <w:pPr>
            <w:pStyle w:val="TOC2"/>
            <w:tabs>
              <w:tab w:val="right" w:pos="9506" w:leader="dot"/>
            </w:tabs>
            <w:ind w:left="220"/>
          </w:pPr>
          <w:hyperlink w:history="1" w:anchor="_Toc16">
            <w:r>
              <w:t xml:space="preserve">3.3 AI-Assisted Data Entry</w:t>
            </w:r>
            <w:r>
              <w:tab/>
            </w:r>
            <w:r>
              <w:fldChar w:fldCharType="begin" w:dirty="true"/>
              <w:instrText xml:space="preserve">PAGEREF _Toc16 \h</w:instrText>
              <w:fldChar w:fldCharType="separate"/>
              <w:fldChar w:fldCharType="end"/>
            </w:r>
          </w:hyperlink>
        </w:p>
        <w:p>
          <w:pPr>
            <w:pStyle w:val="TOC2"/>
            <w:tabs>
              <w:tab w:val="right" w:pos="9506" w:leader="dot"/>
            </w:tabs>
            <w:ind w:left="220"/>
          </w:pPr>
          <w:hyperlink w:history="1" w:anchor="_Toc17">
            <w:r>
              <w:t xml:space="preserve">3.4 Trust, Security &amp; Control</w:t>
            </w:r>
            <w:r>
              <w:tab/>
            </w:r>
            <w:r>
              <w:fldChar w:fldCharType="begin" w:dirty="true"/>
              <w:instrText xml:space="preserve">PAGEREF _Toc17 \h</w:instrText>
              <w:fldChar w:fldCharType="separate"/>
              <w:fldChar w:fldCharType="end"/>
            </w:r>
          </w:hyperlink>
        </w:p>
        <w:p>
          <w:pPr>
            <w:pStyle w:val="TOC1"/>
            <w:tabs>
              <w:tab w:val="right" w:pos="9506" w:leader="dot"/>
            </w:tabs>
          </w:pPr>
          <w:hyperlink w:history="1" w:anchor="_Toc18">
            <w:r>
              <w:t xml:space="preserve">4. Platform, Security &amp; Quality</w:t>
            </w:r>
            <w:r>
              <w:tab/>
            </w:r>
            <w:r>
              <w:fldChar w:fldCharType="begin" w:dirty="true"/>
              <w:instrText xml:space="preserve">PAGEREF _Toc18 \h</w:instrText>
              <w:fldChar w:fldCharType="separate"/>
              <w:fldChar w:fldCharType="end"/>
            </w:r>
          </w:hyperlink>
        </w:p>
        <w:p>
          <w:pPr>
            <w:pStyle w:val="TOC1"/>
            <w:tabs>
              <w:tab w:val="right" w:pos="9506" w:leader="dot"/>
            </w:tabs>
          </w:pPr>
          <w:hyperlink w:history="1" w:anchor="_Toc19">
            <w:r>
              <w:t xml:space="preserve">5. Product Roadmap</w:t>
            </w:r>
            <w:r>
              <w:tab/>
            </w:r>
            <w:r>
              <w:fldChar w:fldCharType="begin" w:dirty="true"/>
              <w:instrText xml:space="preserve">PAGEREF _Toc19 \h</w:instrText>
              <w:fldChar w:fldCharType="separate"/>
              <w:fldChar w:fldCharType="end"/>
            </w:r>
          </w:hyperlink>
        </w:p>
        <w:p>
          <w:r>
            <w:fldChar w:fldCharType="end"/>
          </w:r>
        </w:p>
      </w:sdtContent>
    </w:sdt>
    <w:p>
      <w:pPr>
        <w:spacing w:after="120" w:line="300"/>
      </w:pPr>
      <w:r>
        <w:rPr>
          <w:rFonts w:ascii="Calibri" w:cs="Calibri" w:eastAsia="Calibri" w:hAnsi="Calibri"/>
          <w:i/>
          <w:iCs/>
          <w:color w:val="5B6475"/>
          <w:sz w:val="22"/>
          <w:szCs w:val="22"/>
        </w:rPr>
        <w:t xml:space="preserve">If page numbers are not shown, right-click the table and choose Update Field.</w:t>
      </w:r>
    </w:p>
    <w:p>
      <w:pPr>
        <w:pStyle w:val="Heading1"/>
        <w:pageBreakBefore/>
        <w:spacing w:after="200"/>
      </w:pPr>
      <w:bookmarkStart w:name="_Toc1" w:id="1"/>
      <w:r>
        <w:rPr>
          <w:rFonts w:ascii="Calibri" w:cs="Calibri" w:eastAsia="Calibri" w:hAnsi="Calibri"/>
          <w:b/>
          <w:bCs/>
          <w:color w:val="1F2A44"/>
          <w:sz w:val="36"/>
          <w:szCs w:val="36"/>
        </w:rPr>
        <w:t xml:space="preserve">1. Executive Summary</w:t>
      </w:r>
      <w:bookmarkEnd w:id="1"/>
    </w:p>
    <w:p>
      <w:pPr>
        <w:spacing w:after="120" w:line="300"/>
      </w:pPr>
      <w:r>
        <w:rPr>
          <w:rFonts w:ascii="Calibri" w:cs="Calibri" w:eastAsia="Calibri" w:hAnsi="Calibri"/>
          <w:color w:val="222222"/>
          <w:sz w:val="22"/>
          <w:szCs w:val="22"/>
        </w:rPr>
        <w:t xml:space="preserve">The ERP Platform brings a company's accounts, stock, purchasing, sales, and banking into one system. Every transaction is posted to the general ledger and to stock history in the same step, so financial statements and stock figures always agree.</w:t>
      </w:r>
    </w:p>
    <w:p>
      <w:pPr>
        <w:spacing w:after="120" w:line="300"/>
      </w:pPr>
      <w:r>
        <w:rPr>
          <w:rFonts w:ascii="Calibri" w:cs="Calibri" w:eastAsia="Calibri" w:hAnsi="Calibri"/>
          <w:color w:val="222222"/>
          <w:sz w:val="22"/>
          <w:szCs w:val="22"/>
        </w:rPr>
        <w:t xml:space="preserve">The system is designed for accounting, inventory, purchasing, and sales staff at small and mid-sized companies, with supervisors who review and approve documents. Screens use plain language and a consistent layout so staff learn one pattern and use it everywhere.</w:t>
      </w:r>
    </w:p>
    <w:p>
      <w:pPr>
        <w:pStyle w:val="Heading2"/>
        <w:spacing w:after="120" w:before="280"/>
      </w:pPr>
      <w:bookmarkStart w:name="_Toc2" w:id="2"/>
      <w:r>
        <w:rPr>
          <w:rFonts w:ascii="Calibri" w:cs="Calibri" w:eastAsia="Calibri" w:hAnsi="Calibri"/>
          <w:b/>
          <w:bCs/>
          <w:color w:val="1F2A44"/>
          <w:sz w:val="28"/>
          <w:szCs w:val="28"/>
        </w:rPr>
        <w:t xml:space="preserve">Why It Is Different</w:t>
      </w:r>
      <w:bookmarkEnd w:id="2"/>
    </w:p>
    <w:p>
      <w:pPr>
        <w:pStyle w:val="ListParagraph"/>
        <w:numPr>
          <w:ilvl w:val="0"/>
          <w:numId w:val="2"/>
        </w:numPr>
        <w:spacing w:after="60" w:line="280"/>
      </w:pPr>
      <w:r>
        <w:rPr>
          <w:rFonts w:ascii="Calibri" w:cs="Calibri" w:eastAsia="Calibri" w:hAnsi="Calibri"/>
          <w:b/>
          <w:bCs/>
          <w:sz w:val="22"/>
          <w:szCs w:val="22"/>
        </w:rPr>
        <w:t xml:space="preserve">Accounting-Grade Accuracy. </w:t>
      </w:r>
      <w:r>
        <w:rPr>
          <w:rFonts w:ascii="Calibri" w:cs="Calibri" w:eastAsia="Calibri" w:hAnsi="Calibri"/>
          <w:sz w:val="22"/>
          <w:szCs w:val="22"/>
        </w:rPr>
        <w:t xml:space="preserve">Posted vouchers and stock documents cannot be edited. Corrections are made by reversal or adjustment, giving a complete audit trail.</w:t>
      </w:r>
    </w:p>
    <w:p>
      <w:pPr>
        <w:pStyle w:val="ListParagraph"/>
        <w:numPr>
          <w:ilvl w:val="0"/>
          <w:numId w:val="2"/>
        </w:numPr>
        <w:spacing w:after="60" w:line="280"/>
      </w:pPr>
      <w:r>
        <w:rPr>
          <w:rFonts w:ascii="Calibri" w:cs="Calibri" w:eastAsia="Calibri" w:hAnsi="Calibri"/>
          <w:b/>
          <w:bCs/>
          <w:sz w:val="22"/>
          <w:szCs w:val="22"/>
        </w:rPr>
        <w:t xml:space="preserve">Trusted Stock Figures. </w:t>
      </w:r>
      <w:r>
        <w:rPr>
          <w:rFonts w:ascii="Calibri" w:cs="Calibri" w:eastAsia="Calibri" w:hAnsi="Calibri"/>
          <w:sz w:val="22"/>
          <w:szCs w:val="22"/>
        </w:rPr>
        <w:t xml:space="preserve">Stock history is the single source of truth. Every purchase, sale, return, transfer, and adjustment creates a permanent stock movement record.</w:t>
      </w:r>
    </w:p>
    <w:p>
      <w:pPr>
        <w:pStyle w:val="ListParagraph"/>
        <w:numPr>
          <w:ilvl w:val="0"/>
          <w:numId w:val="2"/>
        </w:numPr>
        <w:spacing w:after="60" w:line="280"/>
      </w:pPr>
      <w:r>
        <w:rPr>
          <w:rFonts w:ascii="Calibri" w:cs="Calibri" w:eastAsia="Calibri" w:hAnsi="Calibri"/>
          <w:b/>
          <w:bCs/>
          <w:sz w:val="22"/>
          <w:szCs w:val="22"/>
        </w:rPr>
        <w:t xml:space="preserve">Multi-Company, Multi-Branch. </w:t>
      </w:r>
      <w:r>
        <w:rPr>
          <w:rFonts w:ascii="Calibri" w:cs="Calibri" w:eastAsia="Calibri" w:hAnsi="Calibri"/>
          <w:sz w:val="22"/>
          <w:szCs w:val="22"/>
        </w:rPr>
        <w:t xml:space="preserve">One installation serves many companies, each with its own branches, warehouses, chart of accounts, and settings.</w:t>
      </w:r>
    </w:p>
    <w:p>
      <w:pPr>
        <w:pStyle w:val="ListParagraph"/>
        <w:numPr>
          <w:ilvl w:val="0"/>
          <w:numId w:val="2"/>
        </w:numPr>
        <w:spacing w:after="60" w:line="280"/>
      </w:pPr>
      <w:r>
        <w:rPr>
          <w:rFonts w:ascii="Calibri" w:cs="Calibri" w:eastAsia="Calibri" w:hAnsi="Calibri"/>
          <w:b/>
          <w:bCs/>
          <w:sz w:val="22"/>
          <w:szCs w:val="22"/>
        </w:rPr>
        <w:t xml:space="preserve">Your Settings, Everywhere. </w:t>
      </w:r>
      <w:r>
        <w:rPr>
          <w:rFonts w:ascii="Calibri" w:cs="Calibri" w:eastAsia="Calibri" w:hAnsi="Calibri"/>
          <w:sz w:val="22"/>
          <w:szCs w:val="22"/>
        </w:rPr>
        <w:t xml:space="preserve">Currency, date format, number format, and time zone come from each company's settings — nothing is fixed in the software.</w:t>
      </w:r>
    </w:p>
    <w:p>
      <w:pPr>
        <w:pStyle w:val="ListParagraph"/>
        <w:numPr>
          <w:ilvl w:val="0"/>
          <w:numId w:val="2"/>
        </w:numPr>
        <w:spacing w:after="60" w:line="280"/>
      </w:pPr>
      <w:r>
        <w:rPr>
          <w:rFonts w:ascii="Calibri" w:cs="Calibri" w:eastAsia="Calibri" w:hAnsi="Calibri"/>
          <w:b/>
          <w:bCs/>
          <w:sz w:val="22"/>
          <w:szCs w:val="22"/>
        </w:rPr>
        <w:t xml:space="preserve">AI-Ready. </w:t>
      </w:r>
      <w:r>
        <w:rPr>
          <w:rFonts w:ascii="Calibri" w:cs="Calibri" w:eastAsia="Calibri" w:hAnsi="Calibri"/>
          <w:sz w:val="22"/>
          <w:szCs w:val="22"/>
        </w:rPr>
        <w:t xml:space="preserve">Ask business questions in plain language and get live reports, charts, and explanations from your own data.</w:t>
      </w:r>
    </w:p>
    <w:p>
      <w:pPr>
        <w:pStyle w:val="Heading2"/>
        <w:spacing w:after="120" w:before="280"/>
      </w:pPr>
      <w:bookmarkStart w:name="_Toc3" w:id="3"/>
      <w:r>
        <w:rPr>
          <w:rFonts w:ascii="Calibri" w:cs="Calibri" w:eastAsia="Calibri" w:hAnsi="Calibri"/>
          <w:b/>
          <w:bCs/>
          <w:color w:val="1F2A44"/>
          <w:sz w:val="28"/>
          <w:szCs w:val="28"/>
        </w:rPr>
        <w:t xml:space="preserve">Feature Status Key</w:t>
      </w:r>
      <w:bookmarkEnd w:id="3"/>
    </w:p>
    <w:p>
      <w:pPr>
        <w:spacing w:after="120" w:line="300"/>
      </w:pPr>
      <w:r>
        <w:rPr>
          <w:rFonts w:ascii="Calibri" w:cs="Calibri" w:eastAsia="Calibri" w:hAnsi="Calibri"/>
          <w:color w:val="222222"/>
          <w:sz w:val="22"/>
          <w:szCs w:val="22"/>
        </w:rPr>
        <w:t xml:space="preserve">Each feature in this document carries a status so you can see exactly what is in the product today and what is on the roadmap.</w:t>
      </w:r>
    </w:p>
    <w:tbl>
      <w:tblPr>
        <w:tblW w:type="pct" w:w="5000"/>
        <w:tblBorders>
          <w:top w:val="single" w:color="D5DAE3" w:sz="4"/>
          <w:left w:val="single" w:color="D5DAE3" w:sz="4"/>
          <w:bottom w:val="single" w:color="D5DAE3" w:sz="4"/>
          <w:right w:val="single" w:color="D5DAE3" w:sz="4"/>
          <w:insideH w:val="single" w:color="D5DAE3" w:sz="4"/>
          <w:insideV w:val="single" w:color="D5DAE3" w:sz="4"/>
        </w:tblBorders>
      </w:tblPr>
      <w:tblGrid>
        <w:gridCol w:w="2377"/>
        <w:gridCol w:w="7130"/>
      </w:tblGrid>
      <w:tr>
        <w:trPr>
          <w:tblHeader/>
        </w:trPr>
        <w:tc>
          <w:tcPr>
            <w:tcW w:type="pct" w:w="125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Status</w:t>
            </w:r>
          </w:p>
        </w:tc>
        <w:tc>
          <w:tcPr>
            <w:tcW w:type="pct" w:w="375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Meaning</w:t>
            </w:r>
          </w:p>
        </w:tc>
      </w:tr>
      <w:tr>
        <w:tc>
          <w:tcPr>
            <w:tcW w:type="pct" w:w="1250"/>
            <w:tcMar>
              <w:top w:type="dxa" w:w="80"/>
              <w:left w:type="dxa" w:w="120"/>
              <w:bottom w:type="dxa" w:w="80"/>
              <w:right w:type="dxa" w:w="120"/>
            </w:tcMar>
          </w:tcPr>
          <w:p>
            <w:pPr>
              <w:jc w:val="left"/>
            </w:pPr>
            <w:r>
              <w:rPr>
                <w:rFonts w:ascii="Calibri" w:cs="Calibri" w:eastAsia="Calibri" w:hAnsi="Calibri"/>
                <w:b/>
                <w:bCs/>
                <w:color w:val="222222"/>
                <w:sz w:val="20"/>
                <w:szCs w:val="20"/>
              </w:rPr>
              <w:t xml:space="preserve">Available</w:t>
            </w:r>
          </w:p>
        </w:tc>
        <w:tc>
          <w:tcPr>
            <w:tcW w:type="pct" w:w="3750"/>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Included in the current release and ready to use.</w:t>
            </w:r>
          </w:p>
        </w:tc>
      </w:tr>
      <w:tr>
        <w:tc>
          <w:tcPr>
            <w:tcW w:type="pct" w:w="1250"/>
            <w:shd w:fill="F6F8FB" w:color="auto" w:val="clear"/>
            <w:tcMar>
              <w:top w:type="dxa" w:w="80"/>
              <w:left w:type="dxa" w:w="120"/>
              <w:bottom w:type="dxa" w:w="80"/>
              <w:right w:type="dxa" w:w="120"/>
            </w:tcMar>
          </w:tcPr>
          <w:p>
            <w:pPr>
              <w:jc w:val="left"/>
            </w:pPr>
            <w:r>
              <w:rPr>
                <w:rFonts w:ascii="Calibri" w:cs="Calibri" w:eastAsia="Calibri" w:hAnsi="Calibri"/>
                <w:b/>
                <w:bCs/>
                <w:color w:val="222222"/>
                <w:sz w:val="20"/>
                <w:szCs w:val="20"/>
              </w:rPr>
              <w:t xml:space="preserve">In Progress</w:t>
            </w:r>
          </w:p>
        </w:tc>
        <w:tc>
          <w:tcPr>
            <w:tcW w:type="pct" w:w="3750"/>
            <w:shd w:fill="F6F8FB"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Partly delivered; being completed in the current development cycle.</w:t>
            </w:r>
          </w:p>
        </w:tc>
      </w:tr>
      <w:tr>
        <w:tc>
          <w:tcPr>
            <w:tcW w:type="pct" w:w="1250"/>
            <w:tcMar>
              <w:top w:type="dxa" w:w="80"/>
              <w:left w:type="dxa" w:w="120"/>
              <w:bottom w:type="dxa" w:w="80"/>
              <w:right w:type="dxa" w:w="120"/>
            </w:tcMar>
          </w:tcPr>
          <w:p>
            <w:pPr>
              <w:jc w:val="left"/>
            </w:pPr>
            <w:r>
              <w:rPr>
                <w:rFonts w:ascii="Calibri" w:cs="Calibri" w:eastAsia="Calibri" w:hAnsi="Calibri"/>
                <w:b/>
                <w:bCs/>
                <w:color w:val="222222"/>
                <w:sz w:val="20"/>
                <w:szCs w:val="20"/>
              </w:rPr>
              <w:t xml:space="preserve">Planned</w:t>
            </w:r>
          </w:p>
        </w:tc>
        <w:tc>
          <w:tcPr>
            <w:tcW w:type="pct" w:w="3750"/>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On the product roadmap; scope agreed, delivery scheduled.</w:t>
            </w:r>
          </w:p>
        </w:tc>
      </w:tr>
    </w:tbl>
    <w:p>
      <w:pPr>
        <w:pStyle w:val="Heading2"/>
        <w:spacing w:after="120" w:before="280"/>
      </w:pPr>
      <w:bookmarkStart w:name="_Toc4" w:id="4"/>
      <w:r>
        <w:rPr>
          <w:rFonts w:ascii="Calibri" w:cs="Calibri" w:eastAsia="Calibri" w:hAnsi="Calibri"/>
          <w:b/>
          <w:bCs/>
          <w:color w:val="1F2A44"/>
          <w:sz w:val="28"/>
          <w:szCs w:val="28"/>
        </w:rPr>
        <w:t xml:space="preserve">Modules At A Glance</w:t>
      </w:r>
      <w:bookmarkEnd w:id="4"/>
    </w:p>
    <w:tbl>
      <w:tblPr>
        <w:tblW w:type="pct" w:w="5000"/>
        <w:tblBorders>
          <w:top w:val="single" w:color="D5DAE3" w:sz="4"/>
          <w:left w:val="single" w:color="D5DAE3" w:sz="4"/>
          <w:bottom w:val="single" w:color="D5DAE3" w:sz="4"/>
          <w:right w:val="single" w:color="D5DAE3" w:sz="4"/>
          <w:insideH w:val="single" w:color="D5DAE3" w:sz="4"/>
          <w:insideV w:val="single" w:color="D5DAE3" w:sz="4"/>
        </w:tblBorders>
      </w:tblPr>
      <w:tblGrid>
        <w:gridCol w:w="3042"/>
        <w:gridCol w:w="6464"/>
      </w:tblGrid>
      <w:tr>
        <w:trPr>
          <w:tblHeader/>
        </w:trPr>
        <w:tc>
          <w:tcPr>
            <w:tcW w:type="pct" w:w="16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Module</w:t>
            </w:r>
          </w:p>
        </w:tc>
        <w:tc>
          <w:tcPr>
            <w:tcW w:type="pct" w:w="34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Covers</w:t>
            </w:r>
          </w:p>
        </w:tc>
      </w:tr>
      <w:tr>
        <w:tc>
          <w:tcPr>
            <w:tcW w:type="pct" w:w="1600"/>
            <w:tcMar>
              <w:top w:type="dxa" w:w="80"/>
              <w:left w:type="dxa" w:w="120"/>
              <w:bottom w:type="dxa" w:w="80"/>
              <w:right w:type="dxa" w:w="120"/>
            </w:tcMar>
          </w:tcPr>
          <w:p>
            <w:pPr>
              <w:jc w:val="left"/>
            </w:pPr>
            <w:r>
              <w:rPr>
                <w:rFonts w:ascii="Calibri" w:cs="Calibri" w:eastAsia="Calibri" w:hAnsi="Calibri"/>
                <w:b/>
                <w:bCs/>
                <w:color w:val="222222"/>
                <w:sz w:val="20"/>
                <w:szCs w:val="20"/>
              </w:rPr>
              <w:t xml:space="preserve">General Ledger</w:t>
            </w:r>
          </w:p>
        </w:tc>
        <w:tc>
          <w:tcPr>
            <w:tcW w:type="pct" w:w="3400"/>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Chart of accounts, vouchers, approvals, fiscal years and period closing</w:t>
            </w:r>
          </w:p>
        </w:tc>
      </w:tr>
      <w:tr>
        <w:tc>
          <w:tcPr>
            <w:tcW w:type="pct" w:w="1600"/>
            <w:shd w:fill="F6F8FB" w:color="auto" w:val="clear"/>
            <w:tcMar>
              <w:top w:type="dxa" w:w="80"/>
              <w:left w:type="dxa" w:w="120"/>
              <w:bottom w:type="dxa" w:w="80"/>
              <w:right w:type="dxa" w:w="120"/>
            </w:tcMar>
          </w:tcPr>
          <w:p>
            <w:pPr>
              <w:jc w:val="left"/>
            </w:pPr>
            <w:r>
              <w:rPr>
                <w:rFonts w:ascii="Calibri" w:cs="Calibri" w:eastAsia="Calibri" w:hAnsi="Calibri"/>
                <w:b/>
                <w:bCs/>
                <w:color w:val="222222"/>
                <w:sz w:val="20"/>
                <w:szCs w:val="20"/>
              </w:rPr>
              <w:t xml:space="preserve">Inventory &amp; Warehousing</w:t>
            </w:r>
          </w:p>
        </w:tc>
        <w:tc>
          <w:tcPr>
            <w:tcW w:type="pct" w:w="3400"/>
            <w:shd w:fill="F6F8FB"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Products, categories, units, warehouses, locations, transfers, adjustments</w:t>
            </w:r>
          </w:p>
        </w:tc>
      </w:tr>
      <w:tr>
        <w:tc>
          <w:tcPr>
            <w:tcW w:type="pct" w:w="1600"/>
            <w:tcMar>
              <w:top w:type="dxa" w:w="80"/>
              <w:left w:type="dxa" w:w="120"/>
              <w:bottom w:type="dxa" w:w="80"/>
              <w:right w:type="dxa" w:w="120"/>
            </w:tcMar>
          </w:tcPr>
          <w:p>
            <w:pPr>
              <w:jc w:val="left"/>
            </w:pPr>
            <w:r>
              <w:rPr>
                <w:rFonts w:ascii="Calibri" w:cs="Calibri" w:eastAsia="Calibri" w:hAnsi="Calibri"/>
                <w:b/>
                <w:bCs/>
                <w:color w:val="222222"/>
                <w:sz w:val="20"/>
                <w:szCs w:val="20"/>
              </w:rPr>
              <w:t xml:space="preserve">Purchasing (Accounts Payable)</w:t>
            </w:r>
          </w:p>
        </w:tc>
        <w:tc>
          <w:tcPr>
            <w:tcW w:type="pct" w:w="3400"/>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Suppliers, purchase invoices, purchase returns, purchase analytics</w:t>
            </w:r>
          </w:p>
        </w:tc>
      </w:tr>
      <w:tr>
        <w:tc>
          <w:tcPr>
            <w:tcW w:type="pct" w:w="1600"/>
            <w:shd w:fill="F6F8FB" w:color="auto" w:val="clear"/>
            <w:tcMar>
              <w:top w:type="dxa" w:w="80"/>
              <w:left w:type="dxa" w:w="120"/>
              <w:bottom w:type="dxa" w:w="80"/>
              <w:right w:type="dxa" w:w="120"/>
            </w:tcMar>
          </w:tcPr>
          <w:p>
            <w:pPr>
              <w:jc w:val="left"/>
            </w:pPr>
            <w:r>
              <w:rPr>
                <w:rFonts w:ascii="Calibri" w:cs="Calibri" w:eastAsia="Calibri" w:hAnsi="Calibri"/>
                <w:b/>
                <w:bCs/>
                <w:color w:val="222222"/>
                <w:sz w:val="20"/>
                <w:szCs w:val="20"/>
              </w:rPr>
              <w:t xml:space="preserve">Sales (Accounts Receivable)</w:t>
            </w:r>
          </w:p>
        </w:tc>
        <w:tc>
          <w:tcPr>
            <w:tcW w:type="pct" w:w="3400"/>
            <w:shd w:fill="F6F8FB"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Customers, sale invoices, sale returns, cost of goods sold</w:t>
            </w:r>
          </w:p>
        </w:tc>
      </w:tr>
      <w:tr>
        <w:tc>
          <w:tcPr>
            <w:tcW w:type="pct" w:w="1600"/>
            <w:tcMar>
              <w:top w:type="dxa" w:w="80"/>
              <w:left w:type="dxa" w:w="120"/>
              <w:bottom w:type="dxa" w:w="80"/>
              <w:right w:type="dxa" w:w="120"/>
            </w:tcMar>
          </w:tcPr>
          <w:p>
            <w:pPr>
              <w:jc w:val="left"/>
            </w:pPr>
            <w:r>
              <w:rPr>
                <w:rFonts w:ascii="Calibri" w:cs="Calibri" w:eastAsia="Calibri" w:hAnsi="Calibri"/>
                <w:b/>
                <w:bCs/>
                <w:color w:val="222222"/>
                <w:sz w:val="20"/>
                <w:szCs w:val="20"/>
              </w:rPr>
              <w:t xml:space="preserve">Banking</w:t>
            </w:r>
          </w:p>
        </w:tc>
        <w:tc>
          <w:tcPr>
            <w:tcW w:type="pct" w:w="3400"/>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Bank accounts, cheque books, cheque issue and void</w:t>
            </w:r>
          </w:p>
        </w:tc>
      </w:tr>
      <w:tr>
        <w:tc>
          <w:tcPr>
            <w:tcW w:type="pct" w:w="1600"/>
            <w:shd w:fill="F6F8FB" w:color="auto" w:val="clear"/>
            <w:tcMar>
              <w:top w:type="dxa" w:w="80"/>
              <w:left w:type="dxa" w:w="120"/>
              <w:bottom w:type="dxa" w:w="80"/>
              <w:right w:type="dxa" w:w="120"/>
            </w:tcMar>
          </w:tcPr>
          <w:p>
            <w:pPr>
              <w:jc w:val="left"/>
            </w:pPr>
            <w:r>
              <w:rPr>
                <w:rFonts w:ascii="Calibri" w:cs="Calibri" w:eastAsia="Calibri" w:hAnsi="Calibri"/>
                <w:b/>
                <w:bCs/>
                <w:color w:val="222222"/>
                <w:sz w:val="20"/>
                <w:szCs w:val="20"/>
              </w:rPr>
              <w:t xml:space="preserve">Reporting &amp; Dashboard</w:t>
            </w:r>
          </w:p>
        </w:tc>
        <w:tc>
          <w:tcPr>
            <w:tcW w:type="pct" w:w="3400"/>
            <w:shd w:fill="F6F8FB"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Financial statements, ledgers, summaries, dashboard analytics</w:t>
            </w:r>
          </w:p>
        </w:tc>
      </w:tr>
      <w:tr>
        <w:tc>
          <w:tcPr>
            <w:tcW w:type="pct" w:w="1600"/>
            <w:tcMar>
              <w:top w:type="dxa" w:w="80"/>
              <w:left w:type="dxa" w:w="120"/>
              <w:bottom w:type="dxa" w:w="80"/>
              <w:right w:type="dxa" w:w="120"/>
            </w:tcMar>
          </w:tcPr>
          <w:p>
            <w:pPr>
              <w:jc w:val="left"/>
            </w:pPr>
            <w:r>
              <w:rPr>
                <w:rFonts w:ascii="Calibri" w:cs="Calibri" w:eastAsia="Calibri" w:hAnsi="Calibri"/>
                <w:b/>
                <w:bCs/>
                <w:color w:val="222222"/>
                <w:sz w:val="20"/>
                <w:szCs w:val="20"/>
              </w:rPr>
              <w:t xml:space="preserve">Administration</w:t>
            </w:r>
          </w:p>
        </w:tc>
        <w:tc>
          <w:tcPr>
            <w:tcW w:type="pct" w:w="3400"/>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Companies, branches, geography, settings, posting accounts, data import</w:t>
            </w:r>
          </w:p>
        </w:tc>
      </w:tr>
      <w:tr>
        <w:tc>
          <w:tcPr>
            <w:tcW w:type="pct" w:w="1600"/>
            <w:shd w:fill="F6F8FB" w:color="auto" w:val="clear"/>
            <w:tcMar>
              <w:top w:type="dxa" w:w="80"/>
              <w:left w:type="dxa" w:w="120"/>
              <w:bottom w:type="dxa" w:w="80"/>
              <w:right w:type="dxa" w:w="120"/>
            </w:tcMar>
          </w:tcPr>
          <w:p>
            <w:pPr>
              <w:jc w:val="left"/>
            </w:pPr>
            <w:r>
              <w:rPr>
                <w:rFonts w:ascii="Calibri" w:cs="Calibri" w:eastAsia="Calibri" w:hAnsi="Calibri"/>
                <w:b/>
                <w:bCs/>
                <w:color w:val="222222"/>
                <w:sz w:val="20"/>
                <w:szCs w:val="20"/>
              </w:rPr>
              <w:t xml:space="preserve">AI Insights &amp; Chat Reports</w:t>
            </w:r>
          </w:p>
        </w:tc>
        <w:tc>
          <w:tcPr>
            <w:tcW w:type="pct" w:w="3400"/>
            <w:shd w:fill="F6F8FB"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Conversational reporting, forecasting, anomaly detection, smart data entry</w:t>
            </w:r>
          </w:p>
        </w:tc>
      </w:tr>
    </w:tbl>
    <w:p>
      <w:pPr>
        <w:pStyle w:val="Heading1"/>
        <w:pageBreakBefore/>
        <w:spacing w:after="200"/>
      </w:pPr>
      <w:bookmarkStart w:name="_Toc5" w:id="5"/>
      <w:r>
        <w:rPr>
          <w:rFonts w:ascii="Calibri" w:cs="Calibri" w:eastAsia="Calibri" w:hAnsi="Calibri"/>
          <w:b/>
          <w:bCs/>
          <w:color w:val="1F2A44"/>
          <w:sz w:val="36"/>
          <w:szCs w:val="36"/>
        </w:rPr>
        <w:t xml:space="preserve">2. Feature List By Module</w:t>
      </w:r>
      <w:bookmarkEnd w:id="5"/>
    </w:p>
    <w:p>
      <w:pPr>
        <w:pStyle w:val="Heading2"/>
        <w:spacing w:after="120" w:before="280"/>
      </w:pPr>
      <w:bookmarkStart w:name="_Toc6" w:id="6"/>
      <w:r>
        <w:rPr>
          <w:rFonts w:ascii="Calibri" w:cs="Calibri" w:eastAsia="Calibri" w:hAnsi="Calibri"/>
          <w:b/>
          <w:bCs/>
          <w:color w:val="1F2A44"/>
          <w:sz w:val="28"/>
          <w:szCs w:val="28"/>
        </w:rPr>
        <w:t xml:space="preserve">2.1 General Ledger &amp; Accounting</w:t>
      </w:r>
      <w:bookmarkEnd w:id="6"/>
    </w:p>
    <w:p>
      <w:pPr>
        <w:spacing w:after="120" w:line="300"/>
      </w:pPr>
      <w:r>
        <w:rPr>
          <w:rFonts w:ascii="Calibri" w:cs="Calibri" w:eastAsia="Calibri" w:hAnsi="Calibri"/>
          <w:color w:val="222222"/>
          <w:sz w:val="22"/>
          <w:szCs w:val="22"/>
        </w:rPr>
        <w:t xml:space="preserve">A structured chart of accounts and complete voucher processing with approval control and fiscal period management.</w:t>
      </w:r>
    </w:p>
    <w:p>
      <w:pPr>
        <w:spacing w:after="120"/>
      </w:pPr>
    </w:p>
    <w:tbl>
      <w:tblPr>
        <w:tblW w:type="pct" w:w="5000"/>
        <w:tblBorders>
          <w:top w:val="single" w:color="D5DAE3" w:sz="4"/>
          <w:left w:val="single" w:color="D5DAE3" w:sz="4"/>
          <w:bottom w:val="single" w:color="D5DAE3" w:sz="4"/>
          <w:right w:val="single" w:color="D5DAE3" w:sz="4"/>
          <w:insideH w:val="single" w:color="D5DAE3" w:sz="4"/>
          <w:insideV w:val="single" w:color="D5DAE3" w:sz="4"/>
        </w:tblBorders>
      </w:tblPr>
      <w:tblGrid>
        <w:gridCol w:w="2662"/>
        <w:gridCol w:w="5323"/>
        <w:gridCol w:w="1521"/>
      </w:tblGrid>
      <w:tr>
        <w:trPr>
          <w:tblHeader/>
        </w:trPr>
        <w:tc>
          <w:tcPr>
            <w:tcW w:type="pct" w:w="14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pct" w:w="28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What It Does</w:t>
            </w:r>
          </w:p>
        </w:tc>
        <w:tc>
          <w:tcPr>
            <w:tcW w:type="pct" w:w="800"/>
            <w:shd w:fill="1F2A44" w:color="auto"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Status</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Chart Of Accounts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4-level account structure with 10-digit codes (Main · Group · Sub-Group · Posting Account). Tree view and group view.</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Account Wizard</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Guided account creation with next-code suggestion and code validation.</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Account Templates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Import a ready-made chart of accounts template to get started quickly.</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Bulk Account Creation</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Create many accounts at once; activate or deactivate in bulk.</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Clone Account</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Copy an existing account setup to create a similar one.</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Account History</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View the change history of each account.</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Cash Payment &amp; Cash Receipt Vouchers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Record cash paid out and cash received with multiple line items.</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Bank Payment &amp; Bank Receipt Vouchers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Record bank transactions linked to bank accounts and cheques.</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Journal Vouchers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General journal entries with balanced debit and credit validation.</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Voucher Approval Workflow</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Draft → Request Approval → Approve or Reject → Post, with an approval queue for supervisors.</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Posted Voucher Register</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Search and review all posted vouchers.</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Voucher Void</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Cancel a posted voucher with a recorded reason.</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Fiscal Years &amp; Periods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Create fiscal years and monthly periods; posting is blocked outside open periods.</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Year-End Closing</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Pre-close checks, list of closing issues, period and year close, lock and unlock.</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Branch-Wise Accounting</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Tag every voucher line with a branch for branch profit &amp; loss and balance sheet.</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Automatic Reversal Entries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One-click reversal of any posted document with linked opposite entries.</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bl>
    <w:p>
      <w:pPr>
        <w:pStyle w:val="Heading2"/>
        <w:spacing w:after="120" w:before="280"/>
      </w:pPr>
      <w:bookmarkStart w:name="_Toc7" w:id="7"/>
      <w:r>
        <w:rPr>
          <w:rFonts w:ascii="Calibri" w:cs="Calibri" w:eastAsia="Calibri" w:hAnsi="Calibri"/>
          <w:b/>
          <w:bCs/>
          <w:color w:val="1F2A44"/>
          <w:sz w:val="28"/>
          <w:szCs w:val="28"/>
        </w:rPr>
        <w:t xml:space="preserve">2.2 Inventory &amp; Warehousing</w:t>
      </w:r>
      <w:bookmarkEnd w:id="7"/>
    </w:p>
    <w:p>
      <w:pPr>
        <w:spacing w:after="120" w:line="300"/>
      </w:pPr>
      <w:r>
        <w:rPr>
          <w:rFonts w:ascii="Calibri" w:cs="Calibri" w:eastAsia="Calibri" w:hAnsi="Calibri"/>
          <w:color w:val="222222"/>
          <w:sz w:val="22"/>
          <w:szCs w:val="22"/>
        </w:rPr>
        <w:t xml:space="preserve">Items are defined once for the whole company. Stock is held per warehouse and location, and every change is recorded as a permanent stock movement valued at weighted average cost.</w:t>
      </w:r>
    </w:p>
    <w:p>
      <w:pPr>
        <w:spacing w:after="120"/>
      </w:pPr>
    </w:p>
    <w:tbl>
      <w:tblPr>
        <w:tblW w:type="pct" w:w="5000"/>
        <w:tblBorders>
          <w:top w:val="single" w:color="D5DAE3" w:sz="4"/>
          <w:left w:val="single" w:color="D5DAE3" w:sz="4"/>
          <w:bottom w:val="single" w:color="D5DAE3" w:sz="4"/>
          <w:right w:val="single" w:color="D5DAE3" w:sz="4"/>
          <w:insideH w:val="single" w:color="D5DAE3" w:sz="4"/>
          <w:insideV w:val="single" w:color="D5DAE3" w:sz="4"/>
        </w:tblBorders>
      </w:tblPr>
      <w:tblGrid>
        <w:gridCol w:w="2662"/>
        <w:gridCol w:w="5323"/>
        <w:gridCol w:w="1521"/>
      </w:tblGrid>
      <w:tr>
        <w:trPr>
          <w:tblHeader/>
        </w:trPr>
        <w:tc>
          <w:tcPr>
            <w:tcW w:type="pct" w:w="14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pct" w:w="28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What It Does</w:t>
            </w:r>
          </w:p>
        </w:tc>
        <w:tc>
          <w:tcPr>
            <w:tcW w:type="pct" w:w="800"/>
            <w:shd w:fill="1F2A44" w:color="auto"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Status</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Product Master</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One item definition for the company: code, SKU, category, brand, unit, prices, reorder levels.</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SKU Suggestion</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Automatically suggests the next product SKU.</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Category Tree</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Unlimited-level product categories.</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Units Of Measure</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Maintain units such as Piece, Box, Kg, Litre.</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Low Stock Filters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Filter products that are out of stock, below minimum, or at reorder level.</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Warehouses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Multiple warehouses per company, linked to branches, with a default warehouse.</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Warehouse Locations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Optional location control (racks, zones) inside each warehouse.</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Warehouse Stock Summary</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Current quantity, average cost, and value per warehouse.</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Stock Transfers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Move stock between warehouses and locations at cost.</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Stock Adjustments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Increase or decrease stock with automatic accounting entry to gain or loss accounts.</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Weighted Average Costing</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Automatic cost calculation on every stock receipt and issue.</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Negative Stock Protection</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The system never allows stock to go below zero.</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Two-Step Transfers With Stock In Transit</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Dispatch → In Transit → Receive, with short or damaged receipt handling. Supports warehouse-to-warehouse, warehouse-to-branch, and branch-to-branch.</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Branch Stock Requests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Branches request stock from the warehouse; transfers are made against the request.</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Physical Stock Count</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Count sheets, variance report, and approved posting of differences.</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Stock Ledger</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Item movement history with running balance by warehouse and date.</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Opening Stock Entry</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Enter opening balances through an auditable document or import.</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Unit Conversions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Buy in cartons, sell in pieces, with automatic conversion.</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Batch, Expiry &amp; Serial Tracking</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Track lots with expiry dates and individual serial numbers.</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Stock Reservation</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Reserve stock for orders so available stock is always accurate.</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Landed Cost</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Add freight and duty to the cost of received goods.</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bl>
    <w:p>
      <w:pPr>
        <w:pStyle w:val="Heading2"/>
        <w:spacing w:after="120" w:before="280"/>
      </w:pPr>
      <w:bookmarkStart w:name="_Toc8" w:id="8"/>
      <w:r>
        <w:rPr>
          <w:rFonts w:ascii="Calibri" w:cs="Calibri" w:eastAsia="Calibri" w:hAnsi="Calibri"/>
          <w:b/>
          <w:bCs/>
          <w:color w:val="1F2A44"/>
          <w:sz w:val="28"/>
          <w:szCs w:val="28"/>
        </w:rPr>
        <w:t xml:space="preserve">2.3 Purchasing (Accounts Payable)</w:t>
      </w:r>
      <w:bookmarkEnd w:id="8"/>
    </w:p>
    <w:p>
      <w:pPr>
        <w:spacing w:after="120" w:line="300"/>
      </w:pPr>
      <w:r>
        <w:rPr>
          <w:rFonts w:ascii="Calibri" w:cs="Calibri" w:eastAsia="Calibri" w:hAnsi="Calibri"/>
          <w:color w:val="222222"/>
          <w:sz w:val="22"/>
          <w:szCs w:val="22"/>
        </w:rPr>
        <w:t xml:space="preserve">Supplier management and purchase processing that updates stock and the supplier ledger in a single posting.</w:t>
      </w:r>
    </w:p>
    <w:p>
      <w:pPr>
        <w:spacing w:after="120"/>
      </w:pPr>
    </w:p>
    <w:tbl>
      <w:tblPr>
        <w:tblW w:type="pct" w:w="5000"/>
        <w:tblBorders>
          <w:top w:val="single" w:color="D5DAE3" w:sz="4"/>
          <w:left w:val="single" w:color="D5DAE3" w:sz="4"/>
          <w:bottom w:val="single" w:color="D5DAE3" w:sz="4"/>
          <w:right w:val="single" w:color="D5DAE3" w:sz="4"/>
          <w:insideH w:val="single" w:color="D5DAE3" w:sz="4"/>
          <w:insideV w:val="single" w:color="D5DAE3" w:sz="4"/>
        </w:tblBorders>
      </w:tblPr>
      <w:tblGrid>
        <w:gridCol w:w="2662"/>
        <w:gridCol w:w="5323"/>
        <w:gridCol w:w="1521"/>
      </w:tblGrid>
      <w:tr>
        <w:trPr>
          <w:tblHeader/>
        </w:trPr>
        <w:tc>
          <w:tcPr>
            <w:tcW w:type="pct" w:w="14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pct" w:w="28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What It Does</w:t>
            </w:r>
          </w:p>
        </w:tc>
        <w:tc>
          <w:tcPr>
            <w:tcW w:type="pct" w:w="800"/>
            <w:shd w:fill="1F2A44" w:color="auto"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Status</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Supplier Master</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Supplier records with automatically linked ledger accounts.</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Purchase Invoices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Multi-line purchase vouchers with discount, tax, freight, and other charges.</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Draft, Validate &amp; Post</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Save as draft, validate before posting, or create and post in one step.</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Automatic Posting</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Posting updates stock, average cost, and the general ledger together.</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Posted Purchases Register</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Search and view posted purchase invoices.</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Purchase Print</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Print-ready purchase invoice with preview.</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Purchase Analytics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Purchase trends and supplier analysis.</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Purchase Returns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Return goods to suppliers with automatic stock and ledger reversal.</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Purchase Orders &amp; Goods Receipt</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Order → Receipt → Invoice with three-way matching.</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bl>
    <w:p>
      <w:pPr>
        <w:pStyle w:val="Heading2"/>
        <w:spacing w:after="120" w:before="280"/>
      </w:pPr>
      <w:bookmarkStart w:name="_Toc9" w:id="9"/>
      <w:r>
        <w:rPr>
          <w:rFonts w:ascii="Calibri" w:cs="Calibri" w:eastAsia="Calibri" w:hAnsi="Calibri"/>
          <w:b/>
          <w:bCs/>
          <w:color w:val="1F2A44"/>
          <w:sz w:val="28"/>
          <w:szCs w:val="28"/>
        </w:rPr>
        <w:t xml:space="preserve">2.4 Sales (Accounts Receivable)</w:t>
      </w:r>
      <w:bookmarkEnd w:id="9"/>
    </w:p>
    <w:p>
      <w:pPr>
        <w:spacing w:after="120" w:line="300"/>
      </w:pPr>
      <w:r>
        <w:rPr>
          <w:rFonts w:ascii="Calibri" w:cs="Calibri" w:eastAsia="Calibri" w:hAnsi="Calibri"/>
          <w:color w:val="222222"/>
          <w:sz w:val="22"/>
          <w:szCs w:val="22"/>
        </w:rPr>
        <w:t xml:space="preserve">Customer management and sales processing with automatic cost of goods sold.</w:t>
      </w:r>
    </w:p>
    <w:p>
      <w:pPr>
        <w:spacing w:after="120"/>
      </w:pPr>
    </w:p>
    <w:tbl>
      <w:tblPr>
        <w:tblW w:type="pct" w:w="5000"/>
        <w:tblBorders>
          <w:top w:val="single" w:color="D5DAE3" w:sz="4"/>
          <w:left w:val="single" w:color="D5DAE3" w:sz="4"/>
          <w:bottom w:val="single" w:color="D5DAE3" w:sz="4"/>
          <w:right w:val="single" w:color="D5DAE3" w:sz="4"/>
          <w:insideH w:val="single" w:color="D5DAE3" w:sz="4"/>
          <w:insideV w:val="single" w:color="D5DAE3" w:sz="4"/>
        </w:tblBorders>
      </w:tblPr>
      <w:tblGrid>
        <w:gridCol w:w="2662"/>
        <w:gridCol w:w="5323"/>
        <w:gridCol w:w="1521"/>
      </w:tblGrid>
      <w:tr>
        <w:trPr>
          <w:tblHeader/>
        </w:trPr>
        <w:tc>
          <w:tcPr>
            <w:tcW w:type="pct" w:w="14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pct" w:w="28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What It Does</w:t>
            </w:r>
          </w:p>
        </w:tc>
        <w:tc>
          <w:tcPr>
            <w:tcW w:type="pct" w:w="800"/>
            <w:shd w:fill="1F2A44" w:color="auto"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Status</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Customer Master</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Customer records with automatically linked ledger accounts and customer statistics.</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Sale Invoices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Multi-line sale vouchers with stock availability checks.</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Draft, Validate &amp; Post</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Save as draft, validate, or create and post in one step.</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Cost Of Goods Sold</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Posting records revenue and cost of goods sold automatically.</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Sale Print</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Print-ready sale invoice.</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Sale Returns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Customer returns with automatic stock and ledger reversal.</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Price Lists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Price lists by branch or customer group.</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Sales Orders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Orders that reserve stock before invoicing.</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bl>
    <w:p>
      <w:pPr>
        <w:pStyle w:val="Heading2"/>
        <w:spacing w:after="120" w:before="280"/>
      </w:pPr>
      <w:bookmarkStart w:name="_Toc10" w:id="10"/>
      <w:r>
        <w:rPr>
          <w:rFonts w:ascii="Calibri" w:cs="Calibri" w:eastAsia="Calibri" w:hAnsi="Calibri"/>
          <w:b/>
          <w:bCs/>
          <w:color w:val="1F2A44"/>
          <w:sz w:val="28"/>
          <w:szCs w:val="28"/>
        </w:rPr>
        <w:t xml:space="preserve">2.5 Banking</w:t>
      </w:r>
      <w:bookmarkEnd w:id="10"/>
    </w:p>
    <w:p>
      <w:pPr>
        <w:spacing w:after="120" w:line="300"/>
      </w:pPr>
      <w:r>
        <w:rPr>
          <w:rFonts w:ascii="Calibri" w:cs="Calibri" w:eastAsia="Calibri" w:hAnsi="Calibri"/>
          <w:color w:val="222222"/>
          <w:sz w:val="22"/>
          <w:szCs w:val="22"/>
        </w:rPr>
        <w:t xml:space="preserve">Bank account setup and full cheque book control.</w:t>
      </w:r>
    </w:p>
    <w:p>
      <w:pPr>
        <w:spacing w:after="120"/>
      </w:pPr>
    </w:p>
    <w:tbl>
      <w:tblPr>
        <w:tblW w:type="pct" w:w="5000"/>
        <w:tblBorders>
          <w:top w:val="single" w:color="D5DAE3" w:sz="4"/>
          <w:left w:val="single" w:color="D5DAE3" w:sz="4"/>
          <w:bottom w:val="single" w:color="D5DAE3" w:sz="4"/>
          <w:right w:val="single" w:color="D5DAE3" w:sz="4"/>
          <w:insideH w:val="single" w:color="D5DAE3" w:sz="4"/>
          <w:insideV w:val="single" w:color="D5DAE3" w:sz="4"/>
        </w:tblBorders>
      </w:tblPr>
      <w:tblGrid>
        <w:gridCol w:w="2662"/>
        <w:gridCol w:w="5323"/>
        <w:gridCol w:w="1521"/>
      </w:tblGrid>
      <w:tr>
        <w:trPr>
          <w:tblHeader/>
        </w:trPr>
        <w:tc>
          <w:tcPr>
            <w:tcW w:type="pct" w:w="14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pct" w:w="28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What It Does</w:t>
            </w:r>
          </w:p>
        </w:tc>
        <w:tc>
          <w:tcPr>
            <w:tcW w:type="pct" w:w="800"/>
            <w:shd w:fill="1F2A44" w:color="auto"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Status</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Bank Accounts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Maintain company bank accounts linked to the chart of accounts.</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Cheque Books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Register cheque books with cheque number ranges.</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Cheque Issue &amp; Void</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Issue available cheques on bank payments; void spoiled cheques with a record.</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Bank Reconciliation</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Match bank statements with system entries.</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bl>
    <w:p>
      <w:pPr>
        <w:pStyle w:val="Heading2"/>
        <w:spacing w:after="120" w:before="280"/>
      </w:pPr>
      <w:bookmarkStart w:name="_Toc11" w:id="11"/>
      <w:r>
        <w:rPr>
          <w:rFonts w:ascii="Calibri" w:cs="Calibri" w:eastAsia="Calibri" w:hAnsi="Calibri"/>
          <w:b/>
          <w:bCs/>
          <w:color w:val="1F2A44"/>
          <w:sz w:val="28"/>
          <w:szCs w:val="28"/>
        </w:rPr>
        <w:t xml:space="preserve">2.6 Reporting &amp; Dashboard</w:t>
      </w:r>
      <w:bookmarkEnd w:id="11"/>
    </w:p>
    <w:p>
      <w:pPr>
        <w:spacing w:after="120" w:line="300"/>
      </w:pPr>
      <w:r>
        <w:rPr>
          <w:rFonts w:ascii="Calibri" w:cs="Calibri" w:eastAsia="Calibri" w:hAnsi="Calibri"/>
          <w:color w:val="222222"/>
          <w:sz w:val="22"/>
          <w:szCs w:val="22"/>
        </w:rPr>
        <w:t xml:space="preserve">Financial statements and operational summaries built from posted records only.</w:t>
      </w:r>
    </w:p>
    <w:p>
      <w:pPr>
        <w:spacing w:after="120"/>
      </w:pPr>
    </w:p>
    <w:tbl>
      <w:tblPr>
        <w:tblW w:type="pct" w:w="5000"/>
        <w:tblBorders>
          <w:top w:val="single" w:color="D5DAE3" w:sz="4"/>
          <w:left w:val="single" w:color="D5DAE3" w:sz="4"/>
          <w:bottom w:val="single" w:color="D5DAE3" w:sz="4"/>
          <w:right w:val="single" w:color="D5DAE3" w:sz="4"/>
          <w:insideH w:val="single" w:color="D5DAE3" w:sz="4"/>
          <w:insideV w:val="single" w:color="D5DAE3" w:sz="4"/>
        </w:tblBorders>
      </w:tblPr>
      <w:tblGrid>
        <w:gridCol w:w="2662"/>
        <w:gridCol w:w="5323"/>
        <w:gridCol w:w="1521"/>
      </w:tblGrid>
      <w:tr>
        <w:trPr>
          <w:tblHeader/>
        </w:trPr>
        <w:tc>
          <w:tcPr>
            <w:tcW w:type="pct" w:w="14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pct" w:w="28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What It Does</w:t>
            </w:r>
          </w:p>
        </w:tc>
        <w:tc>
          <w:tcPr>
            <w:tcW w:type="pct" w:w="800"/>
            <w:shd w:fill="1F2A44" w:color="auto"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Status</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Dashboard</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Key business figures and analytics widgets on one screen.</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Ledger Report</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Account ledger for any date range.</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Trial Balance</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Trial balance at any date.</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Profit And Loss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Income statement for any period.</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Balance Sheet</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Statement of financial position at any date.</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Purchase &amp; Purchase Return Summary</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Summaries of posted purchases and returns.</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Sales &amp; Sale Return Summary</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Summaries of posted sales and returns.</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Stock Summary</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Current stock quantity and value by warehouse.</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Stock Movement Summary</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Opening + Purchases − Returns − Sales + Transfers ± Adjustments = Closing, in quantity and value.</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Stock Valuation As Of Date</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Stock value at any past date by warehouse, branch, or category.</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Stock Ageing &amp; Slow-Moving Items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Identify old and slow-moving stock.</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Reorder Report</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Suggested reorder quantities per warehouse.</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Stock-To-Ledger Reconciliation</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Confirms stock value equals the inventory account balance.</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bl>
    <w:p>
      <w:pPr>
        <w:pStyle w:val="Heading2"/>
        <w:spacing w:after="120" w:before="280"/>
      </w:pPr>
      <w:bookmarkStart w:name="_Toc12" w:id="12"/>
      <w:r>
        <w:rPr>
          <w:rFonts w:ascii="Calibri" w:cs="Calibri" w:eastAsia="Calibri" w:hAnsi="Calibri"/>
          <w:b/>
          <w:bCs/>
          <w:color w:val="1F2A44"/>
          <w:sz w:val="28"/>
          <w:szCs w:val="28"/>
        </w:rPr>
        <w:t xml:space="preserve">2.7 Administration &amp; Settings</w:t>
      </w:r>
      <w:bookmarkEnd w:id="12"/>
    </w:p>
    <w:p>
      <w:pPr>
        <w:spacing w:after="120" w:line="300"/>
      </w:pPr>
      <w:r>
        <w:rPr>
          <w:rFonts w:ascii="Calibri" w:cs="Calibri" w:eastAsia="Calibri" w:hAnsi="Calibri"/>
          <w:color w:val="222222"/>
          <w:sz w:val="22"/>
          <w:szCs w:val="22"/>
        </w:rPr>
        <w:t xml:space="preserve">Company configuration that drives every screen and report.</w:t>
      </w:r>
    </w:p>
    <w:p>
      <w:pPr>
        <w:spacing w:after="120"/>
      </w:pPr>
    </w:p>
    <w:tbl>
      <w:tblPr>
        <w:tblW w:type="pct" w:w="5000"/>
        <w:tblBorders>
          <w:top w:val="single" w:color="D5DAE3" w:sz="4"/>
          <w:left w:val="single" w:color="D5DAE3" w:sz="4"/>
          <w:bottom w:val="single" w:color="D5DAE3" w:sz="4"/>
          <w:right w:val="single" w:color="D5DAE3" w:sz="4"/>
          <w:insideH w:val="single" w:color="D5DAE3" w:sz="4"/>
          <w:insideV w:val="single" w:color="D5DAE3" w:sz="4"/>
        </w:tblBorders>
      </w:tblPr>
      <w:tblGrid>
        <w:gridCol w:w="2662"/>
        <w:gridCol w:w="5323"/>
        <w:gridCol w:w="1521"/>
      </w:tblGrid>
      <w:tr>
        <w:trPr>
          <w:tblHeader/>
        </w:trPr>
        <w:tc>
          <w:tcPr>
            <w:tcW w:type="pct" w:w="14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pct" w:w="28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What It Does</w:t>
            </w:r>
          </w:p>
        </w:tc>
        <w:tc>
          <w:tcPr>
            <w:tcW w:type="pct" w:w="800"/>
            <w:shd w:fill="1F2A44" w:color="auto"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Status</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Multi-Company</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Separate data, accounts, and settings for each company.</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Branches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Branch master with address and geography.</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Geography Masters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States, cities, and areas.</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Company &amp; General Settings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Currency, date format, number format, time zone, and country per company.</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Posting Account Settings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Choose default accounts used for automatic postings.</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Bulk Data Import</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Import master data from templates.</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Light &amp; Dark Themes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Two clear, accessible display themes.</w:t>
            </w:r>
          </w:p>
        </w:tc>
        <w:tc>
          <w:tcPr>
            <w:tcW w:type="pct" w:w="800"/>
            <w:shd w:fill="E8F5EC" w:color="auto" w:val="clear"/>
            <w:tcMar>
              <w:top w:type="dxa" w:w="80"/>
              <w:left w:type="dxa" w:w="120"/>
              <w:bottom w:type="dxa" w:w="80"/>
              <w:right w:type="dxa" w:w="120"/>
            </w:tcMar>
          </w:tcPr>
          <w:p>
            <w:pPr>
              <w:jc w:val="center"/>
            </w:pPr>
            <w:r>
              <w:rPr>
                <w:rFonts w:ascii="Calibri" w:cs="Calibri" w:eastAsia="Calibri" w:hAnsi="Calibri"/>
                <w:b/>
                <w:bCs/>
                <w:color w:val="15803D"/>
                <w:sz w:val="20"/>
                <w:szCs w:val="20"/>
              </w:rPr>
              <w:t xml:space="preserve">Available</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Users, Roles &amp; Permissions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Role-based rights per screen and action, restricted by branch and warehouse.</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Audit Trail</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Who changed what and when, for master data and prices.</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bl>
    <w:p>
      <w:pPr>
        <w:pStyle w:val="Heading1"/>
        <w:pageBreakBefore/>
        <w:spacing w:after="200"/>
      </w:pPr>
      <w:bookmarkStart w:name="_Toc13" w:id="13"/>
      <w:r>
        <w:rPr>
          <w:rFonts w:ascii="Calibri" w:cs="Calibri" w:eastAsia="Calibri" w:hAnsi="Calibri"/>
          <w:b/>
          <w:bCs/>
          <w:color w:val="1F2A44"/>
          <w:sz w:val="36"/>
          <w:szCs w:val="36"/>
        </w:rPr>
        <w:t xml:space="preserve">3. AI Insights &amp; Chat-Based Reporting</w:t>
      </w:r>
      <w:bookmarkEnd w:id="13"/>
    </w:p>
    <w:p>
      <w:pPr>
        <w:spacing w:after="120" w:line="300"/>
      </w:pPr>
      <w:r>
        <w:rPr>
          <w:rFonts w:ascii="Calibri" w:cs="Calibri" w:eastAsia="Calibri" w:hAnsi="Calibri"/>
          <w:color w:val="222222"/>
          <w:sz w:val="22"/>
          <w:szCs w:val="22"/>
        </w:rPr>
        <w:t xml:space="preserve">Modern ERP users expect to ask questions instead of searching through menus. The AI layer lets managers and staff talk to their business data in plain language and get live, accurate answers — tables, charts, and short explanations — generated on demand from posted records.</w:t>
      </w:r>
    </w:p>
    <w:p>
      <w:pPr>
        <w:pStyle w:val="Heading2"/>
        <w:spacing w:after="120" w:before="280"/>
      </w:pPr>
      <w:bookmarkStart w:name="_Toc14" w:id="14"/>
      <w:r>
        <w:rPr>
          <w:rFonts w:ascii="Calibri" w:cs="Calibri" w:eastAsia="Calibri" w:hAnsi="Calibri"/>
          <w:b/>
          <w:bCs/>
          <w:color w:val="1F2A44"/>
          <w:sz w:val="28"/>
          <w:szCs w:val="28"/>
        </w:rPr>
        <w:t xml:space="preserve">3.1 Chat-Based Dynamic Reports</w:t>
      </w:r>
      <w:bookmarkEnd w:id="14"/>
    </w:p>
    <w:p>
      <w:pPr>
        <w:spacing w:after="120" w:line="300"/>
      </w:pPr>
      <w:r>
        <w:rPr>
          <w:rFonts w:ascii="Calibri" w:cs="Calibri" w:eastAsia="Calibri" w:hAnsi="Calibri"/>
          <w:color w:val="222222"/>
          <w:sz w:val="22"/>
          <w:szCs w:val="22"/>
        </w:rPr>
        <w:t xml:space="preserve">Type or speak a question; the assistant builds the report instantly. Every answer is built from live data, so it is always current.</w:t>
      </w:r>
    </w:p>
    <w:tbl>
      <w:tblPr>
        <w:tblW w:type="pct" w:w="5000"/>
        <w:tblBorders>
          <w:top w:val="single" w:color="D5DAE3" w:sz="4"/>
          <w:left w:val="single" w:color="D5DAE3" w:sz="4"/>
          <w:bottom w:val="single" w:color="D5DAE3" w:sz="4"/>
          <w:right w:val="single" w:color="D5DAE3" w:sz="4"/>
          <w:insideH w:val="single" w:color="D5DAE3" w:sz="4"/>
          <w:insideV w:val="single" w:color="D5DAE3" w:sz="4"/>
        </w:tblBorders>
      </w:tblPr>
      <w:tblGrid>
        <w:gridCol w:w="4278"/>
        <w:gridCol w:w="5228"/>
      </w:tblGrid>
      <w:tr>
        <w:trPr>
          <w:tblHeader/>
        </w:trPr>
        <w:tc>
          <w:tcPr>
            <w:tcW w:type="pct" w:w="225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Example Question</w:t>
            </w:r>
          </w:p>
        </w:tc>
        <w:tc>
          <w:tcPr>
            <w:tcW w:type="pct" w:w="275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What The Assistant Returns</w:t>
            </w:r>
          </w:p>
        </w:tc>
      </w:tr>
      <w:tr>
        <w:tc>
          <w:tcPr>
            <w:tcW w:type="pct" w:w="2250"/>
            <w:tcMar>
              <w:top w:type="dxa" w:w="80"/>
              <w:left w:type="dxa" w:w="120"/>
              <w:bottom w:type="dxa" w:w="80"/>
              <w:right w:type="dxa" w:w="120"/>
            </w:tcMar>
          </w:tcPr>
          <w:p>
            <w:pPr>
              <w:jc w:val="left"/>
            </w:pPr>
            <w:r>
              <w:rPr>
                <w:rFonts w:ascii="Calibri" w:cs="Calibri" w:eastAsia="Calibri" w:hAnsi="Calibri"/>
                <w:b/>
                <w:bCs/>
                <w:color w:val="222222"/>
                <w:sz w:val="20"/>
                <w:szCs w:val="20"/>
              </w:rPr>
              <w:t xml:space="preserve">"What were sales by branch last month?"</w:t>
            </w:r>
          </w:p>
        </w:tc>
        <w:tc>
          <w:tcPr>
            <w:tcW w:type="pct" w:w="2750"/>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A branch-wise sales table with a bar chart and month-on-month change.</w:t>
            </w:r>
          </w:p>
        </w:tc>
      </w:tr>
      <w:tr>
        <w:tc>
          <w:tcPr>
            <w:tcW w:type="pct" w:w="2250"/>
            <w:shd w:fill="F6F8FB" w:color="auto" w:val="clear"/>
            <w:tcMar>
              <w:top w:type="dxa" w:w="80"/>
              <w:left w:type="dxa" w:w="120"/>
              <w:bottom w:type="dxa" w:w="80"/>
              <w:right w:type="dxa" w:w="120"/>
            </w:tcMar>
          </w:tcPr>
          <w:p>
            <w:pPr>
              <w:jc w:val="left"/>
            </w:pPr>
            <w:r>
              <w:rPr>
                <w:rFonts w:ascii="Calibri" w:cs="Calibri" w:eastAsia="Calibri" w:hAnsi="Calibri"/>
                <w:b/>
                <w:bCs/>
                <w:color w:val="222222"/>
                <w:sz w:val="20"/>
                <w:szCs w:val="20"/>
              </w:rPr>
              <w:t xml:space="preserve">"Which items are below reorder level in the Lahore store?"</w:t>
            </w:r>
          </w:p>
        </w:tc>
        <w:tc>
          <w:tcPr>
            <w:tcW w:type="pct" w:w="2750"/>
            <w:shd w:fill="F6F8FB"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A list of items with current stock, reorder level, and suggested order quantity.</w:t>
            </w:r>
          </w:p>
        </w:tc>
      </w:tr>
      <w:tr>
        <w:tc>
          <w:tcPr>
            <w:tcW w:type="pct" w:w="2250"/>
            <w:tcMar>
              <w:top w:type="dxa" w:w="80"/>
              <w:left w:type="dxa" w:w="120"/>
              <w:bottom w:type="dxa" w:w="80"/>
              <w:right w:type="dxa" w:w="120"/>
            </w:tcMar>
          </w:tcPr>
          <w:p>
            <w:pPr>
              <w:jc w:val="left"/>
            </w:pPr>
            <w:r>
              <w:rPr>
                <w:rFonts w:ascii="Calibri" w:cs="Calibri" w:eastAsia="Calibri" w:hAnsi="Calibri"/>
                <w:b/>
                <w:bCs/>
                <w:color w:val="222222"/>
                <w:sz w:val="20"/>
                <w:szCs w:val="20"/>
              </w:rPr>
              <w:t xml:space="preserve">"Show me the top 10 customers by outstanding balance."</w:t>
            </w:r>
          </w:p>
        </w:tc>
        <w:tc>
          <w:tcPr>
            <w:tcW w:type="pct" w:w="2750"/>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A ranked table with balances, ageing, and links to customer ledgers.</w:t>
            </w:r>
          </w:p>
        </w:tc>
      </w:tr>
      <w:tr>
        <w:tc>
          <w:tcPr>
            <w:tcW w:type="pct" w:w="2250"/>
            <w:shd w:fill="F6F8FB" w:color="auto" w:val="clear"/>
            <w:tcMar>
              <w:top w:type="dxa" w:w="80"/>
              <w:left w:type="dxa" w:w="120"/>
              <w:bottom w:type="dxa" w:w="80"/>
              <w:right w:type="dxa" w:w="120"/>
            </w:tcMar>
          </w:tcPr>
          <w:p>
            <w:pPr>
              <w:jc w:val="left"/>
            </w:pPr>
            <w:r>
              <w:rPr>
                <w:rFonts w:ascii="Calibri" w:cs="Calibri" w:eastAsia="Calibri" w:hAnsi="Calibri"/>
                <w:b/>
                <w:bCs/>
                <w:color w:val="222222"/>
                <w:sz w:val="20"/>
                <w:szCs w:val="20"/>
              </w:rPr>
              <w:t xml:space="preserve">"Why is gross profit lower this quarter?"</w:t>
            </w:r>
          </w:p>
        </w:tc>
        <w:tc>
          <w:tcPr>
            <w:tcW w:type="pct" w:w="2750"/>
            <w:shd w:fill="F6F8FB"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A short explanation with the main drivers: price, cost, product mix, returns.</w:t>
            </w:r>
          </w:p>
        </w:tc>
      </w:tr>
      <w:tr>
        <w:tc>
          <w:tcPr>
            <w:tcW w:type="pct" w:w="2250"/>
            <w:tcMar>
              <w:top w:type="dxa" w:w="80"/>
              <w:left w:type="dxa" w:w="120"/>
              <w:bottom w:type="dxa" w:w="80"/>
              <w:right w:type="dxa" w:w="120"/>
            </w:tcMar>
          </w:tcPr>
          <w:p>
            <w:pPr>
              <w:jc w:val="left"/>
            </w:pPr>
            <w:r>
              <w:rPr>
                <w:rFonts w:ascii="Calibri" w:cs="Calibri" w:eastAsia="Calibri" w:hAnsi="Calibri"/>
                <w:b/>
                <w:bCs/>
                <w:color w:val="222222"/>
                <w:sz w:val="20"/>
                <w:szCs w:val="20"/>
              </w:rPr>
              <w:t xml:space="preserve">"Compare purchases from our top 5 suppliers this year vs last year."</w:t>
            </w:r>
          </w:p>
        </w:tc>
        <w:tc>
          <w:tcPr>
            <w:tcW w:type="pct" w:w="2750"/>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A comparison table and trend chart.</w:t>
            </w:r>
          </w:p>
        </w:tc>
      </w:tr>
      <w:tr>
        <w:tc>
          <w:tcPr>
            <w:tcW w:type="pct" w:w="2250"/>
            <w:shd w:fill="F6F8FB" w:color="auto" w:val="clear"/>
            <w:tcMar>
              <w:top w:type="dxa" w:w="80"/>
              <w:left w:type="dxa" w:w="120"/>
              <w:bottom w:type="dxa" w:w="80"/>
              <w:right w:type="dxa" w:w="120"/>
            </w:tcMar>
          </w:tcPr>
          <w:p>
            <w:pPr>
              <w:jc w:val="left"/>
            </w:pPr>
            <w:r>
              <w:rPr>
                <w:rFonts w:ascii="Calibri" w:cs="Calibri" w:eastAsia="Calibri" w:hAnsi="Calibri"/>
                <w:b/>
                <w:bCs/>
                <w:color w:val="222222"/>
                <w:sz w:val="20"/>
                <w:szCs w:val="20"/>
              </w:rPr>
              <w:t xml:space="preserve">"How much stock is in transit right now?"</w:t>
            </w:r>
          </w:p>
        </w:tc>
        <w:tc>
          <w:tcPr>
            <w:tcW w:type="pct" w:w="2750"/>
            <w:shd w:fill="F6F8FB"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Open transfers with quantities, value, and days in transit.</w:t>
            </w:r>
          </w:p>
        </w:tc>
      </w:tr>
    </w:tbl>
    <w:p>
      <w:pPr>
        <w:spacing w:after="120"/>
      </w:pPr>
    </w:p>
    <w:tbl>
      <w:tblPr>
        <w:tblW w:type="pct" w:w="5000"/>
        <w:tblBorders>
          <w:top w:val="single" w:color="D5DAE3" w:sz="4"/>
          <w:left w:val="single" w:color="D5DAE3" w:sz="4"/>
          <w:bottom w:val="single" w:color="D5DAE3" w:sz="4"/>
          <w:right w:val="single" w:color="D5DAE3" w:sz="4"/>
          <w:insideH w:val="single" w:color="D5DAE3" w:sz="4"/>
          <w:insideV w:val="single" w:color="D5DAE3" w:sz="4"/>
        </w:tblBorders>
      </w:tblPr>
      <w:tblGrid>
        <w:gridCol w:w="2662"/>
        <w:gridCol w:w="5323"/>
        <w:gridCol w:w="1521"/>
      </w:tblGrid>
      <w:tr>
        <w:trPr>
          <w:tblHeader/>
        </w:trPr>
        <w:tc>
          <w:tcPr>
            <w:tcW w:type="pct" w:w="14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pct" w:w="28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What It Does</w:t>
            </w:r>
          </w:p>
        </w:tc>
        <w:tc>
          <w:tcPr>
            <w:tcW w:type="pct" w:w="800"/>
            <w:shd w:fill="1F2A44" w:color="auto"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Status</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Natural Language Questions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Ask in everyday business language; no report menus or filters needed.</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Instant Charts &amp; Tables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The assistant chooses the right chart or table for the answer.</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Follow-Up Questions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Refine the answer in conversation: "only for March", "split by category".</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Drill-Down To Source</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Every figure links to the underlying report, ledger, or document.</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Save &amp; Share Reports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Save a chat answer as a reusable report or add it to the dashboard.</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Export</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Export answers to Excel or PDF.</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Scheduled Summaries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Daily or month-end summaries delivered automatically to managers.</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Multi-Language Support</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Ask and receive answers in the user's preferred language.</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bl>
    <w:p>
      <w:pPr>
        <w:pStyle w:val="Heading2"/>
        <w:spacing w:after="120" w:before="280"/>
      </w:pPr>
      <w:bookmarkStart w:name="_Toc15" w:id="15"/>
      <w:r>
        <w:rPr>
          <w:rFonts w:ascii="Calibri" w:cs="Calibri" w:eastAsia="Calibri" w:hAnsi="Calibri"/>
          <w:b/>
          <w:bCs/>
          <w:color w:val="1F2A44"/>
          <w:sz w:val="28"/>
          <w:szCs w:val="28"/>
        </w:rPr>
        <w:t xml:space="preserve">3.2 AI Business Insights</w:t>
      </w:r>
      <w:bookmarkEnd w:id="15"/>
    </w:p>
    <w:tbl>
      <w:tblPr>
        <w:tblW w:type="pct" w:w="5000"/>
        <w:tblBorders>
          <w:top w:val="single" w:color="D5DAE3" w:sz="4"/>
          <w:left w:val="single" w:color="D5DAE3" w:sz="4"/>
          <w:bottom w:val="single" w:color="D5DAE3" w:sz="4"/>
          <w:right w:val="single" w:color="D5DAE3" w:sz="4"/>
          <w:insideH w:val="single" w:color="D5DAE3" w:sz="4"/>
          <w:insideV w:val="single" w:color="D5DAE3" w:sz="4"/>
        </w:tblBorders>
      </w:tblPr>
      <w:tblGrid>
        <w:gridCol w:w="2662"/>
        <w:gridCol w:w="5323"/>
        <w:gridCol w:w="1521"/>
      </w:tblGrid>
      <w:tr>
        <w:trPr>
          <w:tblHeader/>
        </w:trPr>
        <w:tc>
          <w:tcPr>
            <w:tcW w:type="pct" w:w="14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pct" w:w="28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What It Does</w:t>
            </w:r>
          </w:p>
        </w:tc>
        <w:tc>
          <w:tcPr>
            <w:tcW w:type="pct" w:w="800"/>
            <w:shd w:fill="1F2A44" w:color="auto"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Status</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Anomaly Detection</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Flags unusual vouchers, duplicate payments, large adjustments, and out-of-pattern transactions for review.</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Demand Forecasting</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Predicts item demand per branch from sales history and seasonality.</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Smart Reorder Suggestions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Recommends what to order, how much, and from which supplier.</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Slow-Moving Stock Alerts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Identifies items at risk of becoming dead stock.</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Cash Flow Forecast</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Projects cash position from receivables, payables, and trends.</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Customer Payment Risk</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Highlights customers likely to pay late, based on payment history.</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Month-End Narrative</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A plain-language summary of the month's results for management.</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bl>
    <w:p>
      <w:pPr>
        <w:pStyle w:val="Heading2"/>
        <w:spacing w:after="120" w:before="280"/>
      </w:pPr>
      <w:bookmarkStart w:name="_Toc16" w:id="16"/>
      <w:r>
        <w:rPr>
          <w:rFonts w:ascii="Calibri" w:cs="Calibri" w:eastAsia="Calibri" w:hAnsi="Calibri"/>
          <w:b/>
          <w:bCs/>
          <w:color w:val="1F2A44"/>
          <w:sz w:val="28"/>
          <w:szCs w:val="28"/>
        </w:rPr>
        <w:t xml:space="preserve">3.3 AI-Assisted Data Entry</w:t>
      </w:r>
      <w:bookmarkEnd w:id="16"/>
    </w:p>
    <w:tbl>
      <w:tblPr>
        <w:tblW w:type="pct" w:w="5000"/>
        <w:tblBorders>
          <w:top w:val="single" w:color="D5DAE3" w:sz="4"/>
          <w:left w:val="single" w:color="D5DAE3" w:sz="4"/>
          <w:bottom w:val="single" w:color="D5DAE3" w:sz="4"/>
          <w:right w:val="single" w:color="D5DAE3" w:sz="4"/>
          <w:insideH w:val="single" w:color="D5DAE3" w:sz="4"/>
          <w:insideV w:val="single" w:color="D5DAE3" w:sz="4"/>
        </w:tblBorders>
      </w:tblPr>
      <w:tblGrid>
        <w:gridCol w:w="2662"/>
        <w:gridCol w:w="5323"/>
        <w:gridCol w:w="1521"/>
      </w:tblGrid>
      <w:tr>
        <w:trPr>
          <w:tblHeader/>
        </w:trPr>
        <w:tc>
          <w:tcPr>
            <w:tcW w:type="pct" w:w="14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Feature</w:t>
            </w:r>
          </w:p>
        </w:tc>
        <w:tc>
          <w:tcPr>
            <w:tcW w:type="pct" w:w="28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What It Does</w:t>
            </w:r>
          </w:p>
        </w:tc>
        <w:tc>
          <w:tcPr>
            <w:tcW w:type="pct" w:w="800"/>
            <w:shd w:fill="1F2A44" w:color="auto" w:val="clear"/>
            <w:tcMar>
              <w:top w:type="dxa" w:w="80"/>
              <w:left w:type="dxa" w:w="120"/>
              <w:bottom w:type="dxa" w:w="80"/>
              <w:right w:type="dxa" w:w="120"/>
            </w:tcMar>
          </w:tcPr>
          <w:p>
            <w:pPr>
              <w:jc w:val="center"/>
            </w:pPr>
            <w:r>
              <w:rPr>
                <w:rFonts w:ascii="Calibri" w:cs="Calibri" w:eastAsia="Calibri" w:hAnsi="Calibri"/>
                <w:b/>
                <w:bCs/>
                <w:color w:val="FFFFFF"/>
                <w:sz w:val="20"/>
                <w:szCs w:val="20"/>
              </w:rPr>
              <w:t xml:space="preserve">Status</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Invoice Reading</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Upload a supplier invoice (PDF or photo); the assistant prepares a draft purchase for review.</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Smart Narration</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Suggests voucher descriptions and account selections from past entries.</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Data Quality Checks</w:t>
            </w:r>
          </w:p>
        </w:tc>
        <w:tc>
          <w:tcPr>
            <w:tcW w:type="pct" w:w="2800"/>
            <w:tcMar>
              <w:top w:type="dxa" w:w="80"/>
              <w:left w:type="dxa" w:w="120"/>
              <w:bottom w:type="dxa" w:w="80"/>
              <w:right w:type="dxa" w:w="120"/>
            </w:tcMar>
          </w:tcPr>
          <w:p>
            <w:pPr>
              <w:jc w:val="left"/>
            </w:pPr>
            <w:r>
              <w:rPr>
                <w:rFonts w:ascii="Calibri" w:cs="Calibri" w:eastAsia="Calibri" w:hAnsi="Calibri"/>
                <w:color w:val="222222"/>
                <w:sz w:val="20"/>
                <w:szCs w:val="20"/>
              </w:rPr>
              <w:t xml:space="preserve">Finds duplicate customers, suppliers, or items and missing details.</w:t>
            </w:r>
          </w:p>
        </w:tc>
        <w:tc>
          <w:tcPr>
            <w:tcW w:type="pct" w:w="800"/>
            <w:shd w:fill="E8EEFD" w:color="auto" w:val="clear"/>
            <w:tcMar>
              <w:top w:type="dxa" w:w="80"/>
              <w:left w:type="dxa" w:w="120"/>
              <w:bottom w:type="dxa" w:w="80"/>
              <w:right w:type="dxa" w:w="120"/>
            </w:tcMar>
          </w:tcPr>
          <w:p>
            <w:pPr>
              <w:jc w:val="center"/>
            </w:pPr>
            <w:r>
              <w:rPr>
                <w:rFonts w:ascii="Calibri" w:cs="Calibri" w:eastAsia="Calibri" w:hAnsi="Calibri"/>
                <w:b/>
                <w:bCs/>
                <w:color w:val="1D4ED8"/>
                <w:sz w:val="20"/>
                <w:szCs w:val="20"/>
              </w:rPr>
              <w:t xml:space="preserve">Planned</w:t>
            </w:r>
          </w:p>
        </w:tc>
      </w:tr>
    </w:tbl>
    <w:p>
      <w:pPr>
        <w:pStyle w:val="Heading2"/>
        <w:spacing w:after="120" w:before="280"/>
      </w:pPr>
      <w:bookmarkStart w:name="_Toc17" w:id="17"/>
      <w:r>
        <w:rPr>
          <w:rFonts w:ascii="Calibri" w:cs="Calibri" w:eastAsia="Calibri" w:hAnsi="Calibri"/>
          <w:b/>
          <w:bCs/>
          <w:color w:val="1F2A44"/>
          <w:sz w:val="28"/>
          <w:szCs w:val="28"/>
        </w:rPr>
        <w:t xml:space="preserve">3.4 Trust, Security &amp; Control</w:t>
      </w:r>
      <w:bookmarkEnd w:id="17"/>
    </w:p>
    <w:p>
      <w:pPr>
        <w:spacing w:after="120" w:line="300"/>
      </w:pPr>
      <w:r>
        <w:rPr>
          <w:rFonts w:ascii="Calibri" w:cs="Calibri" w:eastAsia="Calibri" w:hAnsi="Calibri"/>
          <w:color w:val="222222"/>
          <w:sz w:val="22"/>
          <w:szCs w:val="22"/>
        </w:rPr>
        <w:t xml:space="preserve">AI in an accounting system must be safe and verifiable. The AI layer follows these rules:</w:t>
      </w:r>
    </w:p>
    <w:p>
      <w:pPr>
        <w:pStyle w:val="ListParagraph"/>
        <w:numPr>
          <w:ilvl w:val="0"/>
          <w:numId w:val="2"/>
        </w:numPr>
        <w:spacing w:after="60" w:line="280"/>
      </w:pPr>
      <w:r>
        <w:rPr>
          <w:rFonts w:ascii="Calibri" w:cs="Calibri" w:eastAsia="Calibri" w:hAnsi="Calibri"/>
          <w:b/>
          <w:bCs/>
          <w:sz w:val="22"/>
          <w:szCs w:val="22"/>
        </w:rPr>
        <w:t xml:space="preserve">Read-Only By Design. </w:t>
      </w:r>
      <w:r>
        <w:rPr>
          <w:rFonts w:ascii="Calibri" w:cs="Calibri" w:eastAsia="Calibri" w:hAnsi="Calibri"/>
          <w:sz w:val="22"/>
          <w:szCs w:val="22"/>
        </w:rPr>
        <w:t xml:space="preserve">The assistant reads data; it never posts, edits, or deletes transactions. Drafts it prepares always need a person to review and post.</w:t>
      </w:r>
    </w:p>
    <w:p>
      <w:pPr>
        <w:pStyle w:val="ListParagraph"/>
        <w:numPr>
          <w:ilvl w:val="0"/>
          <w:numId w:val="2"/>
        </w:numPr>
        <w:spacing w:after="60" w:line="280"/>
      </w:pPr>
      <w:r>
        <w:rPr>
          <w:rFonts w:ascii="Calibri" w:cs="Calibri" w:eastAsia="Calibri" w:hAnsi="Calibri"/>
          <w:b/>
          <w:bCs/>
          <w:sz w:val="22"/>
          <w:szCs w:val="22"/>
        </w:rPr>
        <w:t xml:space="preserve">Respects Permissions. </w:t>
      </w:r>
      <w:r>
        <w:rPr>
          <w:rFonts w:ascii="Calibri" w:cs="Calibri" w:eastAsia="Calibri" w:hAnsi="Calibri"/>
          <w:sz w:val="22"/>
          <w:szCs w:val="22"/>
        </w:rPr>
        <w:t xml:space="preserve">Users only see answers from companies, branches, and warehouses they are allowed to access.</w:t>
      </w:r>
    </w:p>
    <w:p>
      <w:pPr>
        <w:pStyle w:val="ListParagraph"/>
        <w:numPr>
          <w:ilvl w:val="0"/>
          <w:numId w:val="2"/>
        </w:numPr>
        <w:spacing w:after="60" w:line="280"/>
      </w:pPr>
      <w:r>
        <w:rPr>
          <w:rFonts w:ascii="Calibri" w:cs="Calibri" w:eastAsia="Calibri" w:hAnsi="Calibri"/>
          <w:b/>
          <w:bCs/>
          <w:sz w:val="22"/>
          <w:szCs w:val="22"/>
        </w:rPr>
        <w:t xml:space="preserve">Verifiable Answers. </w:t>
      </w:r>
      <w:r>
        <w:rPr>
          <w:rFonts w:ascii="Calibri" w:cs="Calibri" w:eastAsia="Calibri" w:hAnsi="Calibri"/>
          <w:sz w:val="22"/>
          <w:szCs w:val="22"/>
        </w:rPr>
        <w:t xml:space="preserve">Every answer shows the figures it used and links to the source report, so results can be checked.</w:t>
      </w:r>
    </w:p>
    <w:p>
      <w:pPr>
        <w:pStyle w:val="ListParagraph"/>
        <w:numPr>
          <w:ilvl w:val="0"/>
          <w:numId w:val="2"/>
        </w:numPr>
        <w:spacing w:after="60" w:line="280"/>
      </w:pPr>
      <w:r>
        <w:rPr>
          <w:rFonts w:ascii="Calibri" w:cs="Calibri" w:eastAsia="Calibri" w:hAnsi="Calibri"/>
          <w:b/>
          <w:bCs/>
          <w:sz w:val="22"/>
          <w:szCs w:val="22"/>
        </w:rPr>
        <w:t xml:space="preserve">Full Audit Log. </w:t>
      </w:r>
      <w:r>
        <w:rPr>
          <w:rFonts w:ascii="Calibri" w:cs="Calibri" w:eastAsia="Calibri" w:hAnsi="Calibri"/>
          <w:sz w:val="22"/>
          <w:szCs w:val="22"/>
        </w:rPr>
        <w:t xml:space="preserve">Questions and answers are logged for review and audit.</w:t>
      </w:r>
    </w:p>
    <w:p>
      <w:pPr>
        <w:pStyle w:val="ListParagraph"/>
        <w:numPr>
          <w:ilvl w:val="0"/>
          <w:numId w:val="2"/>
        </w:numPr>
        <w:spacing w:after="60" w:line="280"/>
      </w:pPr>
      <w:r>
        <w:rPr>
          <w:rFonts w:ascii="Calibri" w:cs="Calibri" w:eastAsia="Calibri" w:hAnsi="Calibri"/>
          <w:b/>
          <w:bCs/>
          <w:sz w:val="22"/>
          <w:szCs w:val="22"/>
        </w:rPr>
        <w:t xml:space="preserve">Data Privacy. </w:t>
      </w:r>
      <w:r>
        <w:rPr>
          <w:rFonts w:ascii="Calibri" w:cs="Calibri" w:eastAsia="Calibri" w:hAnsi="Calibri"/>
          <w:sz w:val="22"/>
          <w:szCs w:val="22"/>
        </w:rPr>
        <w:t xml:space="preserve">Company data is processed under strict data-privacy controls and is not used to train public models.</w:t>
      </w:r>
    </w:p>
    <w:p>
      <w:pPr>
        <w:pStyle w:val="ListParagraph"/>
        <w:numPr>
          <w:ilvl w:val="0"/>
          <w:numId w:val="2"/>
        </w:numPr>
        <w:spacing w:after="60" w:line="280"/>
      </w:pPr>
      <w:r>
        <w:rPr>
          <w:rFonts w:ascii="Calibri" w:cs="Calibri" w:eastAsia="Calibri" w:hAnsi="Calibri"/>
          <w:b/>
          <w:bCs/>
          <w:sz w:val="22"/>
          <w:szCs w:val="22"/>
        </w:rPr>
        <w:t xml:space="preserve">Accurate Numbers. </w:t>
      </w:r>
      <w:r>
        <w:rPr>
          <w:rFonts w:ascii="Calibri" w:cs="Calibri" w:eastAsia="Calibri" w:hAnsi="Calibri"/>
          <w:sz w:val="22"/>
          <w:szCs w:val="22"/>
        </w:rPr>
        <w:t xml:space="preserve">Figures are calculated by the ERP's reporting engine; AI explains and presents them. Numbers are never estimated by the AI itself.</w:t>
      </w:r>
    </w:p>
    <w:p>
      <w:pPr>
        <w:pStyle w:val="Heading1"/>
        <w:pageBreakBefore/>
        <w:spacing w:after="200"/>
      </w:pPr>
      <w:bookmarkStart w:name="_Toc18" w:id="18"/>
      <w:r>
        <w:rPr>
          <w:rFonts w:ascii="Calibri" w:cs="Calibri" w:eastAsia="Calibri" w:hAnsi="Calibri"/>
          <w:b/>
          <w:bCs/>
          <w:color w:val="1F2A44"/>
          <w:sz w:val="36"/>
          <w:szCs w:val="36"/>
        </w:rPr>
        <w:t xml:space="preserve">4. Platform, Security &amp; Quality</w:t>
      </w:r>
      <w:bookmarkEnd w:id="18"/>
    </w:p>
    <w:tbl>
      <w:tblPr>
        <w:tblW w:type="pct" w:w="5000"/>
        <w:tblBorders>
          <w:top w:val="single" w:color="D5DAE3" w:sz="4"/>
          <w:left w:val="single" w:color="D5DAE3" w:sz="4"/>
          <w:bottom w:val="single" w:color="D5DAE3" w:sz="4"/>
          <w:right w:val="single" w:color="D5DAE3" w:sz="4"/>
          <w:insideH w:val="single" w:color="D5DAE3" w:sz="4"/>
          <w:insideV w:val="single" w:color="D5DAE3" w:sz="4"/>
        </w:tblBorders>
      </w:tblPr>
      <w:tblGrid>
        <w:gridCol w:w="2662"/>
        <w:gridCol w:w="6844"/>
      </w:tblGrid>
      <w:tr>
        <w:trPr>
          <w:tblHeader/>
        </w:trPr>
        <w:tc>
          <w:tcPr>
            <w:tcW w:type="pct" w:w="14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Area</w:t>
            </w:r>
          </w:p>
        </w:tc>
        <w:tc>
          <w:tcPr>
            <w:tcW w:type="pct" w:w="36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Approach</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Architecture</w:t>
            </w:r>
          </w:p>
        </w:tc>
        <w:tc>
          <w:tcPr>
            <w:tcW w:type="pct" w:w="3600"/>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Web application with a separate secure API server that owns all business rules.</w:t>
            </w:r>
          </w:p>
        </w:tc>
      </w:tr>
      <w:tr>
        <w:tc>
          <w:tcPr>
            <w:tcW w:type="pct" w:w="1400"/>
            <w:shd w:fill="F6F8FB" w:color="auto" w:val="clear"/>
            <w:tcMar>
              <w:top w:type="dxa" w:w="80"/>
              <w:left w:type="dxa" w:w="120"/>
              <w:bottom w:type="dxa" w:w="80"/>
              <w:right w:type="dxa" w:w="120"/>
            </w:tcMar>
          </w:tcPr>
          <w:p>
            <w:pPr>
              <w:jc w:val="left"/>
            </w:pPr>
            <w:r>
              <w:rPr>
                <w:rFonts w:ascii="Calibri" w:cs="Calibri" w:eastAsia="Calibri" w:hAnsi="Calibri"/>
                <w:b/>
                <w:bCs/>
                <w:color w:val="222222"/>
                <w:sz w:val="20"/>
                <w:szCs w:val="20"/>
              </w:rPr>
              <w:t xml:space="preserve">Database</w:t>
            </w:r>
          </w:p>
        </w:tc>
        <w:tc>
          <w:tcPr>
            <w:tcW w:type="pct" w:w="3600"/>
            <w:shd w:fill="F6F8FB"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PostgreSQL relational database with transactional posting.</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Data Integrity</w:t>
            </w:r>
          </w:p>
        </w:tc>
        <w:tc>
          <w:tcPr>
            <w:tcW w:type="pct" w:w="3600"/>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Posted documents are immutable; all postings run inside database transactions with row locking.</w:t>
            </w:r>
          </w:p>
        </w:tc>
      </w:tr>
      <w:tr>
        <w:tc>
          <w:tcPr>
            <w:tcW w:type="pct" w:w="1400"/>
            <w:shd w:fill="F6F8FB" w:color="auto" w:val="clear"/>
            <w:tcMar>
              <w:top w:type="dxa" w:w="80"/>
              <w:left w:type="dxa" w:w="120"/>
              <w:bottom w:type="dxa" w:w="80"/>
              <w:right w:type="dxa" w:w="120"/>
            </w:tcMar>
          </w:tcPr>
          <w:p>
            <w:pPr>
              <w:jc w:val="left"/>
            </w:pPr>
            <w:r>
              <w:rPr>
                <w:rFonts w:ascii="Calibri" w:cs="Calibri" w:eastAsia="Calibri" w:hAnsi="Calibri"/>
                <w:b/>
                <w:bCs/>
                <w:color w:val="222222"/>
                <w:sz w:val="20"/>
                <w:szCs w:val="20"/>
              </w:rPr>
              <w:t xml:space="preserve">Audit Trail</w:t>
            </w:r>
          </w:p>
        </w:tc>
        <w:tc>
          <w:tcPr>
            <w:tcW w:type="pct" w:w="3600"/>
            <w:shd w:fill="F6F8FB"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Every stock change and ledger entry is permanently recorded with its source document.</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Fiscal Control</w:t>
            </w:r>
          </w:p>
        </w:tc>
        <w:tc>
          <w:tcPr>
            <w:tcW w:type="pct" w:w="3600"/>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Posting is blocked in closed or locked periods.</w:t>
            </w:r>
          </w:p>
        </w:tc>
      </w:tr>
      <w:tr>
        <w:tc>
          <w:tcPr>
            <w:tcW w:type="pct" w:w="1400"/>
            <w:shd w:fill="F6F8FB" w:color="auto" w:val="clear"/>
            <w:tcMar>
              <w:top w:type="dxa" w:w="80"/>
              <w:left w:type="dxa" w:w="120"/>
              <w:bottom w:type="dxa" w:w="80"/>
              <w:right w:type="dxa" w:w="120"/>
            </w:tcMar>
          </w:tcPr>
          <w:p>
            <w:pPr>
              <w:jc w:val="left"/>
            </w:pPr>
            <w:r>
              <w:rPr>
                <w:rFonts w:ascii="Calibri" w:cs="Calibri" w:eastAsia="Calibri" w:hAnsi="Calibri"/>
                <w:b/>
                <w:bCs/>
                <w:color w:val="222222"/>
                <w:sz w:val="20"/>
                <w:szCs w:val="20"/>
              </w:rPr>
              <w:t xml:space="preserve">Accessibility</w:t>
            </w:r>
          </w:p>
        </w:tc>
        <w:tc>
          <w:tcPr>
            <w:tcW w:type="pct" w:w="3600"/>
            <w:shd w:fill="F6F8FB"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WCAG 2.1 AA contrast, keyboard-friendly data entry, clear plain-language labels.</w:t>
            </w:r>
          </w:p>
        </w:tc>
      </w:tr>
      <w:tr>
        <w:tc>
          <w:tcPr>
            <w:tcW w:type="pct" w:w="1400"/>
            <w:tcMar>
              <w:top w:type="dxa" w:w="80"/>
              <w:left w:type="dxa" w:w="120"/>
              <w:bottom w:type="dxa" w:w="80"/>
              <w:right w:type="dxa" w:w="120"/>
            </w:tcMar>
          </w:tcPr>
          <w:p>
            <w:pPr>
              <w:jc w:val="left"/>
            </w:pPr>
            <w:r>
              <w:rPr>
                <w:rFonts w:ascii="Calibri" w:cs="Calibri" w:eastAsia="Calibri" w:hAnsi="Calibri"/>
                <w:b/>
                <w:bCs/>
                <w:color w:val="222222"/>
                <w:sz w:val="20"/>
                <w:szCs w:val="20"/>
              </w:rPr>
              <w:t xml:space="preserve">Design</w:t>
            </w:r>
          </w:p>
        </w:tc>
        <w:tc>
          <w:tcPr>
            <w:tcW w:type="pct" w:w="3600"/>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Consistent "Calm Ledger" design: the same task looks the same on every screen.</w:t>
            </w:r>
          </w:p>
        </w:tc>
      </w:tr>
      <w:tr>
        <w:tc>
          <w:tcPr>
            <w:tcW w:type="pct" w:w="1400"/>
            <w:shd w:fill="F6F8FB" w:color="auto" w:val="clear"/>
            <w:tcMar>
              <w:top w:type="dxa" w:w="80"/>
              <w:left w:type="dxa" w:w="120"/>
              <w:bottom w:type="dxa" w:w="80"/>
              <w:right w:type="dxa" w:w="120"/>
            </w:tcMar>
          </w:tcPr>
          <w:p>
            <w:pPr>
              <w:jc w:val="left"/>
            </w:pPr>
            <w:r>
              <w:rPr>
                <w:rFonts w:ascii="Calibri" w:cs="Calibri" w:eastAsia="Calibri" w:hAnsi="Calibri"/>
                <w:b/>
                <w:bCs/>
                <w:color w:val="222222"/>
                <w:sz w:val="20"/>
                <w:szCs w:val="20"/>
              </w:rPr>
              <w:t xml:space="preserve">Deployment</w:t>
            </w:r>
          </w:p>
        </w:tc>
        <w:tc>
          <w:tcPr>
            <w:tcW w:type="pct" w:w="3600"/>
            <w:shd w:fill="F6F8FB"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Container-based deployment (Docker) for cloud or on-premise hosting.</w:t>
            </w:r>
          </w:p>
        </w:tc>
      </w:tr>
    </w:tbl>
    <w:p>
      <w:pPr>
        <w:pStyle w:val="Heading1"/>
        <w:pageBreakBefore/>
        <w:spacing w:after="200"/>
      </w:pPr>
      <w:bookmarkStart w:name="_Toc19" w:id="19"/>
      <w:r>
        <w:rPr>
          <w:rFonts w:ascii="Calibri" w:cs="Calibri" w:eastAsia="Calibri" w:hAnsi="Calibri"/>
          <w:b/>
          <w:bCs/>
          <w:color w:val="1F2A44"/>
          <w:sz w:val="36"/>
          <w:szCs w:val="36"/>
        </w:rPr>
        <w:t xml:space="preserve">5. Product Roadmap</w:t>
      </w:r>
      <w:bookmarkEnd w:id="19"/>
    </w:p>
    <w:p>
      <w:pPr>
        <w:spacing w:after="120" w:line="300"/>
      </w:pPr>
      <w:r>
        <w:rPr>
          <w:rFonts w:ascii="Calibri" w:cs="Calibri" w:eastAsia="Calibri" w:hAnsi="Calibri"/>
          <w:color w:val="222222"/>
          <w:sz w:val="22"/>
          <w:szCs w:val="22"/>
        </w:rPr>
        <w:t xml:space="preserve">Roadmap phases are ordered so that financial accuracy comes first, followed by operations, visibility, and intelligence.</w:t>
      </w:r>
    </w:p>
    <w:tbl>
      <w:tblPr>
        <w:tblW w:type="pct" w:w="5000"/>
        <w:tblBorders>
          <w:top w:val="single" w:color="D5DAE3" w:sz="4"/>
          <w:left w:val="single" w:color="D5DAE3" w:sz="4"/>
          <w:bottom w:val="single" w:color="D5DAE3" w:sz="4"/>
          <w:right w:val="single" w:color="D5DAE3" w:sz="4"/>
          <w:insideH w:val="single" w:color="D5DAE3" w:sz="4"/>
          <w:insideV w:val="single" w:color="D5DAE3" w:sz="4"/>
        </w:tblBorders>
      </w:tblPr>
      <w:tblGrid>
        <w:gridCol w:w="1331"/>
        <w:gridCol w:w="2472"/>
        <w:gridCol w:w="5704"/>
      </w:tblGrid>
      <w:tr>
        <w:trPr>
          <w:tblHeader/>
        </w:trPr>
        <w:tc>
          <w:tcPr>
            <w:tcW w:type="pct" w:w="7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Phase</w:t>
            </w:r>
          </w:p>
        </w:tc>
        <w:tc>
          <w:tcPr>
            <w:tcW w:type="pct" w:w="13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Focus</w:t>
            </w:r>
          </w:p>
        </w:tc>
        <w:tc>
          <w:tcPr>
            <w:tcW w:type="pct" w:w="3000"/>
            <w:shd w:fill="1F2A44" w:color="auto" w:val="clear"/>
            <w:tcMar>
              <w:top w:type="dxa" w:w="80"/>
              <w:left w:type="dxa" w:w="120"/>
              <w:bottom w:type="dxa" w:w="80"/>
              <w:right w:type="dxa" w:w="120"/>
            </w:tcMar>
          </w:tcPr>
          <w:p>
            <w:pPr>
              <w:jc w:val="left"/>
            </w:pPr>
            <w:r>
              <w:rPr>
                <w:rFonts w:ascii="Calibri" w:cs="Calibri" w:eastAsia="Calibri" w:hAnsi="Calibri"/>
                <w:b/>
                <w:bCs/>
                <w:color w:val="FFFFFF"/>
                <w:sz w:val="20"/>
                <w:szCs w:val="20"/>
              </w:rPr>
              <w:t xml:space="preserve">Key Deliverables</w:t>
            </w:r>
          </w:p>
        </w:tc>
      </w:tr>
      <w:tr>
        <w:tc>
          <w:tcPr>
            <w:tcW w:type="pct" w:w="700"/>
            <w:tcMar>
              <w:top w:type="dxa" w:w="80"/>
              <w:left w:type="dxa" w:w="120"/>
              <w:bottom w:type="dxa" w:w="80"/>
              <w:right w:type="dxa" w:w="120"/>
            </w:tcMar>
          </w:tcPr>
          <w:p>
            <w:pPr>
              <w:jc w:val="left"/>
            </w:pPr>
            <w:r>
              <w:rPr>
                <w:rFonts w:ascii="Calibri" w:cs="Calibri" w:eastAsia="Calibri" w:hAnsi="Calibri"/>
                <w:b/>
                <w:bCs/>
                <w:color w:val="222222"/>
                <w:sz w:val="20"/>
                <w:szCs w:val="20"/>
              </w:rPr>
              <w:t xml:space="preserve">Phase 1</w:t>
            </w:r>
          </w:p>
        </w:tc>
        <w:tc>
          <w:tcPr>
            <w:tcW w:type="pct" w:w="1300"/>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Audit-Ready Accuracy</w:t>
            </w:r>
          </w:p>
        </w:tc>
        <w:tc>
          <w:tcPr>
            <w:tcW w:type="pct" w:w="3000"/>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Document reversal, stock-to-ledger reconciliation, opening stock entry, configurable posting accounts</w:t>
            </w:r>
          </w:p>
        </w:tc>
      </w:tr>
      <w:tr>
        <w:tc>
          <w:tcPr>
            <w:tcW w:type="pct" w:w="700"/>
            <w:shd w:fill="F6F8FB" w:color="auto" w:val="clear"/>
            <w:tcMar>
              <w:top w:type="dxa" w:w="80"/>
              <w:left w:type="dxa" w:w="120"/>
              <w:bottom w:type="dxa" w:w="80"/>
              <w:right w:type="dxa" w:w="120"/>
            </w:tcMar>
          </w:tcPr>
          <w:p>
            <w:pPr>
              <w:jc w:val="left"/>
            </w:pPr>
            <w:r>
              <w:rPr>
                <w:rFonts w:ascii="Calibri" w:cs="Calibri" w:eastAsia="Calibri" w:hAnsi="Calibri"/>
                <w:b/>
                <w:bCs/>
                <w:color w:val="222222"/>
                <w:sz w:val="20"/>
                <w:szCs w:val="20"/>
              </w:rPr>
              <w:t xml:space="preserve">Phase 2</w:t>
            </w:r>
          </w:p>
        </w:tc>
        <w:tc>
          <w:tcPr>
            <w:tcW w:type="pct" w:w="1300"/>
            <w:shd w:fill="F6F8FB"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Multi-Branch Operations</w:t>
            </w:r>
          </w:p>
        </w:tc>
        <w:tc>
          <w:tcPr>
            <w:tcW w:type="pct" w:w="3000"/>
            <w:shd w:fill="F6F8FB"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Branch stores, two-step transfers with stock in transit, stock requests, physical stock count</w:t>
            </w:r>
          </w:p>
        </w:tc>
      </w:tr>
      <w:tr>
        <w:tc>
          <w:tcPr>
            <w:tcW w:type="pct" w:w="700"/>
            <w:tcMar>
              <w:top w:type="dxa" w:w="80"/>
              <w:left w:type="dxa" w:w="120"/>
              <w:bottom w:type="dxa" w:w="80"/>
              <w:right w:type="dxa" w:w="120"/>
            </w:tcMar>
          </w:tcPr>
          <w:p>
            <w:pPr>
              <w:jc w:val="left"/>
            </w:pPr>
            <w:r>
              <w:rPr>
                <w:rFonts w:ascii="Calibri" w:cs="Calibri" w:eastAsia="Calibri" w:hAnsi="Calibri"/>
                <w:b/>
                <w:bCs/>
                <w:color w:val="222222"/>
                <w:sz w:val="20"/>
                <w:szCs w:val="20"/>
              </w:rPr>
              <w:t xml:space="preserve">Phase 3</w:t>
            </w:r>
          </w:p>
        </w:tc>
        <w:tc>
          <w:tcPr>
            <w:tcW w:type="pct" w:w="1300"/>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Visibility</w:t>
            </w:r>
          </w:p>
        </w:tc>
        <w:tc>
          <w:tcPr>
            <w:tcW w:type="pct" w:w="3000"/>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Stock ledger, stock movement summary, valuation as of date, reorder and ageing reports</w:t>
            </w:r>
          </w:p>
        </w:tc>
      </w:tr>
      <w:tr>
        <w:tc>
          <w:tcPr>
            <w:tcW w:type="pct" w:w="700"/>
            <w:shd w:fill="F6F8FB" w:color="auto" w:val="clear"/>
            <w:tcMar>
              <w:top w:type="dxa" w:w="80"/>
              <w:left w:type="dxa" w:w="120"/>
              <w:bottom w:type="dxa" w:w="80"/>
              <w:right w:type="dxa" w:w="120"/>
            </w:tcMar>
          </w:tcPr>
          <w:p>
            <w:pPr>
              <w:jc w:val="left"/>
            </w:pPr>
            <w:r>
              <w:rPr>
                <w:rFonts w:ascii="Calibri" w:cs="Calibri" w:eastAsia="Calibri" w:hAnsi="Calibri"/>
                <w:b/>
                <w:bCs/>
                <w:color w:val="222222"/>
                <w:sz w:val="20"/>
                <w:szCs w:val="20"/>
              </w:rPr>
              <w:t xml:space="preserve">Phase 4</w:t>
            </w:r>
          </w:p>
        </w:tc>
        <w:tc>
          <w:tcPr>
            <w:tcW w:type="pct" w:w="1300"/>
            <w:shd w:fill="F6F8FB"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Control</w:t>
            </w:r>
          </w:p>
        </w:tc>
        <w:tc>
          <w:tcPr>
            <w:tcW w:type="pct" w:w="3000"/>
            <w:shd w:fill="F6F8FB"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Users, roles and permissions, adjustment approvals, branch-wise accounting</w:t>
            </w:r>
          </w:p>
        </w:tc>
      </w:tr>
      <w:tr>
        <w:tc>
          <w:tcPr>
            <w:tcW w:type="pct" w:w="700"/>
            <w:tcMar>
              <w:top w:type="dxa" w:w="80"/>
              <w:left w:type="dxa" w:w="120"/>
              <w:bottom w:type="dxa" w:w="80"/>
              <w:right w:type="dxa" w:w="120"/>
            </w:tcMar>
          </w:tcPr>
          <w:p>
            <w:pPr>
              <w:jc w:val="left"/>
            </w:pPr>
            <w:r>
              <w:rPr>
                <w:rFonts w:ascii="Calibri" w:cs="Calibri" w:eastAsia="Calibri" w:hAnsi="Calibri"/>
                <w:b/>
                <w:bCs/>
                <w:color w:val="222222"/>
                <w:sz w:val="20"/>
                <w:szCs w:val="20"/>
              </w:rPr>
              <w:t xml:space="preserve">Phase 5</w:t>
            </w:r>
          </w:p>
        </w:tc>
        <w:tc>
          <w:tcPr>
            <w:tcW w:type="pct" w:w="1300"/>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AI Insights</w:t>
            </w:r>
          </w:p>
        </w:tc>
        <w:tc>
          <w:tcPr>
            <w:tcW w:type="pct" w:w="3000"/>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Chat-based reports, anomaly detection, forecasting, AI-assisted data entry</w:t>
            </w:r>
          </w:p>
        </w:tc>
      </w:tr>
      <w:tr>
        <w:tc>
          <w:tcPr>
            <w:tcW w:type="pct" w:w="700"/>
            <w:shd w:fill="F6F8FB" w:color="auto" w:val="clear"/>
            <w:tcMar>
              <w:top w:type="dxa" w:w="80"/>
              <w:left w:type="dxa" w:w="120"/>
              <w:bottom w:type="dxa" w:w="80"/>
              <w:right w:type="dxa" w:w="120"/>
            </w:tcMar>
          </w:tcPr>
          <w:p>
            <w:pPr>
              <w:jc w:val="left"/>
            </w:pPr>
            <w:r>
              <w:rPr>
                <w:rFonts w:ascii="Calibri" w:cs="Calibri" w:eastAsia="Calibri" w:hAnsi="Calibri"/>
                <w:b/>
                <w:bCs/>
                <w:color w:val="222222"/>
                <w:sz w:val="20"/>
                <w:szCs w:val="20"/>
              </w:rPr>
              <w:t xml:space="preserve">Phase 6</w:t>
            </w:r>
          </w:p>
        </w:tc>
        <w:tc>
          <w:tcPr>
            <w:tcW w:type="pct" w:w="1300"/>
            <w:shd w:fill="F6F8FB"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Extensions</w:t>
            </w:r>
          </w:p>
        </w:tc>
        <w:tc>
          <w:tcPr>
            <w:tcW w:type="pct" w:w="3000"/>
            <w:shd w:fill="F6F8FB" w:color="auto" w:val="clear"/>
            <w:tcMar>
              <w:top w:type="dxa" w:w="80"/>
              <w:left w:type="dxa" w:w="120"/>
              <w:bottom w:type="dxa" w:w="80"/>
              <w:right w:type="dxa" w:w="120"/>
            </w:tcMar>
          </w:tcPr>
          <w:p>
            <w:pPr>
              <w:jc w:val="left"/>
            </w:pPr>
            <w:r>
              <w:rPr>
                <w:rFonts w:ascii="Calibri" w:cs="Calibri" w:eastAsia="Calibri" w:hAnsi="Calibri"/>
                <w:b w:val="false"/>
                <w:bCs w:val="false"/>
                <w:color w:val="222222"/>
                <w:sz w:val="20"/>
                <w:szCs w:val="20"/>
              </w:rPr>
              <w:t xml:space="preserve">Batch/serial tracking, unit conversions, landed cost, purchase and sales orders, price lists, bank reconciliation</w:t>
            </w:r>
          </w:p>
        </w:tc>
      </w:tr>
    </w:tbl>
    <w:p>
      <w:pPr>
        <w:spacing w:after="120"/>
      </w:pPr>
    </w:p>
    <w:p>
      <w:pPr>
        <w:spacing w:after="120" w:line="300"/>
      </w:pPr>
      <w:r>
        <w:rPr>
          <w:rFonts w:ascii="Calibri" w:cs="Calibri" w:eastAsia="Calibri" w:hAnsi="Calibri"/>
          <w:i/>
          <w:iCs/>
          <w:color w:val="5B6475"/>
          <w:sz w:val="22"/>
          <w:szCs w:val="22"/>
        </w:rPr>
        <w:t xml:space="preserve">Delivery dates for each phase are agreed with the client during project planning.</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475"/>
        <w:sz w:val="18"/>
        <w:szCs w:val="18"/>
      </w:rPr>
      <w:t xml:space="preserve">Page </w:t>
    </w:r>
    <w:r>
      <w:rPr>
        <w:rFonts w:ascii="Calibri" w:cs="Calibri" w:eastAsia="Calibri" w:hAnsi="Calibri"/>
        <w:color w:val="5B64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475"/>
        <w:sz w:val="18"/>
        <w:szCs w:val="18"/>
      </w:rPr>
      <w:t xml:space="preserve">ERP Platform · Product Features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ERP Platform — Product Features Overview</dc:title>
  <dc:creator>ERP Platform</dc:creator>
  <cp:lastModifiedBy>Un-named</cp:lastModifiedBy>
  <cp:revision>1</cp:revision>
  <dcterms:created xsi:type="dcterms:W3CDTF">2026-10-10T15:35:11.002Z</dcterms:created>
  <dcterms:modified xsi:type="dcterms:W3CDTF">2026-10-10T15:35:11.003Z</dcterms:modified>
</cp:coreProperties>
</file>

<file path=docProps/custom.xml><?xml version="1.0" encoding="utf-8"?>
<Properties xmlns="http://schemas.openxmlformats.org/officeDocument/2006/custom-properties" xmlns:vt="http://schemas.openxmlformats.org/officeDocument/2006/docPropsVTypes"/>
</file>