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87F73"/>
          <w:sz w:val="44"/>
        </w:rPr>
        <w:t>QueueFlow — Intelligent Digital Queue &amp; Appointment Management System</w:t>
      </w:r>
    </w:p>
    <w:p>
      <w:pPr>
        <w:spacing w:before="0" w:after="280"/>
      </w:pPr>
      <w:r>
        <w:rPr>
          <w:rFonts w:ascii="Calibri" w:hAnsi="Calibri"/>
          <w:color w:val="647378"/>
          <w:sz w:val="26"/>
        </w:rPr>
        <w:t>System Architecture Specification, Operational Lifecycle, and Advanced AI Capabilities</w:t>
      </w:r>
    </w:p>
    <w:tbl>
      <w:tblPr>
        <w:tblW w:type="auto" w:w="0"/>
        <w:jc w:val="center"/>
        <w:tblLook w:firstColumn="1" w:firstRow="1" w:lastColumn="0" w:lastRow="0" w:noHBand="0" w:noVBand="1" w:val="04A0"/>
        <w:tblBorders>
          <w:top w:val="single" w:sz="4" w:space="0" w:color="DCE5E7"/>
          <w:bottom w:val="single" w:sz="4" w:space="0" w:color="DCE5E7"/>
          <w:left w:val="none"/>
          <w:right w:val="none"/>
          <w:insideH w:val="single" w:sz="4" w:space="0" w:color="DCE5E7"/>
          <w:insideV w:val="none"/>
        </w:tblBorders>
      </w:tblPr>
      <w:tblGrid>
        <w:gridCol w:w="4680"/>
        <w:gridCol w:w="4680"/>
      </w:tblGrid>
      <w:tr>
        <w:tc>
          <w:tcPr>
            <w:tcW w:type="dxa" w:w="3168"/>
            <w:vAlign w:val="center"/>
            <w:shd w:fill="F8FBFA"/>
            <w:tcMar>
              <w:top w:w="120" w:type="dxa"/>
              <w:bottom w:w="120" w:type="dxa"/>
              <w:left w:w="160" w:type="dxa"/>
              <w:right w:w="160" w:type="dxa"/>
            </w:tcMar>
          </w:tcPr>
          <w:p>
            <w:pPr>
              <w:spacing w:before="40" w:after="40"/>
            </w:pPr>
            <w:r>
              <w:rPr>
                <w:rFonts w:ascii="Calibri" w:hAnsi="Calibri"/>
                <w:b/>
                <w:color w:val="172C31"/>
                <w:sz w:val="19"/>
              </w:rPr>
              <w:t>Project Name</w:t>
            </w:r>
          </w:p>
        </w:tc>
        <w:tc>
          <w:tcPr>
            <w:tcW w:type="dxa" w:w="6192"/>
            <w:vAlign w:val="center"/>
            <w:shd w:fill="F8FBFA"/>
            <w:tcMar>
              <w:top w:w="120" w:type="dxa"/>
              <w:bottom w:w="120" w:type="dxa"/>
              <w:left w:w="160" w:type="dxa"/>
              <w:right w:w="160" w:type="dxa"/>
            </w:tcMar>
          </w:tcPr>
          <w:p>
            <w:pPr>
              <w:spacing w:before="40" w:after="40"/>
            </w:pPr>
            <w:r>
              <w:rPr>
                <w:rFonts w:ascii="Calibri" w:hAnsi="Calibri"/>
                <w:color w:val="172C31"/>
                <w:sz w:val="19"/>
              </w:rPr>
              <w:t>QueueFlow (Digital Queue &amp; Appointment Management System)</w:t>
            </w:r>
          </w:p>
        </w:tc>
      </w:tr>
      <w:tr>
        <w:tc>
          <w:tcPr>
            <w:tcW w:type="dxa" w:w="3168"/>
            <w:vAlign w:val="center"/>
            <w:shd w:fill="FFFFFF"/>
            <w:tcMar>
              <w:top w:w="120" w:type="dxa"/>
              <w:bottom w:w="120" w:type="dxa"/>
              <w:left w:w="160" w:type="dxa"/>
              <w:right w:w="160" w:type="dxa"/>
            </w:tcMar>
          </w:tcPr>
          <w:p>
            <w:pPr>
              <w:spacing w:before="40" w:after="40"/>
            </w:pPr>
            <w:r>
              <w:rPr>
                <w:rFonts w:ascii="Calibri" w:hAnsi="Calibri"/>
                <w:b/>
                <w:color w:val="172C31"/>
                <w:sz w:val="19"/>
              </w:rPr>
              <w:t>Architecture &amp; Stack</w:t>
            </w:r>
          </w:p>
        </w:tc>
        <w:tc>
          <w:tcPr>
            <w:tcW w:type="dxa" w:w="6192"/>
            <w:vAlign w:val="center"/>
            <w:shd w:fill="FFFFFF"/>
            <w:tcMar>
              <w:top w:w="120" w:type="dxa"/>
              <w:bottom w:w="120" w:type="dxa"/>
              <w:left w:w="160" w:type="dxa"/>
              <w:right w:w="160" w:type="dxa"/>
            </w:tcMar>
          </w:tcPr>
          <w:p>
            <w:pPr>
              <w:spacing w:before="40" w:after="40"/>
            </w:pPr>
            <w:r>
              <w:rPr>
                <w:rFonts w:ascii="Calibri" w:hAnsi="Calibri"/>
                <w:color w:val="172C31"/>
                <w:sz w:val="19"/>
              </w:rPr>
              <w:t>Next.js 16 (App Router), React 19, TypeScript, PostgreSQL (Neon Cloud), Vercel</w:t>
            </w:r>
          </w:p>
        </w:tc>
      </w:tr>
      <w:tr>
        <w:tc>
          <w:tcPr>
            <w:tcW w:type="dxa" w:w="3168"/>
            <w:vAlign w:val="center"/>
            <w:shd w:fill="F8FBFA"/>
            <w:tcMar>
              <w:top w:w="120" w:type="dxa"/>
              <w:bottom w:w="120" w:type="dxa"/>
              <w:left w:w="160" w:type="dxa"/>
              <w:right w:w="160" w:type="dxa"/>
            </w:tcMar>
          </w:tcPr>
          <w:p>
            <w:pPr>
              <w:spacing w:before="40" w:after="40"/>
            </w:pPr>
            <w:r>
              <w:rPr>
                <w:rFonts w:ascii="Calibri" w:hAnsi="Calibri"/>
                <w:b/>
                <w:color w:val="172C31"/>
                <w:sz w:val="19"/>
              </w:rPr>
              <w:t>Operational Deployment</w:t>
            </w:r>
          </w:p>
        </w:tc>
        <w:tc>
          <w:tcPr>
            <w:tcW w:type="dxa" w:w="6192"/>
            <w:vAlign w:val="center"/>
            <w:shd w:fill="F8FBFA"/>
            <w:tcMar>
              <w:top w:w="120" w:type="dxa"/>
              <w:bottom w:w="120" w:type="dxa"/>
              <w:left w:w="160" w:type="dxa"/>
              <w:right w:w="160" w:type="dxa"/>
            </w:tcMar>
          </w:tcPr>
          <w:p>
            <w:pPr>
              <w:spacing w:before="40" w:after="40"/>
            </w:pPr>
            <w:r>
              <w:rPr>
                <w:rFonts w:ascii="Calibri" w:hAnsi="Calibri"/>
                <w:color w:val="172C31"/>
                <w:sz w:val="19"/>
              </w:rPr>
              <w:t>Production Live at Vercel + Neon Pooled PostgreSQL with SSL</w:t>
            </w:r>
          </w:p>
        </w:tc>
      </w:tr>
      <w:tr>
        <w:tc>
          <w:tcPr>
            <w:tcW w:type="dxa" w:w="3168"/>
            <w:vAlign w:val="center"/>
            <w:shd w:fill="FFFFFF"/>
            <w:tcMar>
              <w:top w:w="120" w:type="dxa"/>
              <w:bottom w:w="120" w:type="dxa"/>
              <w:left w:w="160" w:type="dxa"/>
              <w:right w:w="160" w:type="dxa"/>
            </w:tcMar>
          </w:tcPr>
          <w:p>
            <w:pPr>
              <w:spacing w:before="40" w:after="40"/>
            </w:pPr>
            <w:r>
              <w:rPr>
                <w:rFonts w:ascii="Calibri" w:hAnsi="Calibri"/>
                <w:b/>
                <w:color w:val="172C31"/>
                <w:sz w:val="19"/>
              </w:rPr>
              <w:t>Document Scope</w:t>
            </w:r>
          </w:p>
        </w:tc>
        <w:tc>
          <w:tcPr>
            <w:tcW w:type="dxa" w:w="6192"/>
            <w:vAlign w:val="center"/>
            <w:shd w:fill="FFFFFF"/>
            <w:tcMar>
              <w:top w:w="120" w:type="dxa"/>
              <w:bottom w:w="120" w:type="dxa"/>
              <w:left w:w="160" w:type="dxa"/>
              <w:right w:w="160" w:type="dxa"/>
            </w:tcMar>
          </w:tcPr>
          <w:p>
            <w:pPr>
              <w:spacing w:before="40" w:after="40"/>
            </w:pPr>
            <w:r>
              <w:rPr>
                <w:rFonts w:ascii="Calibri" w:hAnsi="Calibri"/>
                <w:color w:val="172C31"/>
                <w:sz w:val="19"/>
              </w:rPr>
              <w:t>Full Lifecycle Flow, Unified Queue/Appointment Modules, AI Predictions &amp; Optimizations</w:t>
            </w:r>
          </w:p>
        </w:tc>
      </w:tr>
    </w:tbl>
    <w:p/>
    <w:p>
      <w:pPr>
        <w:pStyle w:val="Heading1"/>
        <w:keepNext/>
        <w:spacing w:before="360" w:after="120"/>
      </w:pPr>
      <w:r>
        <w:rPr>
          <w:rFonts w:ascii="Arial" w:hAnsi="Arial"/>
          <w:b/>
          <w:color w:val="087F73"/>
          <w:sz w:val="32"/>
        </w:rPr>
        <w:t>1. Executive Summary &amp; Core Philosophy</w:t>
      </w:r>
    </w:p>
    <w:p>
      <w:pPr>
        <w:spacing w:before="0" w:after="80" w:line="276" w:lineRule="auto"/>
      </w:pPr>
      <w:r>
        <w:rPr>
          <w:color w:val="283237"/>
        </w:rPr>
        <w:t>Modern service facilities—such as university registrars, public healthcare desks, examination offices, and citizen service centers—frequently suffer from two disjointed paradigms: static calendar appointments that fail to adapt when physical service desks experience delays, and chaotic physical walk-in queues that force visitors into crowded waiting rooms without visibility into arrival times or expected service delays.</w:t>
      </w:r>
    </w:p>
    <w:p>
      <w:pPr>
        <w:spacing w:before="0" w:after="80" w:line="276" w:lineRule="auto"/>
      </w:pPr>
      <w:r>
        <w:rPr>
          <w:color w:val="283237"/>
        </w:rPr>
        <w:t>QueueFlow is an enterprise-grade digital queue and appointment operating platform designed to overcome these challenges. Rather than operating as a passive calendar, QueueFlow unifies scheduled bookings, real-time walk-in tokens, staff desk routing, dynamic queue estimation, and comprehensive analytics into a single authoritative transactional backend.</w:t>
      </w:r>
    </w:p>
    <w:tbl>
      <w:tblPr>
        <w:tblW w:type="auto" w:w="0"/>
        <w:jc w:val="center"/>
        <w:tblLook w:firstColumn="1" w:firstRow="1" w:lastColumn="0" w:lastRow="0" w:noHBand="0" w:noVBand="1" w:val="04A0"/>
      </w:tblPr>
      <w:tblGrid>
        <w:gridCol w:w="9360"/>
      </w:tblGrid>
      <w:tr>
        <w:tc>
          <w:tcPr>
            <w:tcW w:type="dxa" w:w="9360"/>
            <w:shd w:fill="EBF5F2"/>
            <w:tcMar>
              <w:top w:w="140" w:type="dxa"/>
              <w:bottom w:w="140" w:type="dxa"/>
              <w:left w:w="200" w:type="dxa"/>
              <w:right w:w="200" w:type="dxa"/>
            </w:tcMar>
            <w:tcBorders>
              <w:top w:val="none"/>
              <w:left w:val="single" w:sz="24" w:space="0" w:color="087F73"/>
              <w:bottom w:val="none"/>
              <w:right w:val="none"/>
            </w:tcBorders>
          </w:tcPr>
          <w:p>
            <w:pPr>
              <w:spacing w:before="40" w:after="80"/>
            </w:pPr>
            <w:r>
              <w:rPr>
                <w:rFonts w:ascii="Calibri" w:hAnsi="Calibri"/>
                <w:b/>
                <w:color w:val="087F73"/>
                <w:sz w:val="20"/>
              </w:rPr>
              <w:t>■ MANDATORY OPERATIONAL WORKFLOW</w:t>
              <w:br/>
            </w:r>
            <w:r>
              <w:rPr>
                <w:rFonts w:ascii="Calibri" w:hAnsi="Calibri"/>
                <w:color w:val="172C31"/>
                <w:sz w:val="20"/>
              </w:rPr>
              <w:t>The Complete End-to-End Operational Lifecycle:</w:t>
              <w:br/>
              <w:br/>
              <w:t>User Selects Service  ➔  Books Appointment or Gets Token  ➔  Receives Queue Position  ➔  Waiting Time Estimated  ➔  Staff Calls User  ➔  Service Completed  ➔  Analytics Updated</w:t>
              <w:br/>
              <w:br/>
              <w:t>Every single step in this cycle is strictly verified and synchronized: slots reserve capacity transactionally, checked-in appointments dynamically merge with walk-ins under fairness rules, counters claim customers exclusively, and operational metrics update immediately across role-scoped dashboards.</w:t>
            </w:r>
          </w:p>
        </w:tc>
      </w:tr>
    </w:tbl>
    <w:p/>
    <w:p>
      <w:pPr>
        <w:pStyle w:val="Heading1"/>
        <w:keepNext/>
        <w:spacing w:before="360" w:after="120"/>
      </w:pPr>
      <w:r>
        <w:rPr>
          <w:rFonts w:ascii="Arial" w:hAnsi="Arial"/>
          <w:b/>
          <w:color w:val="087F73"/>
          <w:sz w:val="32"/>
        </w:rPr>
        <w:t>2. End-to-End Operational Lifecycle</w:t>
      </w:r>
    </w:p>
    <w:p>
      <w:pPr>
        <w:spacing w:before="0" w:after="80" w:line="276" w:lineRule="auto"/>
      </w:pPr>
      <w:r>
        <w:rPr>
          <w:color w:val="283237"/>
        </w:rPr>
        <w:t>The lifecycle executes as an uninterrupted, reliable sequence backed by persistent PostgreSQL state:</w:t>
      </w:r>
    </w:p>
    <w:p>
      <w:pPr>
        <w:pStyle w:val="Heading2"/>
        <w:keepNext/>
        <w:spacing w:before="260" w:after="80"/>
      </w:pPr>
      <w:r>
        <w:rPr>
          <w:rFonts w:ascii="Arial" w:hAnsi="Arial"/>
          <w:b/>
          <w:color w:val="172C31"/>
          <w:sz w:val="26"/>
        </w:rPr>
        <w:t>Step 1: Service &amp; Department Selection</w:t>
      </w:r>
    </w:p>
    <w:p>
      <w:pPr>
        <w:spacing w:before="0" w:after="80" w:line="276" w:lineRule="auto"/>
      </w:pPr>
      <w:r>
        <w:rPr>
          <w:color w:val="283237"/>
        </w:rPr>
        <w:t>Customers authenticate through a responsive web portal and select from active organizational departments and services (e.g., Student Affairs: Document Verification, New Registration; Examination Office: Queries). The platform evaluates department operating schedules, active shifts, working days, and closure calendars to display eligible booking and queueing options.</w:t>
      </w:r>
    </w:p>
    <w:p>
      <w:pPr>
        <w:pStyle w:val="Heading2"/>
        <w:keepNext/>
        <w:spacing w:before="260" w:after="80"/>
      </w:pPr>
      <w:r>
        <w:rPr>
          <w:rFonts w:ascii="Arial" w:hAnsi="Arial"/>
          <w:b/>
          <w:color w:val="172C31"/>
          <w:sz w:val="26"/>
        </w:rPr>
        <w:t>Step 2: Appointment Booking or Walk-in Token Issuance</w:t>
      </w:r>
    </w:p>
    <w:p>
      <w:pPr>
        <w:pStyle w:val="ListBullet"/>
        <w:spacing w:before="20" w:after="60" w:line="276" w:lineRule="auto"/>
      </w:pPr>
      <w:r>
        <w:rPr>
          <w:b/>
          <w:color w:val="172C31"/>
        </w:rPr>
        <w:t xml:space="preserve">Scheduled Path: </w:t>
      </w:r>
      <w:r>
        <w:rPr>
          <w:color w:val="283237"/>
        </w:rPr>
        <w:t xml:space="preserve">Appointment Booking: </w:t>
      </w:r>
    </w:p>
    <w:p>
      <w:pPr>
        <w:spacing w:before="0" w:after="80" w:line="276" w:lineRule="auto"/>
      </w:pPr>
      <w:r>
        <w:rPr>
          <w:color w:val="283237"/>
        </w:rPr>
        <w:t>The customer selects an available time slot. The backend algorithm calculates shared department capacity across compatible staffed counters, ensures the user has no overlapping reservations, enforces daily booking limits, and transactionally creates a confirmed appointment with an immutable reference code (e.g., AP-8F4A19B2).</w:t>
      </w:r>
    </w:p>
    <w:p>
      <w:pPr>
        <w:pStyle w:val="ListBullet"/>
        <w:spacing w:before="20" w:after="60" w:line="276" w:lineRule="auto"/>
      </w:pPr>
      <w:r>
        <w:rPr>
          <w:b/>
          <w:color w:val="172C31"/>
        </w:rPr>
        <w:t xml:space="preserve">Walk-in Path: </w:t>
      </w:r>
      <w:r>
        <w:rPr>
          <w:color w:val="283237"/>
        </w:rPr>
        <w:t xml:space="preserve">Walk-In Digital Token: </w:t>
      </w:r>
    </w:p>
    <w:p>
      <w:pPr>
        <w:spacing w:before="0" w:after="80" w:line="276" w:lineRule="auto"/>
      </w:pPr>
      <w:r>
        <w:rPr>
          <w:color w:val="283237"/>
        </w:rPr>
        <w:t>Customers arriving on-site request a digital queue token. The system verifies open department hours, ensures counter availability, checks active user token limits, and atomically increments the service-day sequence, issuing a formatted alphanumeric token (e.g., DV-001, NR-004).</w:t>
      </w:r>
    </w:p>
    <w:p>
      <w:pPr>
        <w:pStyle w:val="Heading2"/>
        <w:keepNext/>
        <w:spacing w:before="260" w:after="80"/>
      </w:pPr>
      <w:r>
        <w:rPr>
          <w:rFonts w:ascii="Arial" w:hAnsi="Arial"/>
          <w:b/>
          <w:color w:val="172C31"/>
          <w:sz w:val="26"/>
        </w:rPr>
        <w:t>Step 3: Check-In Validation &amp; Queue Ingestion</w:t>
      </w:r>
    </w:p>
    <w:p>
      <w:pPr>
        <w:spacing w:before="0" w:after="80" w:line="276" w:lineRule="auto"/>
      </w:pPr>
      <w:r>
        <w:rPr>
          <w:color w:val="283237"/>
        </w:rPr>
        <w:t>For scheduled visits, customers check in within a configurable arrival window (e.g., -10 to +10 minutes from start). Upon check-in, an authoritative queue token is generated and linked to the appointment. Its calling eligibility is strictly clamped to no earlier than the scheduled start time, preventing early arrivals from unfairly bypassing already-waiting visitors.</w:t>
      </w:r>
    </w:p>
    <w:p>
      <w:pPr>
        <w:pStyle w:val="Heading2"/>
        <w:keepNext/>
        <w:spacing w:before="260" w:after="80"/>
      </w:pPr>
      <w:r>
        <w:rPr>
          <w:rFonts w:ascii="Arial" w:hAnsi="Arial"/>
          <w:b/>
          <w:color w:val="172C31"/>
          <w:sz w:val="26"/>
        </w:rPr>
        <w:t>Step 4: Dynamic Queue Ordering &amp; Waiting-Time Estimation</w:t>
      </w:r>
    </w:p>
    <w:p>
      <w:pPr>
        <w:spacing w:before="0" w:after="80" w:line="276" w:lineRule="auto"/>
      </w:pPr>
      <w:r>
        <w:rPr>
          <w:color w:val="283237"/>
        </w:rPr>
        <w:t>The queue engine continuously sorts waiting customers using a deterministic mixed priority algorithm: checked-in appointments are given priority as their time arrives, while a fairness threshold (e.g., 20 minutes) dynamically elevates long-waiting walk-in tokens to prevent starvation. Customers receive their live position (number of people ahead) and an updated waiting-time estimate calculated from remaining active service time and completed duration history.</w:t>
      </w:r>
    </w:p>
    <w:p>
      <w:pPr>
        <w:pStyle w:val="Heading2"/>
        <w:keepNext/>
        <w:spacing w:before="260" w:after="80"/>
      </w:pPr>
      <w:r>
        <w:rPr>
          <w:rFonts w:ascii="Arial" w:hAnsi="Arial"/>
          <w:b/>
          <w:color w:val="172C31"/>
          <w:sz w:val="26"/>
        </w:rPr>
        <w:t>Step 5: Atomic Staff Calling &amp; Public Broadcast</w:t>
      </w:r>
    </w:p>
    <w:p>
      <w:pPr>
        <w:spacing w:before="0" w:after="80" w:line="276" w:lineRule="auto"/>
      </w:pPr>
      <w:r>
        <w:rPr>
          <w:color w:val="283237"/>
        </w:rPr>
        <w:t>When an active counter becomes available, the serving staff clicks 'Call Next'. Under an organization-wide transactional row lock, the backend evaluates all eligible waiting tokens compatible with that counter's skill assignments, claims exactly one token, sets the counter state to BUSY, snapshots the serving staff ID, and broadcasts the event to the customer's dashboard and the public counter display board (/display) within 5 seconds.</w:t>
      </w:r>
    </w:p>
    <w:p>
      <w:pPr>
        <w:pStyle w:val="Heading2"/>
        <w:keepNext/>
        <w:spacing w:before="260" w:after="80"/>
      </w:pPr>
      <w:r>
        <w:rPr>
          <w:rFonts w:ascii="Arial" w:hAnsi="Arial"/>
          <w:b/>
          <w:color w:val="172C31"/>
          <w:sz w:val="26"/>
        </w:rPr>
        <w:t>Step 6: Service Execution &amp; Status Synchronization</w:t>
      </w:r>
    </w:p>
    <w:p>
      <w:pPr>
        <w:spacing w:before="0" w:after="80" w:line="276" w:lineRule="auto"/>
      </w:pPr>
      <w:r>
        <w:rPr>
          <w:color w:val="283237"/>
        </w:rPr>
        <w:t>The staff member marks 'Start Service' upon customer arrival at the counter, recording the actual start timestamp. When the consultation concludes, staff clicks 'Complete Service'. The linked token and appointment transition simultaneously to COMPLETED, recording observed service duration and freeing the counter back to AVAILABLE for the next visitor.</w:t>
      </w:r>
    </w:p>
    <w:p>
      <w:pPr>
        <w:pStyle w:val="Heading2"/>
        <w:keepNext/>
        <w:spacing w:before="260" w:after="80"/>
      </w:pPr>
      <w:r>
        <w:rPr>
          <w:rFonts w:ascii="Arial" w:hAnsi="Arial"/>
          <w:b/>
          <w:color w:val="172C31"/>
          <w:sz w:val="26"/>
        </w:rPr>
        <w:t>Step 7: Real-Time Analytics &amp; Feedback Updates</w:t>
      </w:r>
    </w:p>
    <w:p>
      <w:pPr>
        <w:spacing w:before="0" w:after="80" w:line="276" w:lineRule="auto"/>
      </w:pPr>
      <w:r>
        <w:rPr>
          <w:color w:val="283237"/>
        </w:rPr>
        <w:t>Completion triggers immediate downstream analytics recalculations: observed waiting times, average service durations, hourly arrival distributions, and staff workload tallies update in real time for Department Managers and Organization Administrators.</w:t>
      </w:r>
    </w:p>
    <w:tbl>
      <w:tblPr>
        <w:tblW w:type="auto" w:w="0"/>
        <w:jc w:val="center"/>
        <w:tblLook w:firstColumn="1" w:firstRow="1" w:lastColumn="0" w:lastRow="0" w:noHBand="0" w:noVBand="1" w:val="04A0"/>
        <w:tblBorders>
          <w:top w:val="single" w:sz="4" w:space="0" w:color="DCE5E7"/>
          <w:bottom w:val="single" w:sz="4" w:space="0" w:color="DCE5E7"/>
          <w:left w:val="none"/>
          <w:right w:val="none"/>
          <w:insideH w:val="single" w:sz="4" w:space="0" w:color="DCE5E7"/>
          <w:insideV w:val="none"/>
        </w:tblBorders>
      </w:tblPr>
      <w:tblGrid>
        <w:gridCol w:w="2340"/>
        <w:gridCol w:w="2340"/>
        <w:gridCol w:w="2340"/>
        <w:gridCol w:w="2340"/>
      </w:tblGrid>
      <w:tr>
        <w:tc>
          <w:tcPr>
            <w:tcW w:type="dxa" w:w="2340"/>
            <w:vAlign w:val="center"/>
            <w:shd w:fill="087F73"/>
            <w:tcMar>
              <w:top w:w="120" w:type="dxa"/>
              <w:bottom w:w="120" w:type="dxa"/>
              <w:left w:w="160" w:type="dxa"/>
              <w:right w:w="160" w:type="dxa"/>
            </w:tcMar>
          </w:tcPr>
          <w:p>
            <w:pPr>
              <w:spacing w:before="40" w:after="40"/>
            </w:pPr>
            <w:r>
              <w:rPr>
                <w:rFonts w:ascii="Calibri" w:hAnsi="Calibri"/>
                <w:b/>
                <w:color w:val="FFFFFF"/>
                <w:sz w:val="20"/>
              </w:rPr>
              <w:t>Stage</w:t>
            </w:r>
          </w:p>
        </w:tc>
        <w:tc>
          <w:tcPr>
            <w:tcW w:type="dxa" w:w="2340"/>
            <w:vAlign w:val="center"/>
            <w:shd w:fill="087F73"/>
            <w:tcMar>
              <w:top w:w="120" w:type="dxa"/>
              <w:bottom w:w="120" w:type="dxa"/>
              <w:left w:w="160" w:type="dxa"/>
              <w:right w:w="160" w:type="dxa"/>
            </w:tcMar>
          </w:tcPr>
          <w:p>
            <w:pPr>
              <w:spacing w:before="40" w:after="40"/>
            </w:pPr>
            <w:r>
              <w:rPr>
                <w:rFonts w:ascii="Calibri" w:hAnsi="Calibri"/>
                <w:b/>
                <w:color w:val="FFFFFF"/>
                <w:sz w:val="20"/>
              </w:rPr>
              <w:t>Actor</w:t>
            </w:r>
          </w:p>
        </w:tc>
        <w:tc>
          <w:tcPr>
            <w:tcW w:type="dxa" w:w="2340"/>
            <w:vAlign w:val="center"/>
            <w:shd w:fill="087F73"/>
            <w:tcMar>
              <w:top w:w="120" w:type="dxa"/>
              <w:bottom w:w="120" w:type="dxa"/>
              <w:left w:w="160" w:type="dxa"/>
              <w:right w:w="160" w:type="dxa"/>
            </w:tcMar>
          </w:tcPr>
          <w:p>
            <w:pPr>
              <w:spacing w:before="40" w:after="40"/>
            </w:pPr>
            <w:r>
              <w:rPr>
                <w:rFonts w:ascii="Calibri" w:hAnsi="Calibri"/>
                <w:b/>
                <w:color w:val="FFFFFF"/>
                <w:sz w:val="20"/>
              </w:rPr>
              <w:t>System Action</w:t>
            </w:r>
          </w:p>
        </w:tc>
        <w:tc>
          <w:tcPr>
            <w:tcW w:type="dxa" w:w="2340"/>
            <w:vAlign w:val="center"/>
            <w:shd w:fill="087F73"/>
            <w:tcMar>
              <w:top w:w="120" w:type="dxa"/>
              <w:bottom w:w="120" w:type="dxa"/>
              <w:left w:w="160" w:type="dxa"/>
              <w:right w:w="160" w:type="dxa"/>
            </w:tcMar>
          </w:tcPr>
          <w:p>
            <w:pPr>
              <w:spacing w:before="40" w:after="40"/>
            </w:pPr>
            <w:r>
              <w:rPr>
                <w:rFonts w:ascii="Calibri" w:hAnsi="Calibri"/>
                <w:b/>
                <w:color w:val="FFFFFF"/>
                <w:sz w:val="20"/>
              </w:rPr>
              <w:t>Persisted State</w:t>
            </w:r>
          </w:p>
        </w:tc>
      </w:tr>
      <w:tr>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1. Service Discovery</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Customer</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Queries catalog &amp; active shifts</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Filtered services returned</w:t>
            </w:r>
          </w:p>
        </w:tc>
      </w:tr>
      <w:tr>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2. Reservation / Entry</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Customer</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Reserves slot or generates walk-in</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APPOINTMENTS (CONFIRMED) / TOKENS (WAITING)</w:t>
            </w:r>
          </w:p>
        </w:tc>
      </w:tr>
      <w:tr>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3. Arrival Check-In</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Customer / Staff</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Validates arrival time window</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APPOINTMENTS (CHECKED_IN ➔ WAITING)</w:t>
            </w:r>
          </w:p>
        </w:tc>
      </w:tr>
      <w:tr>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4. Priority Sort &amp; Est.</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Queue Engine</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Calculates rank &amp; wait time</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Derived queue score &amp; wait minutes</w:t>
            </w:r>
          </w:p>
        </w:tc>
      </w:tr>
      <w:tr>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5. Call Customer</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Staff</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Atomic token claim &amp; counter busy</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TOKENS (CALLED), COUNTERS (BUSY)</w:t>
            </w:r>
          </w:p>
        </w:tc>
      </w:tr>
      <w:tr>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6. Service Lifecycle</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Staff</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Starts and finishes consultation</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TOKENS &amp; APPOINTMENTS (COMPLETED)</w:t>
            </w:r>
          </w:p>
        </w:tc>
      </w:tr>
      <w:tr>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7. Analytics Refresh</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Analytics Engine</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Aggregates wait &amp; service metrics</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Hourly snapshots &amp; daily performance KPIs</w:t>
            </w:r>
          </w:p>
        </w:tc>
      </w:tr>
    </w:tbl>
    <w:p/>
    <w:p>
      <w:pPr>
        <w:pStyle w:val="Heading1"/>
        <w:keepNext/>
        <w:spacing w:before="360" w:after="120"/>
      </w:pPr>
      <w:r>
        <w:rPr>
          <w:rFonts w:ascii="Arial" w:hAnsi="Arial"/>
          <w:b/>
          <w:color w:val="087F73"/>
          <w:sz w:val="32"/>
        </w:rPr>
        <w:t>3. Unified Core Modules &amp; System Architecture</w:t>
      </w:r>
    </w:p>
    <w:p>
      <w:pPr>
        <w:spacing w:before="0" w:after="80" w:line="276" w:lineRule="auto"/>
      </w:pPr>
      <w:r>
        <w:rPr>
          <w:color w:val="283237"/>
        </w:rPr>
        <w:t>QueueFlow is strictly engineered not to degenerate into a basic calendar. It unifies twelve interconnected operational modules, each addressing a critical layer of modern customer flow:</w:t>
      </w:r>
    </w:p>
    <w:p>
      <w:pPr>
        <w:pStyle w:val="ListBullet"/>
        <w:spacing w:before="20" w:after="60" w:line="276" w:lineRule="auto"/>
      </w:pPr>
      <w:r>
        <w:rPr>
          <w:b/>
          <w:color w:val="172C31"/>
        </w:rPr>
        <w:t xml:space="preserve">1. Appointment Scheduling: </w:t>
      </w:r>
      <w:r>
        <w:rPr>
          <w:color w:val="283237"/>
        </w:rPr>
        <w:t>Generates granular duration-based slots, accounts for departmental breaks and holiday closures, enforces conservative capacity across shared counters, and supports atomic rescheduling with automated rollback upon contention.</w:t>
      </w:r>
    </w:p>
    <w:p>
      <w:pPr>
        <w:pStyle w:val="ListBullet"/>
        <w:spacing w:before="20" w:after="60" w:line="276" w:lineRule="auto"/>
      </w:pPr>
      <w:r>
        <w:rPr>
          <w:b/>
          <w:color w:val="172C31"/>
        </w:rPr>
        <w:t xml:space="preserve">2. Walk-In Digital Queue: </w:t>
      </w:r>
      <w:r>
        <w:rPr>
          <w:color w:val="283237"/>
        </w:rPr>
        <w:t>Allows on-demand queue token issuance without prior booking. Operates daily monotonic token counters with service prefixes (e.g., EX-001) and restricts active tokens per customer.</w:t>
      </w:r>
    </w:p>
    <w:p>
      <w:pPr>
        <w:pStyle w:val="ListBullet"/>
        <w:spacing w:before="20" w:after="60" w:line="276" w:lineRule="auto"/>
      </w:pPr>
      <w:r>
        <w:rPr>
          <w:b/>
          <w:color w:val="172C31"/>
        </w:rPr>
        <w:t xml:space="preserve">3. Dynamic Token Generation: </w:t>
      </w:r>
      <w:r>
        <w:rPr>
          <w:color w:val="283237"/>
        </w:rPr>
        <w:t>Generates collision-free, human-readable token identities backed by cryptographically secure UUID keys and composite uniqueness constraints (service_id + day + sequence).</w:t>
      </w:r>
    </w:p>
    <w:p>
      <w:pPr>
        <w:pStyle w:val="ListBullet"/>
        <w:spacing w:before="20" w:after="60" w:line="276" w:lineRule="auto"/>
      </w:pPr>
      <w:r>
        <w:rPr>
          <w:b/>
          <w:color w:val="172C31"/>
        </w:rPr>
        <w:t xml:space="preserve">4. Live Queue Position &amp; Wait Estimation: </w:t>
      </w:r>
      <w:r>
        <w:rPr>
          <w:color w:val="283237"/>
        </w:rPr>
        <w:t>Calculates actual callable queue depth (people ahead) rather than naive subtraction of token numbers, combining remaining active consultation time with recent completed service duration averages.</w:t>
      </w:r>
    </w:p>
    <w:p>
      <w:pPr>
        <w:pStyle w:val="ListBullet"/>
        <w:spacing w:before="20" w:after="60" w:line="276" w:lineRule="auto"/>
      </w:pPr>
      <w:r>
        <w:rPr>
          <w:b/>
          <w:color w:val="172C31"/>
        </w:rPr>
        <w:t xml:space="preserve">5. Counter Management: </w:t>
      </w:r>
      <w:r>
        <w:rPr>
          <w:color w:val="283237"/>
        </w:rPr>
        <w:t>Tracks multi-counter states (AVAILABLE, BUSY, BREAK, CLOSED) with assigned staff members and mapped service capabilities. Pausing a counter automatically triggers waiting estimate recalculations.</w:t>
      </w:r>
    </w:p>
    <w:p>
      <w:pPr>
        <w:pStyle w:val="ListBullet"/>
        <w:spacing w:before="20" w:after="60" w:line="276" w:lineRule="auto"/>
      </w:pPr>
      <w:r>
        <w:rPr>
          <w:b/>
          <w:color w:val="172C31"/>
        </w:rPr>
        <w:t xml:space="preserve">6. Staff Operations Console: </w:t>
      </w:r>
      <w:r>
        <w:rPr>
          <w:color w:val="283237"/>
        </w:rPr>
        <w:t>Dedicated staff desk interface providing one-click Call Next, Start Service, Complete Service, Skip, and Recall actions, bound strictly to the staff member's assigned counter.</w:t>
      </w:r>
    </w:p>
    <w:p>
      <w:pPr>
        <w:pStyle w:val="ListBullet"/>
        <w:spacing w:before="20" w:after="60" w:line="276" w:lineRule="auto"/>
      </w:pPr>
      <w:r>
        <w:rPr>
          <w:b/>
          <w:color w:val="172C31"/>
        </w:rPr>
        <w:t xml:space="preserve">7. Arrival Check-In Enforcement: </w:t>
      </w:r>
      <w:r>
        <w:rPr>
          <w:color w:val="283237"/>
        </w:rPr>
        <w:t>Enforces strict arrival windows (e.g., -10m to +10m). Clamps early check-in call eligibility to scheduled start time, preventing calendar jumping.</w:t>
      </w:r>
    </w:p>
    <w:p>
      <w:pPr>
        <w:pStyle w:val="ListBullet"/>
        <w:spacing w:before="20" w:after="60" w:line="276" w:lineRule="auto"/>
      </w:pPr>
      <w:r>
        <w:rPr>
          <w:b/>
          <w:color w:val="172C31"/>
        </w:rPr>
        <w:t xml:space="preserve">8. Robust No-Show &amp; Abandonment Handling: </w:t>
      </w:r>
      <w:r>
        <w:rPr>
          <w:color w:val="283237"/>
        </w:rPr>
        <w:t>A scheduled minute worker marks unchecked-in bookings as MISSED past their arrival deadline, while staff can flag unresponsive called visitors as MISSED after the configured customer response timeout.</w:t>
      </w:r>
    </w:p>
    <w:p>
      <w:pPr>
        <w:pStyle w:val="ListBullet"/>
        <w:spacing w:before="20" w:after="60" w:line="276" w:lineRule="auto"/>
      </w:pPr>
      <w:r>
        <w:rPr>
          <w:b/>
          <w:color w:val="172C31"/>
        </w:rPr>
        <w:t xml:space="preserve">9. Omnichannel Notifications: </w:t>
      </w:r>
      <w:r>
        <w:rPr>
          <w:color w:val="283237"/>
        </w:rPr>
        <w:t>Persistent in-app notification inbox with read/unread flags and event deduplication keys. Optional SMTP email transport for booking confirmations, reminders, and secure password resets.</w:t>
      </w:r>
    </w:p>
    <w:p>
      <w:pPr>
        <w:pStyle w:val="ListBullet"/>
        <w:spacing w:before="20" w:after="60" w:line="276" w:lineRule="auto"/>
      </w:pPr>
      <w:r>
        <w:rPr>
          <w:b/>
          <w:color w:val="172C31"/>
        </w:rPr>
        <w:t xml:space="preserve">10. Public Counter Display (/display): </w:t>
      </w:r>
      <w:r>
        <w:rPr>
          <w:color w:val="283237"/>
        </w:rPr>
        <w:t>Dedicated television/kiosk dashboard for public waiting lobbies. Displays currently called token numbers and target counters without exposing any private visitor details or phone numbers.</w:t>
      </w:r>
    </w:p>
    <w:p>
      <w:pPr>
        <w:pStyle w:val="ListBullet"/>
        <w:spacing w:before="20" w:after="60" w:line="276" w:lineRule="auto"/>
      </w:pPr>
      <w:r>
        <w:rPr>
          <w:b/>
          <w:color w:val="172C31"/>
        </w:rPr>
        <w:t xml:space="preserve">11. Scoped Dashboards &amp; Analytics: </w:t>
      </w:r>
      <w:r>
        <w:rPr>
          <w:color w:val="283237"/>
        </w:rPr>
        <w:t>Role-scoped business intelligence providing average wait times, consultation durations, busiest hours, staff workloads, cancellation rates, and 7-day volume trends.</w:t>
      </w:r>
    </w:p>
    <w:p>
      <w:pPr>
        <w:pStyle w:val="ListBullet"/>
        <w:spacing w:before="20" w:after="60" w:line="276" w:lineRule="auto"/>
      </w:pPr>
      <w:r>
        <w:rPr>
          <w:b/>
          <w:color w:val="172C31"/>
        </w:rPr>
        <w:t xml:space="preserve">12. Cloud Web &amp; Mobile Responsive Deployment: </w:t>
      </w:r>
      <w:r>
        <w:rPr>
          <w:color w:val="283237"/>
        </w:rPr>
        <w:t>Responsive single-page application built on Next.js 16 and React 19, deployed serverless on Vercel with high-concurrency PostgreSQL hosted on Neon with connection pooling and SSL encryption.</w:t>
      </w:r>
    </w:p>
    <w:p/>
    <w:p>
      <w:pPr>
        <w:pStyle w:val="Heading1"/>
        <w:keepNext/>
        <w:spacing w:before="360" w:after="120"/>
      </w:pPr>
      <w:r>
        <w:rPr>
          <w:rFonts w:ascii="Arial" w:hAnsi="Arial"/>
          <w:b/>
          <w:color w:val="087F73"/>
          <w:sz w:val="32"/>
        </w:rPr>
        <w:t>4. Advanced &amp; Additional AI Features</w:t>
      </w:r>
    </w:p>
    <w:p>
      <w:pPr>
        <w:spacing w:before="0" w:after="80" w:line="276" w:lineRule="auto"/>
      </w:pPr>
      <w:r>
        <w:rPr>
          <w:color w:val="283237"/>
        </w:rPr>
        <w:t>While QueueFlow's baseline system utilizes robust deterministic algorithms, the platform is architecturally equipped with comprehensive machine learning and statistical AI frameworks to elevate facility management to predictive, self-optimizing performance. Below is the full technical specification for the seven advanced AI capabilities:</w:t>
      </w:r>
    </w:p>
    <w:p>
      <w:pPr>
        <w:pStyle w:val="Heading2"/>
        <w:keepNext/>
        <w:spacing w:before="260" w:after="80"/>
      </w:pPr>
      <w:r>
        <w:rPr>
          <w:rFonts w:ascii="Arial" w:hAnsi="Arial"/>
          <w:b/>
          <w:color w:val="172C31"/>
          <w:sz w:val="26"/>
        </w:rPr>
        <w:t>4.1 Waiting-Time Prediction (Dynamic Queue AI)</w:t>
      </w:r>
    </w:p>
    <w:p>
      <w:pPr>
        <w:spacing w:before="0" w:after="80" w:line="276" w:lineRule="auto"/>
      </w:pPr>
      <w:r>
        <w:rPr>
          <w:color w:val="283237"/>
        </w:rPr>
        <w:t>Conventional queue systems calculate waiting times using static formulaic averages (e.g., number of people ahead multiplied by nominal service duration). In reality, wait times vary widely based on staff skill level, time of day, customer document complexity, and active counter interruptions.</w:t>
      </w:r>
    </w:p>
    <w:p>
      <w:pPr>
        <w:pStyle w:val="ListBullet"/>
        <w:spacing w:before="20" w:after="60" w:line="276" w:lineRule="auto"/>
      </w:pPr>
      <w:r>
        <w:rPr>
          <w:b/>
          <w:color w:val="172C31"/>
        </w:rPr>
        <w:t xml:space="preserve">Machine Learning Formulation: </w:t>
      </w:r>
      <w:r>
        <w:rPr>
          <w:color w:val="283237"/>
        </w:rPr>
        <w:t xml:space="preserve">Predictive Model Architecture: </w:t>
      </w:r>
    </w:p>
    <w:p>
      <w:pPr>
        <w:spacing w:before="0" w:after="80" w:line="276" w:lineRule="auto"/>
      </w:pPr>
      <w:r>
        <w:rPr>
          <w:color w:val="283237"/>
        </w:rPr>
        <w:t>QueueFlow employs a Gradient Boosted Decision Tree (LightGBM / XGBoost) regression model that predicts the expected waiting time W_i for waiting visitor i. The feature vector x_i includes: (1) Position in eligible queue, (2) Active compatible counter count C_active, (3) Elapsed time of currently serving customers at active counters t_elapsed, (4) Historical rolling 30-day mean and variance of service duration for the requested service, (5) Staff historical efficiency index, (6) Arrival hour and day-of-week cyclical features (sin/cos encoding).</w:t>
      </w:r>
    </w:p>
    <w:p>
      <w:pPr>
        <w:pStyle w:val="ListBullet"/>
        <w:spacing w:before="20" w:after="60" w:line="276" w:lineRule="auto"/>
      </w:pPr>
      <w:r>
        <w:rPr>
          <w:b/>
          <w:color w:val="172C31"/>
        </w:rPr>
        <w:t xml:space="preserve">Algorithmic Foundation: </w:t>
      </w:r>
      <w:r>
        <w:rPr>
          <w:color w:val="283237"/>
        </w:rPr>
        <w:t xml:space="preserve">Mathematical Formulation: </w:t>
      </w:r>
    </w:p>
    <w:p>
      <w:pPr>
        <w:spacing w:before="0" w:after="80" w:line="276" w:lineRule="auto"/>
      </w:pPr>
      <w:r>
        <w:rPr>
          <w:color w:val="283237"/>
        </w:rPr>
        <w:t>Baseline estimate: W_baseline = max(0, (Sum(d_k) - Sum(t_elapsed_c)) / C_active). The AI model trains on historical residuals: W_actual = W_baseline + f_ML(x_i) + epsilon. This ensures the prediction adapts to real-world friction while remaining bounded by physical realities.</w:t>
      </w:r>
    </w:p>
    <w:p>
      <w:pPr>
        <w:pStyle w:val="ListBullet"/>
        <w:spacing w:before="20" w:after="60" w:line="276" w:lineRule="auto"/>
      </w:pPr>
      <w:r>
        <w:rPr>
          <w:b/>
          <w:color w:val="172C31"/>
        </w:rPr>
        <w:t xml:space="preserve">Graceful Degradation: </w:t>
      </w:r>
      <w:r>
        <w:rPr>
          <w:color w:val="283237"/>
        </w:rPr>
        <w:t xml:space="preserve">Fallback Mechanism: </w:t>
      </w:r>
    </w:p>
    <w:p>
      <w:pPr>
        <w:spacing w:before="0" w:after="80" w:line="276" w:lineRule="auto"/>
      </w:pPr>
      <w:r>
        <w:rPr>
          <w:color w:val="283237"/>
        </w:rPr>
        <w:t>If real-time model inference is unavailable or cold-start data (&lt;5 completed visits) exists, the system automatically falls back to the deterministic rolling-mean estimator, ensuring zero downtime.</w:t>
      </w:r>
    </w:p>
    <w:p>
      <w:pPr>
        <w:pStyle w:val="Heading2"/>
        <w:keepNext/>
        <w:spacing w:before="260" w:after="80"/>
      </w:pPr>
      <w:r>
        <w:rPr>
          <w:rFonts w:ascii="Arial" w:hAnsi="Arial"/>
          <w:b/>
          <w:color w:val="172C31"/>
          <w:sz w:val="26"/>
        </w:rPr>
        <w:t>4.2 Peak-Hour Prediction &amp; Demand Heatmaps</w:t>
      </w:r>
    </w:p>
    <w:p>
      <w:pPr>
        <w:spacing w:before="0" w:after="80" w:line="276" w:lineRule="auto"/>
      </w:pPr>
      <w:r>
        <w:rPr>
          <w:color w:val="283237"/>
        </w:rPr>
        <w:t>Identifies and forecasts the busiest operational windows for each individual department, enabling managers to prepare counter staffing well in advance.</w:t>
      </w:r>
    </w:p>
    <w:p>
      <w:pPr>
        <w:pStyle w:val="ListBullet"/>
        <w:spacing w:before="20" w:after="60" w:line="276" w:lineRule="auto"/>
      </w:pPr>
      <w:r>
        <w:rPr>
          <w:b/>
          <w:color w:val="172C31"/>
        </w:rPr>
        <w:t xml:space="preserve">Analytical Approach: </w:t>
      </w:r>
      <w:r>
        <w:rPr>
          <w:color w:val="283237"/>
        </w:rPr>
        <w:t xml:space="preserve">Time-Series &amp; Clustering Methodology: </w:t>
      </w:r>
    </w:p>
    <w:p>
      <w:pPr>
        <w:spacing w:before="0" w:after="80" w:line="276" w:lineRule="auto"/>
      </w:pPr>
      <w:r>
        <w:rPr>
          <w:color w:val="283237"/>
        </w:rPr>
        <w:t>QueueFlow aggregates historical visit timestamps into hourly buckets across multiple operational dimensions (day-of-week, week-of-month, seasonal academic/fiscal deadlines). An ensemble of Facebook Prophet and Kernel Density Estimation (KDE) models hourly arrival rate lambda(t, d) for department d at hour t.</w:t>
      </w:r>
    </w:p>
    <w:p>
      <w:pPr>
        <w:pStyle w:val="ListBullet"/>
        <w:spacing w:before="20" w:after="60" w:line="276" w:lineRule="auto"/>
      </w:pPr>
      <w:r>
        <w:rPr>
          <w:b/>
          <w:color w:val="172C31"/>
        </w:rPr>
        <w:t xml:space="preserve">Operational Output: </w:t>
      </w:r>
      <w:r>
        <w:rPr>
          <w:color w:val="283237"/>
        </w:rPr>
        <w:t xml:space="preserve">Strategic Deliverable: </w:t>
      </w:r>
    </w:p>
    <w:p>
      <w:pPr>
        <w:spacing w:before="0" w:after="80" w:line="276" w:lineRule="auto"/>
      </w:pPr>
      <w:r>
        <w:rPr>
          <w:color w:val="283237"/>
        </w:rPr>
        <w:t>Produces a dynamic 7x24 demand heatmap classifying each hour into Low, Moderate, Peak, and Critical congestion states. The system alerts department managers 24 hours prior when an upcoming day exhibits a &gt;80% probability of sustained peak-hour congestion.</w:t>
      </w:r>
    </w:p>
    <w:p>
      <w:pPr>
        <w:pStyle w:val="Heading2"/>
        <w:keepNext/>
        <w:spacing w:before="260" w:after="80"/>
      </w:pPr>
      <w:r>
        <w:rPr>
          <w:rFonts w:ascii="Arial" w:hAnsi="Arial"/>
          <w:b/>
          <w:color w:val="172C31"/>
          <w:sz w:val="26"/>
        </w:rPr>
        <w:t>4.3 No-Show Prediction &amp; Risk Scoring</w:t>
      </w:r>
    </w:p>
    <w:p>
      <w:pPr>
        <w:spacing w:before="0" w:after="80" w:line="276" w:lineRule="auto"/>
      </w:pPr>
      <w:r>
        <w:rPr>
          <w:color w:val="283237"/>
        </w:rPr>
        <w:t>Unattended appointments waste critical counter availability and increase waiting times for walk-in visitors. QueueFlow's AI No-Show Predictor estimates the probability that a booked appointment will fail to check in.</w:t>
      </w:r>
    </w:p>
    <w:p>
      <w:pPr>
        <w:pStyle w:val="ListBullet"/>
        <w:spacing w:before="20" w:after="60" w:line="276" w:lineRule="auto"/>
      </w:pPr>
      <w:r>
        <w:rPr>
          <w:b/>
          <w:color w:val="172C31"/>
        </w:rPr>
        <w:t xml:space="preserve">Predictive Engine: </w:t>
      </w:r>
      <w:r>
        <w:rPr>
          <w:color w:val="283237"/>
        </w:rPr>
        <w:t xml:space="preserve">Binary Classification Model: </w:t>
      </w:r>
    </w:p>
    <w:p>
      <w:pPr>
        <w:spacing w:before="0" w:after="80" w:line="276" w:lineRule="auto"/>
      </w:pPr>
      <w:r>
        <w:rPr>
          <w:color w:val="283237"/>
        </w:rPr>
        <w:t>A regularized Logistic Regression / Random Forest Classifier predicts P(NoShow = 1 | x_booking). Input features comprise: (1) Booking Lead Time (hours elapsed between booking creation and scheduled time), (2) Customer Historical Attendance Rate (past completed vs. missed/cancelled visits), (3) Appointment Time Slot (early morning vs. post-lunch vs. late afternoon), (4) Weather forecast severity index, (5) Service category.</w:t>
      </w:r>
    </w:p>
    <w:p>
      <w:pPr>
        <w:pStyle w:val="ListBullet"/>
        <w:spacing w:before="20" w:after="60" w:line="276" w:lineRule="auto"/>
      </w:pPr>
      <w:r>
        <w:rPr>
          <w:b/>
          <w:color w:val="172C31"/>
        </w:rPr>
        <w:t xml:space="preserve">Ethical Guardrail: </w:t>
      </w:r>
      <w:r>
        <w:rPr>
          <w:color w:val="283237"/>
        </w:rPr>
        <w:t xml:space="preserve">Operational Mitigation Without Unfair Denial: </w:t>
      </w:r>
    </w:p>
    <w:p>
      <w:pPr>
        <w:spacing w:before="0" w:after="80" w:line="276" w:lineRule="auto"/>
      </w:pPr>
      <w:r>
        <w:rPr>
          <w:color w:val="283237"/>
        </w:rPr>
        <w:t>Critically, the AI model never automatically cancels or denies service to high-risk bookings. Instead, it triggers proactive smart interventions: dispatching automated SMS/email confirmation reminders 2 hours prior, and notifying staff desks to anticipate potential slot openings for walk-in absorption.</w:t>
      </w:r>
    </w:p>
    <w:p>
      <w:pPr>
        <w:pStyle w:val="Heading2"/>
        <w:keepNext/>
        <w:spacing w:before="260" w:after="80"/>
      </w:pPr>
      <w:r>
        <w:rPr>
          <w:rFonts w:ascii="Arial" w:hAnsi="Arial"/>
          <w:b/>
          <w:color w:val="172C31"/>
          <w:sz w:val="26"/>
        </w:rPr>
        <w:t>4.4 Smart Staff Recommendation (SLA-Driven Capacity Optimization)</w:t>
      </w:r>
    </w:p>
    <w:p>
      <w:pPr>
        <w:spacing w:before="0" w:after="80" w:line="276" w:lineRule="auto"/>
      </w:pPr>
      <w:r>
        <w:rPr>
          <w:color w:val="283237"/>
        </w:rPr>
        <w:t>Department managers often struggle to determine how many service counters should be opened during different shifts to balance customer wait times against staff burnout.</w:t>
      </w:r>
    </w:p>
    <w:p>
      <w:pPr>
        <w:pStyle w:val="ListBullet"/>
        <w:spacing w:before="20" w:after="60" w:line="276" w:lineRule="auto"/>
      </w:pPr>
      <w:r>
        <w:rPr>
          <w:b/>
          <w:color w:val="172C31"/>
        </w:rPr>
        <w:t xml:space="preserve">Optimization Framework: </w:t>
      </w:r>
      <w:r>
        <w:rPr>
          <w:color w:val="283237"/>
        </w:rPr>
        <w:t xml:space="preserve">Queueing Theory + Prescriptive AI: </w:t>
      </w:r>
    </w:p>
    <w:p>
      <w:pPr>
        <w:spacing w:before="0" w:after="80" w:line="276" w:lineRule="auto"/>
      </w:pPr>
      <w:r>
        <w:rPr>
          <w:color w:val="283237"/>
        </w:rPr>
        <w:t>Combines Erlang-C multi-server queueing formulation with historical arrival forecasts. Given a target Service Level Agreement (e.g., 90% of visitors served within 15 minutes of arrival), the optimization model solves for minimum active counters c*:</w:t>
      </w:r>
    </w:p>
    <w:p>
      <w:pPr>
        <w:spacing w:before="0" w:after="80" w:line="276" w:lineRule="auto"/>
      </w:pPr>
      <w:r>
        <w:rPr>
          <w:color w:val="283237"/>
        </w:rPr>
        <w:t>P(Wait &gt; t_target) = C(c, a) * exp(-(c * mu - lambda) * t_target) &lt;= 0.10, where a = lambda / mu represents traffic intensity, lambda is the predicted hourly arrival rate, and mu is the mean service rate per counter.</w:t>
      </w:r>
    </w:p>
    <w:p>
      <w:pPr>
        <w:pStyle w:val="ListBullet"/>
        <w:spacing w:before="20" w:after="60" w:line="276" w:lineRule="auto"/>
      </w:pPr>
      <w:r>
        <w:rPr>
          <w:b/>
          <w:color w:val="172C31"/>
        </w:rPr>
        <w:t xml:space="preserve">Actionable Recommendation: </w:t>
      </w:r>
      <w:r>
        <w:rPr>
          <w:color w:val="283237"/>
        </w:rPr>
        <w:t xml:space="preserve">Manager Dashboard Integration: </w:t>
      </w:r>
    </w:p>
    <w:p>
      <w:pPr>
        <w:spacing w:before="0" w:after="80" w:line="276" w:lineRule="auto"/>
      </w:pPr>
      <w:r>
        <w:rPr>
          <w:color w:val="283237"/>
        </w:rPr>
        <w:t>The manager console displays real-time shift recommendations, e.g.: 'Tomorrow 10:00–12:00: Expected arrival rate is 32 visitors/hr. Recommend opening 3 counters (currently 2 assigned) to maintain average wait under 12 minutes.'</w:t>
      </w:r>
    </w:p>
    <w:p>
      <w:pPr>
        <w:pStyle w:val="Heading2"/>
        <w:keepNext/>
        <w:spacing w:before="260" w:after="80"/>
      </w:pPr>
      <w:r>
        <w:rPr>
          <w:rFonts w:ascii="Arial" w:hAnsi="Arial"/>
          <w:b/>
          <w:color w:val="172C31"/>
          <w:sz w:val="26"/>
        </w:rPr>
        <w:t>4.5 Service Demand Forecasting</w:t>
      </w:r>
    </w:p>
    <w:p>
      <w:pPr>
        <w:spacing w:before="0" w:after="80" w:line="276" w:lineRule="auto"/>
      </w:pPr>
      <w:r>
        <w:rPr>
          <w:color w:val="283237"/>
        </w:rPr>
        <w:t>Extends peak-hour analysis to individual service offerings, forecasting volume fluctuations for specific transaction types (e.g., 'New Registration' surges at the beginning of an academic semester, while 'Document Collection' peaks following exam periods).</w:t>
      </w:r>
    </w:p>
    <w:p>
      <w:pPr>
        <w:pStyle w:val="ListBullet"/>
        <w:spacing w:before="20" w:after="60" w:line="276" w:lineRule="auto"/>
      </w:pPr>
      <w:r>
        <w:rPr>
          <w:b/>
          <w:color w:val="172C31"/>
        </w:rPr>
        <w:t xml:space="preserve">Multi-Variate Time-Series: </w:t>
      </w:r>
      <w:r>
        <w:rPr>
          <w:color w:val="283237"/>
        </w:rPr>
        <w:t xml:space="preserve">Forecasting Model: </w:t>
      </w:r>
    </w:p>
    <w:p>
      <w:pPr>
        <w:spacing w:before="0" w:after="80" w:line="276" w:lineRule="auto"/>
      </w:pPr>
      <w:r>
        <w:rPr>
          <w:color w:val="283237"/>
        </w:rPr>
        <w:t>Uses Vector Auto-Regression (VAR) and Temporal Convolutional Networks (TCN) to capture cross-service correlations and seasonal cycles. Allows administrators to allocate physical room spaces and specialized staff credentials to high-demand services days before surges occur.</w:t>
      </w:r>
    </w:p>
    <w:p>
      <w:pPr>
        <w:pStyle w:val="Heading2"/>
        <w:keepNext/>
        <w:spacing w:before="260" w:after="80"/>
      </w:pPr>
      <w:r>
        <w:rPr>
          <w:rFonts w:ascii="Arial" w:hAnsi="Arial"/>
          <w:b/>
          <w:color w:val="172C31"/>
          <w:sz w:val="26"/>
        </w:rPr>
        <w:t>4.6 AI Queue Optimization (Dynamic Multi-Skill Counter Load-Balancing)</w:t>
      </w:r>
    </w:p>
    <w:p>
      <w:pPr>
        <w:spacing w:before="0" w:after="80" w:line="276" w:lineRule="auto"/>
      </w:pPr>
      <w:r>
        <w:rPr>
          <w:color w:val="283237"/>
        </w:rPr>
        <w:t>In traditional facilities, counter assignments are rigid: Counter 01 handles Service A, Counter 02 handles Service B. When Service A experiences a sudden influx while Counter 02 sits idle, system efficiency collapses.</w:t>
      </w:r>
    </w:p>
    <w:p>
      <w:pPr>
        <w:pStyle w:val="ListBullet"/>
        <w:spacing w:before="20" w:after="60" w:line="276" w:lineRule="auto"/>
      </w:pPr>
      <w:r>
        <w:rPr>
          <w:b/>
          <w:color w:val="172C31"/>
        </w:rPr>
        <w:t xml:space="preserve">Real-Time Routing: </w:t>
      </w:r>
      <w:r>
        <w:rPr>
          <w:color w:val="283237"/>
        </w:rPr>
        <w:t xml:space="preserve">Bipartite Graph Matching &amp; Dynamic Load Balancing: </w:t>
      </w:r>
    </w:p>
    <w:p>
      <w:pPr>
        <w:spacing w:before="0" w:after="80" w:line="276" w:lineRule="auto"/>
      </w:pPr>
      <w:r>
        <w:rPr>
          <w:color w:val="283237"/>
        </w:rPr>
        <w:t>QueueFlow models waiting visitors and active counters as a bipartite graph G = (V_tokens, V_counters, E), where edges represent counter skill compatibility. When a counter requests the next customer, the AI routing engine solves a maximum-weight matching problem that balances queue age, priority tier, and counter workload to minimize overall facility wait time and eliminate counter idle periods.</w:t>
      </w:r>
    </w:p>
    <w:p>
      <w:pPr>
        <w:pStyle w:val="Heading2"/>
        <w:keepNext/>
        <w:spacing w:before="260" w:after="80"/>
      </w:pPr>
      <w:r>
        <w:rPr>
          <w:rFonts w:ascii="Arial" w:hAnsi="Arial"/>
          <w:b/>
          <w:color w:val="172C31"/>
          <w:sz w:val="26"/>
        </w:rPr>
        <w:t>4.7 AI Management Insights (Automated Natural Language Synthesis)</w:t>
      </w:r>
    </w:p>
    <w:p>
      <w:pPr>
        <w:spacing w:before="0" w:after="80" w:line="276" w:lineRule="auto"/>
      </w:pPr>
      <w:r>
        <w:rPr>
          <w:color w:val="283237"/>
        </w:rPr>
        <w:t>Translates raw operational databases into clear, executive-ready textual briefings, enabling managers to understand facility bottlenecks without interpreting complex statistical tables.</w:t>
      </w:r>
    </w:p>
    <w:p>
      <w:pPr>
        <w:pStyle w:val="ListBullet"/>
        <w:spacing w:before="20" w:after="60" w:line="276" w:lineRule="auto"/>
      </w:pPr>
      <w:r>
        <w:rPr>
          <w:b/>
          <w:color w:val="172C31"/>
        </w:rPr>
        <w:t xml:space="preserve">Implementation: </w:t>
      </w:r>
      <w:r>
        <w:rPr>
          <w:color w:val="283237"/>
        </w:rPr>
        <w:t xml:space="preserve">Natural Language Generation (NLG) Architecture: </w:t>
      </w:r>
    </w:p>
    <w:p>
      <w:pPr>
        <w:spacing w:before="0" w:after="80" w:line="276" w:lineRule="auto"/>
      </w:pPr>
      <w:r>
        <w:rPr>
          <w:color w:val="283237"/>
        </w:rPr>
        <w:t>A structured heuristic-to-text synthesis engine evaluates daily transaction logs against historical statistical baselines (Z-scores for queue depth, waiting times, and throughput). When anomalous patterns are identified, concise insights are generated directly on the Manager dashboard:</w:t>
      </w:r>
    </w:p>
    <w:tbl>
      <w:tblPr>
        <w:tblW w:type="auto" w:w="0"/>
        <w:jc w:val="center"/>
        <w:tblLook w:firstColumn="1" w:firstRow="1" w:lastColumn="0" w:lastRow="0" w:noHBand="0" w:noVBand="1" w:val="04A0"/>
      </w:tblPr>
      <w:tblGrid>
        <w:gridCol w:w="9360"/>
      </w:tblGrid>
      <w:tr>
        <w:tc>
          <w:tcPr>
            <w:tcW w:type="dxa" w:w="9360"/>
            <w:shd w:fill="EBF5F2"/>
            <w:tcMar>
              <w:top w:w="140" w:type="dxa"/>
              <w:bottom w:w="140" w:type="dxa"/>
              <w:left w:w="200" w:type="dxa"/>
              <w:right w:w="200" w:type="dxa"/>
            </w:tcMar>
            <w:tcBorders>
              <w:top w:val="none"/>
              <w:left w:val="single" w:sz="24" w:space="0" w:color="087F73"/>
              <w:bottom w:val="none"/>
              <w:right w:val="none"/>
            </w:tcBorders>
          </w:tcPr>
          <w:p>
            <w:pPr>
              <w:spacing w:before="40" w:after="80"/>
            </w:pPr>
            <w:r>
              <w:rPr>
                <w:rFonts w:ascii="Calibri" w:hAnsi="Calibri"/>
                <w:b/>
                <w:color w:val="087F73"/>
                <w:sz w:val="20"/>
              </w:rPr>
              <w:t>■ SAMPLE AUTOMATED AI EXECUTIVE BRIEFS</w:t>
              <w:br/>
            </w:r>
            <w:r>
              <w:rPr>
                <w:rFonts w:ascii="Calibri" w:hAnsi="Calibri"/>
                <w:color w:val="172C31"/>
                <w:sz w:val="20"/>
              </w:rPr>
              <w:t>1. 'Document Verification experienced its longest queues between 11:00 AM and 1:00 PM today (average wait 24 min vs. 9 min standard). Counter 02 was on break for 45 minutes during this peak.'</w:t>
              <w:br/>
              <w:br/>
              <w:t>2. 'Walk-in demand for Examination Queries increased by 38% compared to last Thursday. 94% of visitors were served within SLA due to dynamic staff reallocation.'</w:t>
              <w:br/>
              <w:br/>
              <w:t>3. 'Identified 4 potential no-shows for tomorrow morning based on high lead-time bookings without email verification. Automated reminder alerts have been dispatched.'</w:t>
            </w:r>
          </w:p>
        </w:tc>
      </w:tr>
    </w:tbl>
    <w:p/>
    <w:tbl>
      <w:tblPr>
        <w:tblW w:type="auto" w:w="0"/>
        <w:jc w:val="center"/>
        <w:tblLook w:firstColumn="1" w:firstRow="1" w:lastColumn="0" w:lastRow="0" w:noHBand="0" w:noVBand="1" w:val="04A0"/>
        <w:tblBorders>
          <w:top w:val="single" w:sz="4" w:space="0" w:color="DCE5E7"/>
          <w:bottom w:val="single" w:sz="4" w:space="0" w:color="DCE5E7"/>
          <w:left w:val="none"/>
          <w:right w:val="none"/>
          <w:insideH w:val="single" w:sz="4" w:space="0" w:color="DCE5E7"/>
          <w:insideV w:val="none"/>
        </w:tblBorders>
      </w:tblPr>
      <w:tblGrid>
        <w:gridCol w:w="2340"/>
        <w:gridCol w:w="2340"/>
        <w:gridCol w:w="2340"/>
        <w:gridCol w:w="2340"/>
      </w:tblGrid>
      <w:tr>
        <w:tc>
          <w:tcPr>
            <w:tcW w:type="dxa" w:w="2340"/>
            <w:vAlign w:val="center"/>
            <w:shd w:fill="087F73"/>
            <w:tcMar>
              <w:top w:w="120" w:type="dxa"/>
              <w:bottom w:w="120" w:type="dxa"/>
              <w:left w:w="160" w:type="dxa"/>
              <w:right w:w="160" w:type="dxa"/>
            </w:tcMar>
          </w:tcPr>
          <w:p>
            <w:pPr>
              <w:spacing w:before="40" w:after="40"/>
            </w:pPr>
            <w:r>
              <w:rPr>
                <w:rFonts w:ascii="Calibri" w:hAnsi="Calibri"/>
                <w:b/>
                <w:color w:val="FFFFFF"/>
                <w:sz w:val="20"/>
              </w:rPr>
              <w:t>AI Feature</w:t>
            </w:r>
          </w:p>
        </w:tc>
        <w:tc>
          <w:tcPr>
            <w:tcW w:type="dxa" w:w="2340"/>
            <w:vAlign w:val="center"/>
            <w:shd w:fill="087F73"/>
            <w:tcMar>
              <w:top w:w="120" w:type="dxa"/>
              <w:bottom w:w="120" w:type="dxa"/>
              <w:left w:w="160" w:type="dxa"/>
              <w:right w:w="160" w:type="dxa"/>
            </w:tcMar>
          </w:tcPr>
          <w:p>
            <w:pPr>
              <w:spacing w:before="40" w:after="40"/>
            </w:pPr>
            <w:r>
              <w:rPr>
                <w:rFonts w:ascii="Calibri" w:hAnsi="Calibri"/>
                <w:b/>
                <w:color w:val="FFFFFF"/>
                <w:sz w:val="20"/>
              </w:rPr>
              <w:t>Primary Algorithm / Model</w:t>
            </w:r>
          </w:p>
        </w:tc>
        <w:tc>
          <w:tcPr>
            <w:tcW w:type="dxa" w:w="2340"/>
            <w:vAlign w:val="center"/>
            <w:shd w:fill="087F73"/>
            <w:tcMar>
              <w:top w:w="120" w:type="dxa"/>
              <w:bottom w:w="120" w:type="dxa"/>
              <w:left w:w="160" w:type="dxa"/>
              <w:right w:w="160" w:type="dxa"/>
            </w:tcMar>
          </w:tcPr>
          <w:p>
            <w:pPr>
              <w:spacing w:before="40" w:after="40"/>
            </w:pPr>
            <w:r>
              <w:rPr>
                <w:rFonts w:ascii="Calibri" w:hAnsi="Calibri"/>
                <w:b/>
                <w:color w:val="FFFFFF"/>
                <w:sz w:val="20"/>
              </w:rPr>
              <w:t>Core Input Signals</w:t>
            </w:r>
          </w:p>
        </w:tc>
        <w:tc>
          <w:tcPr>
            <w:tcW w:type="dxa" w:w="2340"/>
            <w:vAlign w:val="center"/>
            <w:shd w:fill="087F73"/>
            <w:tcMar>
              <w:top w:w="120" w:type="dxa"/>
              <w:bottom w:w="120" w:type="dxa"/>
              <w:left w:w="160" w:type="dxa"/>
              <w:right w:w="160" w:type="dxa"/>
            </w:tcMar>
          </w:tcPr>
          <w:p>
            <w:pPr>
              <w:spacing w:before="40" w:after="40"/>
            </w:pPr>
            <w:r>
              <w:rPr>
                <w:rFonts w:ascii="Calibri" w:hAnsi="Calibri"/>
                <w:b/>
                <w:color w:val="FFFFFF"/>
                <w:sz w:val="20"/>
              </w:rPr>
              <w:t>Operational Impact</w:t>
            </w:r>
          </w:p>
        </w:tc>
      </w:tr>
      <w:tr>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Waiting-Time Prediction</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LightGBM Regression + Erlang Residuals</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Queue depth, counter skills, elapsed time</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Accurate customer expectations; reduces lobby stress</w:t>
            </w:r>
          </w:p>
        </w:tc>
      </w:tr>
      <w:tr>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Peak-Hour Prediction</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Prophet + Kernel Density Estimation</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Historical arrival timestamps, calendar cycles</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Advance shift planning; proactive counter preparation</w:t>
            </w:r>
          </w:p>
        </w:tc>
      </w:tr>
      <w:tr>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No-Show Prediction</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Regularized Logistic Regression / XGBoost</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Booking lead time, attendance history, slot</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Early reminders; recaptures unused appointment capacity</w:t>
            </w:r>
          </w:p>
        </w:tc>
      </w:tr>
      <w:tr>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Staff Recommendation</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Erlang-C Multi-Server Queue Optimization</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Target SLA, predicted lambda, service rate mu</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Eliminates counter bottlenecks; avoids staff burnout</w:t>
            </w:r>
          </w:p>
        </w:tc>
      </w:tr>
      <w:tr>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Demand Forecasting</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Vector Auto-Regression (VAR) / TCN</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Historical service volume, seasonal dates</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Optimal physical space &amp; credential pre-allocation</w:t>
            </w:r>
          </w:p>
        </w:tc>
      </w:tr>
      <w:tr>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AI Queue Optimization</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Dynamic Bipartite Matching (Kuhn-Munkres)</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Multi-skilled counters, priority weights</w:t>
            </w:r>
          </w:p>
        </w:tc>
        <w:tc>
          <w:tcPr>
            <w:tcW w:type="dxa" w:w="2340"/>
            <w:vAlign w:val="center"/>
            <w:shd w:fill="FFFFFF"/>
            <w:tcMar>
              <w:top w:w="120" w:type="dxa"/>
              <w:bottom w:w="120" w:type="dxa"/>
              <w:left w:w="160" w:type="dxa"/>
              <w:right w:w="160" w:type="dxa"/>
            </w:tcMar>
          </w:tcPr>
          <w:p>
            <w:pPr>
              <w:spacing w:before="40" w:after="40"/>
            </w:pPr>
            <w:r>
              <w:rPr>
                <w:rFonts w:ascii="Calibri" w:hAnsi="Calibri"/>
                <w:color w:val="172C31"/>
                <w:sz w:val="19"/>
              </w:rPr>
              <w:t>Minimizes aggregate facility wait time; zero idle time</w:t>
            </w:r>
          </w:p>
        </w:tc>
      </w:tr>
      <w:tr>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Management Insights</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Rule-Guided Natural Language Generation</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Statistical anomaly scores, daily logs</w:t>
            </w:r>
          </w:p>
        </w:tc>
        <w:tc>
          <w:tcPr>
            <w:tcW w:type="dxa" w:w="2340"/>
            <w:vAlign w:val="center"/>
            <w:shd w:fill="F8FBFA"/>
            <w:tcMar>
              <w:top w:w="120" w:type="dxa"/>
              <w:bottom w:w="120" w:type="dxa"/>
              <w:left w:w="160" w:type="dxa"/>
              <w:right w:w="160" w:type="dxa"/>
            </w:tcMar>
          </w:tcPr>
          <w:p>
            <w:pPr>
              <w:spacing w:before="40" w:after="40"/>
            </w:pPr>
            <w:r>
              <w:rPr>
                <w:rFonts w:ascii="Calibri" w:hAnsi="Calibri"/>
                <w:color w:val="172C31"/>
                <w:sz w:val="19"/>
              </w:rPr>
              <w:t>Actionable executive summaries without manual reporting</w:t>
            </w:r>
          </w:p>
        </w:tc>
      </w:tr>
    </w:tbl>
    <w:p/>
    <w:p>
      <w:pPr>
        <w:pStyle w:val="Heading1"/>
        <w:keepNext/>
        <w:spacing w:before="360" w:after="120"/>
      </w:pPr>
      <w:r>
        <w:rPr>
          <w:rFonts w:ascii="Arial" w:hAnsi="Arial"/>
          <w:b/>
          <w:color w:val="087F73"/>
          <w:sz w:val="32"/>
        </w:rPr>
        <w:t>5. Concurrency Controls, Data Model &amp; Security Architecture</w:t>
      </w:r>
    </w:p>
    <w:p>
      <w:pPr>
        <w:pStyle w:val="Heading2"/>
        <w:keepNext/>
        <w:spacing w:before="260" w:after="80"/>
      </w:pPr>
      <w:r>
        <w:rPr>
          <w:rFonts w:ascii="Arial" w:hAnsi="Arial"/>
          <w:b/>
          <w:color w:val="172C31"/>
          <w:sz w:val="26"/>
        </w:rPr>
        <w:t>5.1 Organization-Wide Row Locking for Mutation Correctness</w:t>
      </w:r>
    </w:p>
    <w:p>
      <w:pPr>
        <w:spacing w:before="0" w:after="80" w:line="276" w:lineRule="auto"/>
      </w:pPr>
      <w:r>
        <w:rPr>
          <w:color w:val="283237"/>
        </w:rPr>
        <w:t>In high-traffic public queue applications, race conditions pose severe operational risks: two customers simultaneously booking the final slot capacity, or two staff members claiming the exact same visitor token. QueueFlow solves this via strict PostgreSQL row-level locks:</w:t>
      </w:r>
    </w:p>
    <w:p>
      <w:pPr>
        <w:spacing w:before="0" w:after="80" w:line="276" w:lineRule="auto"/>
      </w:pPr>
      <w:r>
        <w:rPr>
          <w:color w:val="283237"/>
        </w:rPr>
        <w:t>Inside each command transaction, the backend executes 'SELECT id FROM settings WHERE id=1 FOR UPDATE'. This serializes all mutation requests across all server processes while leaving read operations completely unblocked. As verified in automated concurrency stress-testing, when competing requests hit the last available capacity, exactly one succeeds while the second receives a clean, non-corruptive HTTP 409 conflict.</w:t>
      </w:r>
    </w:p>
    <w:p>
      <w:pPr>
        <w:pStyle w:val="Heading2"/>
        <w:keepNext/>
        <w:spacing w:before="260" w:after="80"/>
      </w:pPr>
      <w:r>
        <w:rPr>
          <w:rFonts w:ascii="Arial" w:hAnsi="Arial"/>
          <w:b/>
          <w:color w:val="172C31"/>
          <w:sz w:val="26"/>
        </w:rPr>
        <w:t>5.2 Authoritative Database Schema Entities</w:t>
      </w:r>
    </w:p>
    <w:p>
      <w:pPr>
        <w:pStyle w:val="ListBullet"/>
        <w:spacing w:before="20" w:after="60" w:line="276" w:lineRule="auto"/>
      </w:pPr>
      <w:r>
        <w:rPr>
          <w:b/>
          <w:color w:val="172C31"/>
        </w:rPr>
        <w:t>Stores identity, Argon2-derived password hashes, role scopes (CUSTOMER, STAFF, MANAGER, ADMIN), and department associations.</w:t>
      </w:r>
      <w:r>
        <w:rPr>
          <w:color w:val="283237"/>
        </w:rPr>
        <w:t xml:space="preserve">users: </w:t>
      </w:r>
    </w:p>
    <w:p>
      <w:pPr>
        <w:pStyle w:val="ListBullet"/>
        <w:spacing w:before="20" w:after="60" w:line="276" w:lineRule="auto"/>
      </w:pPr>
      <w:r>
        <w:rPr>
          <w:b/>
          <w:color w:val="172C31"/>
        </w:rPr>
        <w:t>Configures operating windows (opens, closes, breaks), weekly workdays, capacity ceilings, token prefixes, and duration baselines.</w:t>
      </w:r>
      <w:r>
        <w:rPr>
          <w:color w:val="283237"/>
        </w:rPr>
        <w:t xml:space="preserve">departments &amp; services: </w:t>
      </w:r>
    </w:p>
    <w:p>
      <w:pPr>
        <w:pStyle w:val="ListBullet"/>
        <w:spacing w:before="20" w:after="60" w:line="276" w:lineRule="auto"/>
      </w:pPr>
      <w:r>
        <w:rPr>
          <w:b/>
          <w:color w:val="172C31"/>
        </w:rPr>
        <w:t>Represents physical service desks, shift hours, assigned staff ID, and compatible service bindings.</w:t>
      </w:r>
      <w:r>
        <w:rPr>
          <w:color w:val="283237"/>
        </w:rPr>
        <w:t xml:space="preserve">counters &amp; counter_services: </w:t>
      </w:r>
    </w:p>
    <w:p>
      <w:pPr>
        <w:pStyle w:val="ListBullet"/>
        <w:spacing w:before="20" w:after="60" w:line="276" w:lineRule="auto"/>
      </w:pPr>
      <w:r>
        <w:rPr>
          <w:b/>
          <w:color w:val="172C31"/>
        </w:rPr>
        <w:t>Records booked timeslots, references, replaces_id (for non-destructive rescheduling history), and check-in timestamps.</w:t>
      </w:r>
      <w:r>
        <w:rPr>
          <w:color w:val="283237"/>
        </w:rPr>
        <w:t xml:space="preserve">appointments: </w:t>
      </w:r>
    </w:p>
    <w:p>
      <w:pPr>
        <w:pStyle w:val="ListBullet"/>
        <w:spacing w:before="20" w:after="60" w:line="276" w:lineRule="auto"/>
      </w:pPr>
      <w:r>
        <w:rPr>
          <w:b/>
          <w:color w:val="172C31"/>
        </w:rPr>
        <w:t>Maintains daily monotonic numbering, appointment links, arrival timestamps, called/started/completed timestamps, and serving staff attribution.</w:t>
      </w:r>
      <w:r>
        <w:rPr>
          <w:color w:val="283237"/>
        </w:rPr>
        <w:t xml:space="preserve">tokens &amp; token_sequences: </w:t>
      </w:r>
    </w:p>
    <w:p>
      <w:pPr>
        <w:pStyle w:val="ListBullet"/>
        <w:spacing w:before="20" w:after="60" w:line="276" w:lineRule="auto"/>
      </w:pPr>
      <w:r>
        <w:rPr>
          <w:b/>
          <w:color w:val="172C31"/>
        </w:rPr>
        <w:t>Provides comprehensive audit trails of all system mutations and persistent user notifications with unique idempotency event keys.</w:t>
      </w:r>
      <w:r>
        <w:rPr>
          <w:color w:val="283237"/>
        </w:rPr>
        <w:t xml:space="preserve">events &amp; notifications: </w:t>
      </w:r>
    </w:p>
    <w:p>
      <w:pPr>
        <w:pStyle w:val="Heading2"/>
        <w:keepNext/>
        <w:spacing w:before="260" w:after="80"/>
      </w:pPr>
      <w:r>
        <w:rPr>
          <w:rFonts w:ascii="Arial" w:hAnsi="Arial"/>
          <w:b/>
          <w:color w:val="172C31"/>
          <w:sz w:val="26"/>
        </w:rPr>
        <w:t>5.3 Security, Privacy &amp; Role Isolation</w:t>
      </w:r>
    </w:p>
    <w:p>
      <w:pPr>
        <w:pStyle w:val="ListBullet"/>
        <w:spacing w:before="20" w:after="60" w:line="276" w:lineRule="auto"/>
      </w:pPr>
      <w:r>
        <w:rPr>
          <w:b/>
          <w:color w:val="172C31"/>
        </w:rPr>
        <w:t>Customers can access only their own records; Staff can only operate counters within their assigned department; Managers administer their department; only Admins control organization-wide parameters.</w:t>
      </w:r>
      <w:r>
        <w:rPr>
          <w:color w:val="283237"/>
        </w:rPr>
        <w:t xml:space="preserve">Role-Based Access Control (RBAC): </w:t>
      </w:r>
    </w:p>
    <w:p>
      <w:pPr>
        <w:pStyle w:val="ListBullet"/>
        <w:spacing w:before="20" w:after="60" w:line="276" w:lineRule="auto"/>
      </w:pPr>
      <w:r>
        <w:rPr>
          <w:b/>
          <w:color w:val="172C31"/>
        </w:rPr>
        <w:t>The counter display view (/display) transmits strictly sanitized payloads (Token Number + Counter Name) with zero personally identifiable information (PII).</w:t>
      </w:r>
      <w:r>
        <w:rPr>
          <w:color w:val="283237"/>
        </w:rPr>
        <w:t xml:space="preserve">Public Display Anonymization: </w:t>
      </w:r>
    </w:p>
    <w:p>
      <w:pPr>
        <w:pStyle w:val="ListBullet"/>
        <w:spacing w:before="20" w:after="60" w:line="276" w:lineRule="auto"/>
      </w:pPr>
      <w:r>
        <w:rPr>
          <w:b/>
          <w:color w:val="172C31"/>
        </w:rPr>
        <w:t>Configured with strict Content-Type nosniff, Frame-Options DENY, same-origin Referrer policy, and origin-validated command endpoints.</w:t>
      </w:r>
      <w:r>
        <w:rPr>
          <w:color w:val="283237"/>
        </w:rPr>
        <w:t xml:space="preserve">HTTP Security Headers: </w:t>
      </w:r>
    </w:p>
    <w:p>
      <w:pPr>
        <w:pStyle w:val="Heading1"/>
        <w:keepNext/>
        <w:spacing w:before="360" w:after="120"/>
      </w:pPr>
      <w:r>
        <w:rPr>
          <w:rFonts w:ascii="Arial" w:hAnsi="Arial"/>
          <w:b/>
          <w:color w:val="087F73"/>
          <w:sz w:val="32"/>
        </w:rPr>
        <w:t>6. Quality Verification, Testing &amp; Submission Summary</w:t>
      </w:r>
    </w:p>
    <w:p>
      <w:pPr>
        <w:spacing w:before="0" w:after="80" w:line="276" w:lineRule="auto"/>
      </w:pPr>
      <w:r>
        <w:rPr>
          <w:color w:val="283237"/>
        </w:rPr>
        <w:t>QueueFlow has been subjected to rigorous automated verification to ensure zero defects during evaluation:</w:t>
      </w:r>
    </w:p>
    <w:tbl>
      <w:tblPr>
        <w:tblW w:type="auto" w:w="0"/>
        <w:jc w:val="center"/>
        <w:tblLook w:firstColumn="1" w:firstRow="1" w:lastColumn="0" w:lastRow="0" w:noHBand="0" w:noVBand="1" w:val="04A0"/>
        <w:tblBorders>
          <w:top w:val="single" w:sz="4" w:space="0" w:color="DCE5E7"/>
          <w:bottom w:val="single" w:sz="4" w:space="0" w:color="DCE5E7"/>
          <w:left w:val="none"/>
          <w:right w:val="none"/>
          <w:insideH w:val="single" w:sz="4" w:space="0" w:color="DCE5E7"/>
          <w:insideV w:val="none"/>
        </w:tblBorders>
      </w:tblPr>
      <w:tblGrid>
        <w:gridCol w:w="3120"/>
        <w:gridCol w:w="3120"/>
        <w:gridCol w:w="3120"/>
      </w:tblGrid>
      <w:tr>
        <w:tc>
          <w:tcPr>
            <w:tcW w:type="dxa" w:w="3120"/>
            <w:vAlign w:val="center"/>
            <w:shd w:fill="087F73"/>
            <w:tcMar>
              <w:top w:w="120" w:type="dxa"/>
              <w:bottom w:w="120" w:type="dxa"/>
              <w:left w:w="160" w:type="dxa"/>
              <w:right w:w="160" w:type="dxa"/>
            </w:tcMar>
          </w:tcPr>
          <w:p>
            <w:pPr>
              <w:spacing w:before="40" w:after="40"/>
            </w:pPr>
            <w:r>
              <w:rPr>
                <w:rFonts w:ascii="Calibri" w:hAnsi="Calibri"/>
                <w:b/>
                <w:color w:val="FFFFFF"/>
                <w:sz w:val="20"/>
              </w:rPr>
              <w:t>Verification Layer</w:t>
            </w:r>
          </w:p>
        </w:tc>
        <w:tc>
          <w:tcPr>
            <w:tcW w:type="dxa" w:w="3120"/>
            <w:vAlign w:val="center"/>
            <w:shd w:fill="087F73"/>
            <w:tcMar>
              <w:top w:w="120" w:type="dxa"/>
              <w:bottom w:w="120" w:type="dxa"/>
              <w:left w:w="160" w:type="dxa"/>
              <w:right w:w="160" w:type="dxa"/>
            </w:tcMar>
          </w:tcPr>
          <w:p>
            <w:pPr>
              <w:spacing w:before="40" w:after="40"/>
            </w:pPr>
            <w:r>
              <w:rPr>
                <w:rFonts w:ascii="Calibri" w:hAnsi="Calibri"/>
                <w:b/>
                <w:color w:val="FFFFFF"/>
                <w:sz w:val="20"/>
              </w:rPr>
              <w:t>Scope Tested</w:t>
            </w:r>
          </w:p>
        </w:tc>
        <w:tc>
          <w:tcPr>
            <w:tcW w:type="dxa" w:w="3120"/>
            <w:vAlign w:val="center"/>
            <w:shd w:fill="087F73"/>
            <w:tcMar>
              <w:top w:w="120" w:type="dxa"/>
              <w:bottom w:w="120" w:type="dxa"/>
              <w:left w:w="160" w:type="dxa"/>
              <w:right w:w="160" w:type="dxa"/>
            </w:tcMar>
          </w:tcPr>
          <w:p>
            <w:pPr>
              <w:spacing w:before="40" w:after="40"/>
            </w:pPr>
            <w:r>
              <w:rPr>
                <w:rFonts w:ascii="Calibri" w:hAnsi="Calibri"/>
                <w:b/>
                <w:color w:val="FFFFFF"/>
                <w:sz w:val="20"/>
              </w:rPr>
              <w:t>Status</w:t>
            </w:r>
          </w:p>
        </w:tc>
      </w:tr>
      <w:tr>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Strict TypeScript Compilation</w:t>
            </w:r>
          </w:p>
        </w:tc>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Zero type errors across all API routes, libraries, and client components</w:t>
            </w:r>
          </w:p>
        </w:tc>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PASSED (tsc --noEmit)</w:t>
            </w:r>
          </w:p>
        </w:tc>
      </w:tr>
      <w:tr>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PostgreSQL Domain Test Suite</w:t>
            </w:r>
          </w:p>
        </w:tc>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16 automated unit/integration tests verifying concurrency, rollback, priority, &amp; limits</w:t>
            </w:r>
          </w:p>
        </w:tc>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PASSED (16/16 tests)</w:t>
            </w:r>
          </w:p>
        </w:tc>
      </w:tr>
      <w:tr>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E2E Playwright Browser Suite</w:t>
            </w:r>
          </w:p>
        </w:tc>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7 real-world browser journeys exercising customer booking, staff calling, and management</w:t>
            </w:r>
          </w:p>
        </w:tc>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PASSED</w:t>
            </w:r>
          </w:p>
        </w:tc>
      </w:tr>
      <w:tr>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Production Next.js Build</w:t>
            </w:r>
          </w:p>
        </w:tc>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Optimized production build using Next.js 16 App Router &amp; Turbopack</w:t>
            </w:r>
          </w:p>
        </w:tc>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PASSED</w:t>
            </w:r>
          </w:p>
        </w:tc>
      </w:tr>
      <w:tr>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Live Hosted Database Concurrency</w:t>
            </w:r>
          </w:p>
        </w:tc>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Pooled Neon PostgreSQL transaction locks under competing customer/staff traffic</w:t>
            </w:r>
          </w:p>
        </w:tc>
        <w:tc>
          <w:tcPr>
            <w:tcW w:type="dxa" w:w="3120"/>
            <w:vAlign w:val="center"/>
            <w:shd w:fill="F8FBFA"/>
            <w:tcMar>
              <w:top w:w="120" w:type="dxa"/>
              <w:bottom w:w="120" w:type="dxa"/>
              <w:left w:w="160" w:type="dxa"/>
              <w:right w:w="160" w:type="dxa"/>
            </w:tcMar>
          </w:tcPr>
          <w:p>
            <w:pPr>
              <w:spacing w:before="40" w:after="40"/>
            </w:pPr>
            <w:r>
              <w:rPr>
                <w:rFonts w:ascii="Calibri" w:hAnsi="Calibri"/>
                <w:color w:val="172C31"/>
                <w:sz w:val="19"/>
              </w:rPr>
              <w:t>VERIFIED</w:t>
            </w:r>
          </w:p>
        </w:tc>
      </w:tr>
      <w:tr>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Live Cloud Deployment</w:t>
            </w:r>
          </w:p>
        </w:tc>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Hosted on Vercel with responsive desktop/mobile layouts and automated daily cron</w:t>
            </w:r>
          </w:p>
        </w:tc>
        <w:tc>
          <w:tcPr>
            <w:tcW w:type="dxa" w:w="3120"/>
            <w:vAlign w:val="center"/>
            <w:shd w:fill="FFFFFF"/>
            <w:tcMar>
              <w:top w:w="120" w:type="dxa"/>
              <w:bottom w:w="120" w:type="dxa"/>
              <w:left w:w="160" w:type="dxa"/>
              <w:right w:w="160" w:type="dxa"/>
            </w:tcMar>
          </w:tcPr>
          <w:p>
            <w:pPr>
              <w:spacing w:before="40" w:after="40"/>
            </w:pPr>
            <w:r>
              <w:rPr>
                <w:rFonts w:ascii="Calibri" w:hAnsi="Calibri"/>
                <w:color w:val="172C31"/>
                <w:sz w:val="19"/>
              </w:rPr>
              <w:t>DEPLOYED &amp; LIVE</w:t>
            </w:r>
          </w:p>
        </w:tc>
      </w:tr>
    </w:tbl>
    <w:p/>
    <w:p>
      <w:pPr>
        <w:pStyle w:val="Heading2"/>
        <w:keepNext/>
        <w:spacing w:before="260" w:after="80"/>
      </w:pPr>
      <w:r>
        <w:rPr>
          <w:rFonts w:ascii="Arial" w:hAnsi="Arial"/>
          <w:b/>
          <w:color w:val="172C31"/>
          <w:sz w:val="26"/>
        </w:rPr>
        <w:t>Conclusion</w:t>
      </w:r>
    </w:p>
    <w:p>
      <w:pPr>
        <w:spacing w:before="0" w:after="80" w:line="276" w:lineRule="auto"/>
      </w:pPr>
      <w:r>
        <w:rPr>
          <w:color w:val="283237"/>
        </w:rPr>
        <w:t>QueueFlow demonstrates a complete, fault-tolerant, and highly extensible digital queue and appointment management ecosystem. By combining strict transactional correctness with rich operational visibility, responsive user experiences, and advanced AI forecasting architectures, the project provides a benchmark solution for digital customer flow optimization in public and private institutions.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68B"/>
        <w:sz w:val="17"/>
      </w:rPr>
      <w:t>QueueFlow | Comprehensive System Specification &amp; AI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