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9.0 -->
  <w:body>
    <w:p w:rsidR="00A77B3E">
      <w:pPr>
        <w:rPr>
          <w:color w:val="000000"/>
        </w:rPr>
      </w:pPr>
    </w:p>
    <w:p w:rsidR="00A77B3E">
      <w:pPr>
        <w:jc w:val="center"/>
        <w:rPr>
          <w:color w:val="000000"/>
        </w:rPr>
      </w:pPr>
      <w:r>
        <w:rPr>
          <w:color w:val="000000"/>
        </w:rPr>
        <w:t xml:space="preserve"> </w:t>
      </w:r>
    </w:p>
    <w:p w:rsidR="00A77B3E">
      <w:pPr>
        <w:jc w:val="center"/>
        <w:rPr>
          <w:color w:val="000000"/>
        </w:rPr>
      </w:pPr>
      <w:r>
        <w:rPr>
          <w:color w:val="000000"/>
        </w:rPr>
        <w:drawing>
          <wp:anchor simplePos="0" relativeHeight="251658240" behindDoc="0" locked="0" layoutInCell="1" allowOverlap="1">
            <wp:simplePos x="0" y="0"/>
            <wp:positionH relativeFrom="page">
              <wp:align>center</wp:align>
            </wp:positionH>
            <wp:positionV relativeFrom="paragraph">
              <wp:posOffset>0</wp:posOffset>
            </wp:positionV>
            <wp:extent cx="2088303" cy="327577"/>
            <wp:wrapTopAndBottom/>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2088303" cy="327577"/>
                    </a:xfrm>
                    <a:prstGeom prst="rect">
                      <a:avLst/>
                    </a:prstGeom>
                  </pic:spPr>
                </pic:pic>
              </a:graphicData>
            </a:graphic>
          </wp:anchor>
        </w:drawing>
      </w:r>
    </w:p>
    <w:p w:rsidR="00A77B3E">
      <w:pPr>
        <w:pStyle w:val="Heading1"/>
        <w:jc w:val="center"/>
        <w:rPr>
          <w:color w:val="000000"/>
        </w:rPr>
      </w:pPr>
      <w:bookmarkStart w:id="0" w:name="_Toc256000000"/>
      <w:r>
        <w:rPr>
          <w:color w:val="000000"/>
        </w:rPr>
        <w:t>Nordisk konvensjon om trygd</w:t>
      </w:r>
      <w:bookmarkEnd w:id="0"/>
    </w:p>
    <w:p>
      <w:pPr>
        <w:jc w:val="center"/>
        <w:rPr>
          <w:sz w:val="22"/>
        </w:rPr>
      </w:pPr>
    </w:p>
    <w:p>
      <w:pPr>
        <w:jc w:val="center"/>
        <w:rPr>
          <w:sz w:val="22"/>
        </w:rPr>
      </w:pPr>
      <w:bookmarkStart w:id="1" w:name="documentMeta"/>
    </w:p>
    <w:tbl>
      <w:tblPr>
        <w:tblW w:w="5000" w:type="pct"/>
        <w:tblBorders>
          <w:top w:val="nil"/>
          <w:left w:val="nil"/>
          <w:bottom w:val="nil"/>
          <w:right w:val="nil"/>
          <w:insideH w:val="nil"/>
          <w:insideV w:val="nil"/>
        </w:tblBorders>
        <w:tblLayout w:type="fixed"/>
        <w:tblCellMar>
          <w:left w:w="108" w:type="dxa"/>
          <w:right w:w="108" w:type="dxa"/>
        </w:tblCellMar>
      </w:tblPr>
      <w:tblGrid>
        <w:gridCol w:w="2520"/>
        <w:gridCol w:w="7562"/>
      </w:tblGrid>
      <w:tr>
        <w:tblPrEx>
          <w:tblW w:w="5000" w:type="pct"/>
          <w:tblLayout w:type="fixed"/>
        </w:tblPrEx>
        <w:tc>
          <w:tcPr>
            <w:tcW w:w="2000" w:type="dxa"/>
            <w:vAlign w:val="top"/>
          </w:tcPr>
          <w:p>
            <w:pPr>
              <w:spacing w:before="100"/>
              <w:jc w:val="left"/>
              <w:rPr>
                <w:sz w:val="22"/>
              </w:rPr>
            </w:pPr>
            <w:r>
              <w:rPr>
                <w:sz w:val="22"/>
              </w:rPr>
              <w:t>Ident</w:t>
            </w:r>
          </w:p>
        </w:tc>
        <w:tc>
          <w:tcPr>
            <w:tcW w:w="6000" w:type="dxa"/>
            <w:vAlign w:val="top"/>
          </w:tcPr>
          <w:p>
            <w:pPr>
              <w:spacing w:before="100"/>
              <w:jc w:val="left"/>
              <w:rPr>
                <w:sz w:val="22"/>
              </w:rPr>
            </w:pPr>
            <w:r>
              <w:rPr>
                <w:sz w:val="22"/>
              </w:rPr>
              <w:t>12-06-2012 nr 18 Multilateral</w:t>
            </w:r>
          </w:p>
        </w:tc>
      </w:tr>
      <w:tr>
        <w:tblPrEx>
          <w:tblW w:w="5000" w:type="pct"/>
          <w:tblLayout w:type="fixed"/>
        </w:tblPrEx>
        <w:tc>
          <w:tcPr>
            <w:tcW w:w="2000" w:type="dxa"/>
            <w:vAlign w:val="top"/>
          </w:tcPr>
          <w:p>
            <w:pPr>
              <w:spacing w:before="100"/>
              <w:jc w:val="left"/>
              <w:rPr>
                <w:sz w:val="22"/>
              </w:rPr>
            </w:pPr>
            <w:r>
              <w:rPr>
                <w:sz w:val="22"/>
              </w:rPr>
              <w:t>Tittel (norsk)</w:t>
            </w:r>
          </w:p>
        </w:tc>
        <w:tc>
          <w:tcPr>
            <w:tcW w:w="6000" w:type="dxa"/>
            <w:vAlign w:val="top"/>
          </w:tcPr>
          <w:p>
            <w:pPr>
              <w:spacing w:before="100"/>
              <w:jc w:val="left"/>
              <w:rPr>
                <w:sz w:val="22"/>
              </w:rPr>
            </w:pPr>
            <w:r>
              <w:rPr>
                <w:sz w:val="22"/>
              </w:rPr>
              <w:t>Nordisk konvensjon om trygd</w:t>
            </w:r>
          </w:p>
        </w:tc>
      </w:tr>
      <w:tr>
        <w:tblPrEx>
          <w:tblW w:w="5000" w:type="pct"/>
          <w:tblLayout w:type="fixed"/>
        </w:tblPrEx>
        <w:tc>
          <w:tcPr>
            <w:tcW w:w="2000" w:type="dxa"/>
            <w:vAlign w:val="top"/>
          </w:tcPr>
          <w:p>
            <w:pPr>
              <w:spacing w:before="100"/>
              <w:jc w:val="left"/>
              <w:rPr>
                <w:sz w:val="22"/>
              </w:rPr>
            </w:pPr>
            <w:r>
              <w:rPr>
                <w:sz w:val="22"/>
              </w:rPr>
              <w:t>Avtalens undertegningsdato</w:t>
            </w:r>
          </w:p>
        </w:tc>
        <w:tc>
          <w:tcPr>
            <w:tcW w:w="6000" w:type="dxa"/>
            <w:vAlign w:val="top"/>
          </w:tcPr>
          <w:p>
            <w:pPr>
              <w:spacing w:before="100"/>
              <w:jc w:val="left"/>
              <w:rPr>
                <w:sz w:val="22"/>
              </w:rPr>
            </w:pPr>
            <w:r>
              <w:rPr>
                <w:sz w:val="22"/>
              </w:rPr>
              <w:t>12-06-2012</w:t>
            </w:r>
          </w:p>
        </w:tc>
      </w:tr>
      <w:tr>
        <w:tblPrEx>
          <w:tblW w:w="5000" w:type="pct"/>
          <w:tblLayout w:type="fixed"/>
        </w:tblPrEx>
        <w:tc>
          <w:tcPr>
            <w:tcW w:w="2000" w:type="dxa"/>
            <w:vAlign w:val="top"/>
          </w:tcPr>
          <w:p>
            <w:pPr>
              <w:spacing w:before="100"/>
              <w:jc w:val="left"/>
              <w:rPr>
                <w:sz w:val="22"/>
              </w:rPr>
            </w:pPr>
            <w:r>
              <w:rPr>
                <w:sz w:val="22"/>
              </w:rPr>
              <w:t>Avtalens undertegningssted</w:t>
            </w:r>
          </w:p>
        </w:tc>
        <w:tc>
          <w:tcPr>
            <w:tcW w:w="6000" w:type="dxa"/>
            <w:vAlign w:val="top"/>
          </w:tcPr>
          <w:p>
            <w:pPr>
              <w:spacing w:before="100"/>
              <w:jc w:val="left"/>
              <w:rPr>
                <w:sz w:val="22"/>
              </w:rPr>
            </w:pPr>
            <w:r>
              <w:rPr>
                <w:sz w:val="22"/>
              </w:rPr>
              <w:t>Bergen</w:t>
            </w:r>
          </w:p>
        </w:tc>
      </w:tr>
      <w:tr>
        <w:tblPrEx>
          <w:tblW w:w="5000" w:type="pct"/>
          <w:tblLayout w:type="fixed"/>
        </w:tblPrEx>
        <w:tc>
          <w:tcPr>
            <w:tcW w:w="2000" w:type="dxa"/>
            <w:vAlign w:val="top"/>
          </w:tcPr>
          <w:p>
            <w:pPr>
              <w:spacing w:before="100"/>
              <w:jc w:val="left"/>
              <w:rPr>
                <w:sz w:val="22"/>
              </w:rPr>
            </w:pPr>
            <w:r>
              <w:rPr>
                <w:sz w:val="22"/>
              </w:rPr>
              <w:t>Avtalens ikrafttredelsesdato</w:t>
            </w:r>
          </w:p>
        </w:tc>
        <w:tc>
          <w:tcPr>
            <w:tcW w:w="6000" w:type="dxa"/>
            <w:vAlign w:val="top"/>
          </w:tcPr>
          <w:p>
            <w:pPr>
              <w:spacing w:before="100"/>
              <w:jc w:val="left"/>
              <w:rPr>
                <w:sz w:val="22"/>
              </w:rPr>
            </w:pPr>
            <w:r>
              <w:rPr>
                <w:sz w:val="22"/>
              </w:rPr>
              <w:t>01-05-2014</w:t>
            </w:r>
          </w:p>
        </w:tc>
      </w:tr>
      <w:tr>
        <w:tblPrEx>
          <w:tblW w:w="5000" w:type="pct"/>
          <w:tblLayout w:type="fixed"/>
        </w:tblPrEx>
        <w:tc>
          <w:tcPr>
            <w:tcW w:w="2000" w:type="dxa"/>
            <w:vAlign w:val="top"/>
          </w:tcPr>
          <w:p>
            <w:pPr>
              <w:spacing w:before="100"/>
              <w:jc w:val="left"/>
              <w:rPr>
                <w:sz w:val="22"/>
              </w:rPr>
            </w:pPr>
            <w:r>
              <w:rPr>
                <w:sz w:val="22"/>
              </w:rPr>
              <w:t>Undertegningsdato Norge</w:t>
            </w:r>
          </w:p>
        </w:tc>
        <w:tc>
          <w:tcPr>
            <w:tcW w:w="6000" w:type="dxa"/>
            <w:vAlign w:val="top"/>
          </w:tcPr>
          <w:p>
            <w:pPr>
              <w:spacing w:before="100"/>
              <w:jc w:val="left"/>
              <w:rPr>
                <w:sz w:val="22"/>
              </w:rPr>
            </w:pPr>
            <w:r>
              <w:rPr>
                <w:sz w:val="22"/>
              </w:rPr>
              <w:t>12-06-2012</w:t>
            </w:r>
          </w:p>
        </w:tc>
      </w:tr>
      <w:tr>
        <w:tblPrEx>
          <w:tblW w:w="5000" w:type="pct"/>
          <w:tblLayout w:type="fixed"/>
        </w:tblPrEx>
        <w:tc>
          <w:tcPr>
            <w:tcW w:w="2000" w:type="dxa"/>
            <w:vAlign w:val="top"/>
          </w:tcPr>
          <w:p>
            <w:pPr>
              <w:spacing w:before="100"/>
              <w:jc w:val="left"/>
              <w:rPr>
                <w:sz w:val="22"/>
              </w:rPr>
            </w:pPr>
            <w:r>
              <w:rPr>
                <w:sz w:val="22"/>
              </w:rPr>
              <w:t>Ikrafttredelsesdato Norge</w:t>
            </w:r>
          </w:p>
        </w:tc>
        <w:tc>
          <w:tcPr>
            <w:tcW w:w="6000" w:type="dxa"/>
            <w:vAlign w:val="top"/>
          </w:tcPr>
          <w:p>
            <w:pPr>
              <w:spacing w:before="100"/>
              <w:jc w:val="left"/>
              <w:rPr>
                <w:sz w:val="22"/>
              </w:rPr>
            </w:pPr>
            <w:r>
              <w:rPr>
                <w:sz w:val="22"/>
              </w:rPr>
              <w:t>01-05-2014</w:t>
            </w:r>
          </w:p>
        </w:tc>
      </w:tr>
      <w:tr>
        <w:tblPrEx>
          <w:tblW w:w="5000" w:type="pct"/>
          <w:tblLayout w:type="fixed"/>
        </w:tblPrEx>
        <w:tc>
          <w:tcPr>
            <w:tcW w:w="2000" w:type="dxa"/>
            <w:vAlign w:val="top"/>
          </w:tcPr>
          <w:p>
            <w:pPr>
              <w:spacing w:before="100"/>
              <w:jc w:val="left"/>
              <w:rPr>
                <w:sz w:val="22"/>
              </w:rPr>
            </w:pPr>
            <w:r>
              <w:rPr>
                <w:sz w:val="22"/>
              </w:rPr>
              <w:t>Depositar</w:t>
            </w:r>
          </w:p>
        </w:tc>
        <w:tc>
          <w:tcPr>
            <w:tcW w:w="6000" w:type="dxa"/>
            <w:vAlign w:val="top"/>
          </w:tcPr>
          <w:p>
            <w:pPr>
              <w:spacing w:before="100"/>
              <w:jc w:val="left"/>
              <w:rPr>
                <w:sz w:val="22"/>
              </w:rPr>
            </w:pPr>
            <w:r>
              <w:rPr>
                <w:sz w:val="22"/>
              </w:rPr>
              <w:t>Danmark</w:t>
            </w:r>
          </w:p>
        </w:tc>
      </w:tr>
      <w:tr>
        <w:tblPrEx>
          <w:tblW w:w="5000" w:type="pct"/>
          <w:tblLayout w:type="fixed"/>
        </w:tblPrEx>
        <w:tc>
          <w:tcPr>
            <w:tcW w:w="2000" w:type="dxa"/>
            <w:vAlign w:val="top"/>
          </w:tcPr>
          <w:p>
            <w:pPr>
              <w:spacing w:before="100"/>
              <w:jc w:val="left"/>
              <w:rPr>
                <w:sz w:val="22"/>
              </w:rPr>
            </w:pPr>
            <w:r>
              <w:rPr>
                <w:sz w:val="22"/>
              </w:rPr>
              <w:t>Fullmakt til undertegning</w:t>
            </w:r>
          </w:p>
        </w:tc>
        <w:tc>
          <w:tcPr>
            <w:tcW w:w="6000" w:type="dxa"/>
            <w:vAlign w:val="top"/>
          </w:tcPr>
          <w:p>
            <w:pPr>
              <w:spacing w:before="100"/>
              <w:jc w:val="left"/>
              <w:rPr>
                <w:sz w:val="22"/>
              </w:rPr>
            </w:pPr>
            <w:r>
              <w:rPr>
                <w:sz w:val="22"/>
              </w:rPr>
              <w:t>25-05-2012 kgl.res.</w:t>
            </w:r>
          </w:p>
        </w:tc>
      </w:tr>
      <w:tr>
        <w:tblPrEx>
          <w:tblW w:w="5000" w:type="pct"/>
          <w:tblLayout w:type="fixed"/>
        </w:tblPrEx>
        <w:tc>
          <w:tcPr>
            <w:tcW w:w="2000" w:type="dxa"/>
            <w:vAlign w:val="top"/>
          </w:tcPr>
          <w:p>
            <w:pPr>
              <w:spacing w:before="100"/>
              <w:jc w:val="left"/>
              <w:rPr>
                <w:sz w:val="22"/>
              </w:rPr>
            </w:pPr>
            <w:r>
              <w:rPr>
                <w:sz w:val="22"/>
              </w:rPr>
              <w:t>Stortinget</w:t>
            </w:r>
          </w:p>
        </w:tc>
        <w:tc>
          <w:tcPr>
            <w:tcW w:w="6000" w:type="dxa"/>
            <w:vAlign w:val="top"/>
          </w:tcPr>
          <w:p>
            <w:pPr>
              <w:spacing w:before="100"/>
              <w:jc w:val="left"/>
              <w:rPr>
                <w:sz w:val="22"/>
              </w:rPr>
            </w:pPr>
            <w:r>
              <w:rPr>
                <w:sz w:val="22"/>
              </w:rPr>
              <w:t>Prop. 40 S (2012–2013)</w:t>
            </w:r>
          </w:p>
          <w:p>
            <w:pPr>
              <w:spacing w:before="100"/>
              <w:jc w:val="left"/>
              <w:rPr>
                <w:sz w:val="22"/>
              </w:rPr>
            </w:pPr>
            <w:r>
              <w:rPr>
                <w:sz w:val="22"/>
              </w:rPr>
              <w:t>Innst. 244 S (2012–2013)</w:t>
            </w:r>
          </w:p>
          <w:p>
            <w:pPr>
              <w:spacing w:before="100"/>
              <w:jc w:val="left"/>
              <w:rPr>
                <w:sz w:val="22"/>
              </w:rPr>
            </w:pPr>
            <w:r>
              <w:rPr>
                <w:sz w:val="22"/>
              </w:rPr>
              <w:t>Vedtak i Stortinget 19. mars 2013</w:t>
            </w:r>
          </w:p>
        </w:tc>
      </w:tr>
      <w:tr>
        <w:tblPrEx>
          <w:tblW w:w="5000" w:type="pct"/>
          <w:tblLayout w:type="fixed"/>
        </w:tblPrEx>
        <w:tc>
          <w:tcPr>
            <w:tcW w:w="2000" w:type="dxa"/>
            <w:vAlign w:val="top"/>
          </w:tcPr>
          <w:p>
            <w:pPr>
              <w:spacing w:before="100"/>
              <w:jc w:val="left"/>
              <w:rPr>
                <w:sz w:val="22"/>
              </w:rPr>
            </w:pPr>
            <w:r>
              <w:rPr>
                <w:sz w:val="22"/>
              </w:rPr>
              <w:t>Fagdepartement</w:t>
            </w:r>
          </w:p>
        </w:tc>
        <w:tc>
          <w:tcPr>
            <w:tcW w:w="6000" w:type="dxa"/>
            <w:vAlign w:val="top"/>
          </w:tcPr>
          <w:p>
            <w:pPr>
              <w:spacing w:before="100"/>
              <w:jc w:val="left"/>
              <w:rPr>
                <w:sz w:val="22"/>
              </w:rPr>
            </w:pPr>
            <w:r>
              <w:rPr>
                <w:sz w:val="22"/>
              </w:rPr>
              <w:t>Arbeidsdepartementet</w:t>
            </w:r>
          </w:p>
        </w:tc>
      </w:tr>
      <w:tr>
        <w:tblPrEx>
          <w:tblW w:w="5000" w:type="pct"/>
          <w:tblLayout w:type="fixed"/>
        </w:tblPrEx>
        <w:tc>
          <w:tcPr>
            <w:tcW w:w="2000" w:type="dxa"/>
            <w:vAlign w:val="top"/>
          </w:tcPr>
          <w:p>
            <w:pPr>
              <w:spacing w:before="100"/>
              <w:jc w:val="left"/>
              <w:rPr>
                <w:sz w:val="22"/>
              </w:rPr>
            </w:pPr>
            <w:r>
              <w:rPr>
                <w:sz w:val="22"/>
              </w:rPr>
              <w:t>Ratifikasjon, godkjennelse, godtakelse</w:t>
            </w:r>
          </w:p>
        </w:tc>
        <w:tc>
          <w:tcPr>
            <w:tcW w:w="6000" w:type="dxa"/>
            <w:vAlign w:val="top"/>
          </w:tcPr>
          <w:p>
            <w:pPr>
              <w:spacing w:before="100"/>
              <w:jc w:val="left"/>
              <w:rPr>
                <w:sz w:val="22"/>
              </w:rPr>
            </w:pPr>
            <w:r>
              <w:rPr>
                <w:sz w:val="22"/>
              </w:rPr>
              <w:t>05-04-2013 kgl.res. om inngåelse</w:t>
            </w:r>
          </w:p>
        </w:tc>
      </w:tr>
      <w:tr>
        <w:tblPrEx>
          <w:tblW w:w="5000" w:type="pct"/>
          <w:tblLayout w:type="fixed"/>
        </w:tblPrEx>
        <w:tc>
          <w:tcPr>
            <w:tcW w:w="2000" w:type="dxa"/>
            <w:vAlign w:val="top"/>
          </w:tcPr>
          <w:p>
            <w:pPr>
              <w:spacing w:before="100"/>
              <w:jc w:val="left"/>
              <w:rPr>
                <w:sz w:val="22"/>
              </w:rPr>
            </w:pPr>
            <w:r>
              <w:rPr>
                <w:sz w:val="22"/>
              </w:rPr>
              <w:t>Publisert</w:t>
            </w:r>
          </w:p>
        </w:tc>
        <w:tc>
          <w:tcPr>
            <w:tcW w:w="6000" w:type="dxa"/>
            <w:vAlign w:val="top"/>
          </w:tcPr>
          <w:p>
            <w:pPr>
              <w:spacing w:before="100"/>
              <w:jc w:val="left"/>
              <w:rPr>
                <w:sz w:val="22"/>
              </w:rPr>
            </w:pPr>
            <w:r>
              <w:rPr>
                <w:sz w:val="22"/>
              </w:rPr>
              <w:t>Overenskomster med fremmede stater 2014, s. 310</w:t>
            </w:r>
          </w:p>
        </w:tc>
      </w:tr>
      <w:tr>
        <w:tblPrEx>
          <w:tblW w:w="5000" w:type="pct"/>
          <w:tblLayout w:type="fixed"/>
        </w:tblPrEx>
        <w:tc>
          <w:tcPr>
            <w:tcW w:w="2000" w:type="dxa"/>
            <w:vAlign w:val="top"/>
          </w:tcPr>
          <w:p>
            <w:pPr>
              <w:spacing w:before="100"/>
              <w:jc w:val="left"/>
              <w:rPr>
                <w:sz w:val="22"/>
              </w:rPr>
            </w:pPr>
            <w:r>
              <w:rPr>
                <w:sz w:val="22"/>
              </w:rPr>
              <w:t>Parter</w:t>
            </w:r>
          </w:p>
        </w:tc>
        <w:tc>
          <w:tcPr>
            <w:tcW w:w="6000" w:type="dxa"/>
            <w:vAlign w:val="top"/>
          </w:tcPr>
          <w:p>
            <w:pPr>
              <w:spacing w:before="100"/>
              <w:jc w:val="left"/>
              <w:rPr>
                <w:sz w:val="22"/>
              </w:rPr>
            </w:pPr>
            <w:r>
              <w:rPr>
                <w:sz w:val="22"/>
              </w:rPr>
              <w:t>Part:  Danmark</w:t>
            </w:r>
          </w:p>
          <w:p>
            <w:pPr>
              <w:spacing w:before="100"/>
              <w:jc w:val="left"/>
              <w:rPr>
                <w:sz w:val="22"/>
              </w:rPr>
            </w:pPr>
            <w:r>
              <w:rPr>
                <w:sz w:val="22"/>
              </w:rPr>
              <w:t>Undertegningsdato:  12-06-2012</w:t>
            </w:r>
          </w:p>
          <w:p>
            <w:pPr>
              <w:spacing w:before="100"/>
              <w:jc w:val="left"/>
              <w:rPr>
                <w:sz w:val="22"/>
              </w:rPr>
            </w:pPr>
            <w:r>
              <w:rPr>
                <w:sz w:val="22"/>
              </w:rPr>
              <w:t xml:space="preserve">Ratifisert/tiltrådt/godkjent etc.: </w:t>
            </w:r>
          </w:p>
          <w:p>
            <w:pPr>
              <w:spacing w:before="100"/>
              <w:jc w:val="left"/>
              <w:rPr>
                <w:sz w:val="22"/>
              </w:rPr>
            </w:pPr>
            <w:r>
              <w:rPr>
                <w:sz w:val="22"/>
              </w:rPr>
              <w:t>Ikrafttredelsesdato: 01-05-2014</w:t>
            </w:r>
          </w:p>
          <w:p>
            <w:pPr>
              <w:spacing w:before="100"/>
              <w:jc w:val="left"/>
              <w:rPr>
                <w:sz w:val="22"/>
              </w:rPr>
            </w:pPr>
            <w:r>
              <w:rPr>
                <w:sz w:val="22"/>
              </w:rPr>
              <w:t>Fratredelsesdato:</w:t>
            </w:r>
          </w:p>
          <w:p>
            <w:pPr>
              <w:spacing w:before="100"/>
              <w:jc w:val="left"/>
              <w:rPr>
                <w:sz w:val="22"/>
              </w:rPr>
            </w:pPr>
            <w:r>
              <w:rPr>
                <w:sz w:val="22"/>
              </w:rPr>
              <w:t>Merknad:</w:t>
            </w:r>
          </w:p>
          <w:p>
            <w:pPr>
              <w:spacing w:before="100"/>
              <w:jc w:val="left"/>
              <w:rPr>
                <w:sz w:val="22"/>
              </w:rPr>
            </w:pPr>
            <w:r>
              <w:rPr>
                <w:sz w:val="22"/>
              </w:rPr>
              <w:t xml:space="preserve"> </w:t>
            </w:r>
          </w:p>
          <w:p>
            <w:pPr>
              <w:spacing w:before="100"/>
              <w:jc w:val="left"/>
              <w:rPr>
                <w:sz w:val="22"/>
              </w:rPr>
            </w:pPr>
            <w:r>
              <w:rPr>
                <w:sz w:val="22"/>
              </w:rPr>
              <w:t xml:space="preserve"> Avtalen gjelder for Færøyene og Grønland f.o.m. 1. mai 2015</w:t>
            </w:r>
            <w:r>
              <w:rPr>
                <w:sz w:val="22"/>
              </w:rPr>
              <w:t>Part:  Finland</w:t>
            </w:r>
          </w:p>
          <w:p>
            <w:pPr>
              <w:spacing w:before="100"/>
              <w:jc w:val="left"/>
              <w:rPr>
                <w:sz w:val="22"/>
              </w:rPr>
            </w:pPr>
            <w:r>
              <w:rPr>
                <w:sz w:val="22"/>
              </w:rPr>
              <w:t>Undertegningsdato:  12-06-2012</w:t>
            </w:r>
          </w:p>
          <w:p>
            <w:pPr>
              <w:spacing w:before="100"/>
              <w:jc w:val="left"/>
              <w:rPr>
                <w:sz w:val="22"/>
              </w:rPr>
            </w:pPr>
            <w:r>
              <w:rPr>
                <w:sz w:val="22"/>
              </w:rPr>
              <w:t xml:space="preserve">Ratifisert/tiltrådt/godkjent etc.: </w:t>
            </w:r>
          </w:p>
          <w:p>
            <w:pPr>
              <w:spacing w:before="100"/>
              <w:jc w:val="left"/>
              <w:rPr>
                <w:sz w:val="22"/>
              </w:rPr>
            </w:pPr>
            <w:r>
              <w:rPr>
                <w:sz w:val="22"/>
              </w:rPr>
              <w:t>Ikrafttredelsesdato: 01-05-2014</w:t>
            </w:r>
          </w:p>
          <w:p>
            <w:pPr>
              <w:spacing w:before="100"/>
              <w:jc w:val="left"/>
              <w:rPr>
                <w:sz w:val="22"/>
              </w:rPr>
            </w:pPr>
            <w:r>
              <w:rPr>
                <w:sz w:val="22"/>
              </w:rPr>
              <w:t>Fratredelsesdato:</w:t>
            </w:r>
          </w:p>
          <w:p>
            <w:pPr>
              <w:spacing w:before="100"/>
              <w:jc w:val="left"/>
              <w:rPr>
                <w:sz w:val="22"/>
              </w:rPr>
            </w:pPr>
            <w:r>
              <w:rPr>
                <w:sz w:val="22"/>
              </w:rPr>
              <w:t>Merknad:</w:t>
            </w:r>
          </w:p>
          <w:p>
            <w:pPr>
              <w:spacing w:before="100"/>
              <w:jc w:val="left"/>
              <w:rPr>
                <w:sz w:val="22"/>
              </w:rPr>
            </w:pPr>
            <w:r>
              <w:rPr>
                <w:sz w:val="22"/>
              </w:rPr>
              <w:t xml:space="preserve"> </w:t>
            </w:r>
          </w:p>
          <w:p>
            <w:pPr>
              <w:spacing w:before="100"/>
              <w:jc w:val="left"/>
              <w:rPr>
                <w:sz w:val="22"/>
              </w:rPr>
            </w:pPr>
            <w:r>
              <w:rPr>
                <w:sz w:val="22"/>
              </w:rPr>
              <w:t>Part:  Island</w:t>
            </w:r>
          </w:p>
          <w:p>
            <w:pPr>
              <w:spacing w:before="100"/>
              <w:jc w:val="left"/>
              <w:rPr>
                <w:sz w:val="22"/>
              </w:rPr>
            </w:pPr>
            <w:r>
              <w:rPr>
                <w:sz w:val="22"/>
              </w:rPr>
              <w:t>Undertegningsdato:  12-06-2012</w:t>
            </w:r>
          </w:p>
          <w:p>
            <w:pPr>
              <w:spacing w:before="100"/>
              <w:jc w:val="left"/>
              <w:rPr>
                <w:sz w:val="22"/>
              </w:rPr>
            </w:pPr>
            <w:r>
              <w:rPr>
                <w:sz w:val="22"/>
              </w:rPr>
              <w:t xml:space="preserve">Ratifisert/tiltrådt/godkjent etc.: </w:t>
            </w:r>
          </w:p>
          <w:p>
            <w:pPr>
              <w:spacing w:before="100"/>
              <w:jc w:val="left"/>
              <w:rPr>
                <w:sz w:val="22"/>
              </w:rPr>
            </w:pPr>
            <w:r>
              <w:rPr>
                <w:sz w:val="22"/>
              </w:rPr>
              <w:t>Ikrafttredelsesdato: 01-05-2014</w:t>
            </w:r>
          </w:p>
          <w:p>
            <w:pPr>
              <w:spacing w:before="100"/>
              <w:jc w:val="left"/>
              <w:rPr>
                <w:sz w:val="22"/>
              </w:rPr>
            </w:pPr>
            <w:r>
              <w:rPr>
                <w:sz w:val="22"/>
              </w:rPr>
              <w:t>Fratredelsesdato:</w:t>
            </w:r>
          </w:p>
          <w:p>
            <w:pPr>
              <w:spacing w:before="100"/>
              <w:jc w:val="left"/>
              <w:rPr>
                <w:sz w:val="22"/>
              </w:rPr>
            </w:pPr>
            <w:r>
              <w:rPr>
                <w:sz w:val="22"/>
              </w:rPr>
              <w:t>Merknad:</w:t>
            </w:r>
          </w:p>
          <w:p>
            <w:pPr>
              <w:spacing w:before="100"/>
              <w:jc w:val="left"/>
              <w:rPr>
                <w:sz w:val="22"/>
              </w:rPr>
            </w:pPr>
            <w:r>
              <w:rPr>
                <w:sz w:val="22"/>
              </w:rPr>
              <w:t xml:space="preserve"> </w:t>
            </w:r>
          </w:p>
          <w:p>
            <w:pPr>
              <w:spacing w:before="100"/>
              <w:jc w:val="left"/>
              <w:rPr>
                <w:sz w:val="22"/>
              </w:rPr>
            </w:pPr>
            <w:r>
              <w:rPr>
                <w:sz w:val="22"/>
              </w:rPr>
              <w:t>Part:  Sverige</w:t>
            </w:r>
          </w:p>
          <w:p>
            <w:pPr>
              <w:spacing w:before="100"/>
              <w:jc w:val="left"/>
              <w:rPr>
                <w:sz w:val="22"/>
              </w:rPr>
            </w:pPr>
            <w:r>
              <w:rPr>
                <w:sz w:val="22"/>
              </w:rPr>
              <w:t>Undertegningsdato:  12-06-2012</w:t>
            </w:r>
          </w:p>
          <w:p>
            <w:pPr>
              <w:spacing w:before="100"/>
              <w:jc w:val="left"/>
              <w:rPr>
                <w:sz w:val="22"/>
              </w:rPr>
            </w:pPr>
            <w:r>
              <w:rPr>
                <w:sz w:val="22"/>
              </w:rPr>
              <w:t xml:space="preserve">Ratifisert/tiltrådt/godkjent etc.: </w:t>
            </w:r>
          </w:p>
          <w:p>
            <w:pPr>
              <w:spacing w:before="100"/>
              <w:jc w:val="left"/>
              <w:rPr>
                <w:sz w:val="22"/>
              </w:rPr>
            </w:pPr>
            <w:r>
              <w:rPr>
                <w:sz w:val="22"/>
              </w:rPr>
              <w:t>Ikrafttredelsesdato: 01-05-2014</w:t>
            </w:r>
          </w:p>
          <w:p>
            <w:pPr>
              <w:spacing w:before="100"/>
              <w:jc w:val="left"/>
              <w:rPr>
                <w:sz w:val="22"/>
              </w:rPr>
            </w:pPr>
            <w:r>
              <w:rPr>
                <w:sz w:val="22"/>
              </w:rPr>
              <w:t>Fratredelsesdato:</w:t>
            </w:r>
          </w:p>
          <w:p>
            <w:pPr>
              <w:spacing w:before="100"/>
              <w:jc w:val="left"/>
              <w:rPr>
                <w:sz w:val="22"/>
              </w:rPr>
            </w:pPr>
            <w:r>
              <w:rPr>
                <w:sz w:val="22"/>
              </w:rPr>
              <w:t>Merknad:</w:t>
            </w:r>
          </w:p>
          <w:p>
            <w:pPr>
              <w:spacing w:before="100"/>
              <w:jc w:val="left"/>
              <w:rPr>
                <w:sz w:val="22"/>
              </w:rPr>
            </w:pPr>
            <w:r>
              <w:rPr>
                <w:sz w:val="22"/>
              </w:rPr>
              <w:t xml:space="preserve"> </w:t>
            </w:r>
          </w:p>
          <w:p>
            <w:pPr>
              <w:spacing w:before="100"/>
              <w:jc w:val="left"/>
              <w:rPr>
                <w:sz w:val="22"/>
              </w:rPr>
            </w:pPr>
          </w:p>
        </w:tc>
      </w:tr>
    </w:tbl>
    <w:p>
      <w:pPr>
        <w:spacing w:before="100"/>
        <w:jc w:val="center"/>
        <w:rPr>
          <w:sz w:val="22"/>
        </w:rPr>
      </w:pPr>
    </w:p>
    <w:p>
      <w:pPr>
        <w:spacing w:before="0" w:after="0"/>
        <w:jc w:val="center"/>
        <w:rPr>
          <w:sz w:val="22"/>
        </w:rPr>
      </w:pPr>
      <w:r>
        <w:pict>
          <v:rect id="_x0000_i1025" style="width:493.3pt;height:2.25pt" o:hrpct="1000" o:hralign="center" o:hrstd="t" o:hrnoshade="t" o:hr="t" filled="t" fillcolor="#cd0c1a" stroked="f">
            <v:path strokeok="f"/>
          </v:rect>
        </w:pict>
      </w:r>
    </w:p>
    <w:p>
      <w:pPr>
        <w:spacing w:before="0" w:after="0"/>
        <w:jc w:val="center"/>
        <w:rPr>
          <w:sz w:val="22"/>
        </w:rPr>
      </w:pPr>
      <w:r>
        <w:rPr>
          <w:sz w:val="22"/>
        </w:rPr>
        <w:br w:type="page"/>
      </w:r>
      <w:bookmarkEnd w:id="1"/>
    </w:p>
    <w:p>
      <w:pPr>
        <w:pStyle w:val="Heading2"/>
        <w:spacing w:before="0" w:after="0"/>
        <w:jc w:val="center"/>
        <w:rPr>
          <w:sz w:val="22"/>
        </w:rPr>
      </w:pPr>
      <w:bookmarkStart w:id="2" w:name="_Toc256000001"/>
      <w:r>
        <w:rPr>
          <w:sz w:val="22"/>
        </w:rPr>
        <w:t>Innholdsfortegnelse</w:t>
      </w:r>
      <w:bookmarkEnd w:id="2"/>
    </w:p>
    <w:p>
      <w:pPr>
        <w:pStyle w:val="TOC1"/>
        <w:tabs>
          <w:tab w:val="right" w:leader="dot" w:pos="9456"/>
        </w:tabs>
        <w:spacing w:before="0"/>
        <w:ind w:right="1000"/>
        <w:rPr>
          <w:rFonts w:ascii="Calibri" w:hAnsi="Calibri"/>
          <w:noProof/>
          <w:sz w:val="22"/>
        </w:rPr>
      </w:pPr>
      <w:r>
        <w:rPr>
          <w:sz w:val="22"/>
        </w:rPr>
        <w:fldChar w:fldCharType="begin"/>
      </w:r>
      <w:r>
        <w:rPr>
          <w:sz w:val="22"/>
        </w:rPr>
        <w:instrText>TOC \o "1-9" \z \u \h</w:instrText>
      </w:r>
      <w:r>
        <w:rPr>
          <w:sz w:val="22"/>
        </w:rPr>
        <w:fldChar w:fldCharType="separate"/>
      </w:r>
      <w:hyperlink w:anchor="_Toc256000000" w:history="1">
        <w:r w:rsidR="00A77B3E">
          <w:rPr>
            <w:rStyle w:val="Hyperlink"/>
          </w:rPr>
          <w:t>Nordisk konvensjon om trygd</w:t>
        </w:r>
        <w:r>
          <w:tab/>
        </w:r>
        <w:r>
          <w:fldChar w:fldCharType="begin"/>
        </w:r>
        <w:r>
          <w:instrText xml:space="preserve"> PAGEREF _Toc256000000 \h </w:instrText>
        </w:r>
        <w:r>
          <w:fldChar w:fldCharType="separate"/>
        </w:r>
        <w:r>
          <w:t>1</w:t>
        </w:r>
        <w:r>
          <w:fldChar w:fldCharType="end"/>
        </w:r>
      </w:hyperlink>
    </w:p>
    <w:p>
      <w:pPr>
        <w:pStyle w:val="TOC2"/>
        <w:tabs>
          <w:tab w:val="right" w:leader="dot" w:pos="9456"/>
        </w:tabs>
        <w:spacing w:before="0"/>
        <w:ind w:right="1000"/>
        <w:rPr>
          <w:rFonts w:ascii="Calibri" w:hAnsi="Calibri"/>
          <w:noProof/>
          <w:sz w:val="22"/>
        </w:rPr>
      </w:pPr>
      <w:hyperlink w:anchor="_Toc256000001" w:history="1">
        <w:r>
          <w:rPr>
            <w:rStyle w:val="Hyperlink"/>
          </w:rPr>
          <w:t>Innholdsfortegnelse</w:t>
        </w:r>
        <w:r>
          <w:tab/>
        </w:r>
        <w:r>
          <w:fldChar w:fldCharType="begin"/>
        </w:r>
        <w:r>
          <w:instrText xml:space="preserve"> PAGEREF _Toc256000001 \h </w:instrText>
        </w:r>
        <w:r>
          <w:fldChar w:fldCharType="separate"/>
        </w:r>
        <w:r>
          <w:t>3</w:t>
        </w:r>
        <w:r>
          <w:fldChar w:fldCharType="end"/>
        </w:r>
      </w:hyperlink>
    </w:p>
    <w:p>
      <w:pPr>
        <w:pStyle w:val="TOC2"/>
        <w:tabs>
          <w:tab w:val="right" w:leader="dot" w:pos="9456"/>
        </w:tabs>
        <w:spacing w:before="0"/>
        <w:ind w:right="1000"/>
        <w:rPr>
          <w:rFonts w:ascii="Calibri" w:hAnsi="Calibri"/>
          <w:noProof/>
          <w:sz w:val="22"/>
        </w:rPr>
      </w:pPr>
      <w:hyperlink w:anchor="_Toc256000003" w:history="1">
        <w:r>
          <w:rPr>
            <w:rStyle w:val="Hyperlink"/>
          </w:rPr>
          <w:t>Nordisk konvensjon om trygd</w:t>
        </w:r>
        <w:r>
          <w:tab/>
        </w:r>
        <w:r>
          <w:fldChar w:fldCharType="begin"/>
        </w:r>
        <w:r>
          <w:instrText xml:space="preserve"> PAGEREF _Toc256000003 \h </w:instrText>
        </w:r>
        <w:r>
          <w:fldChar w:fldCharType="separate"/>
        </w:r>
        <w:r>
          <w:t>4</w:t>
        </w:r>
        <w:r>
          <w:fldChar w:fldCharType="end"/>
        </w:r>
      </w:hyperlink>
    </w:p>
    <w:p>
      <w:pPr>
        <w:pStyle w:val="TOC2"/>
        <w:tabs>
          <w:tab w:val="right" w:leader="dot" w:pos="9456"/>
        </w:tabs>
        <w:spacing w:before="0"/>
        <w:ind w:right="1000"/>
        <w:rPr>
          <w:rFonts w:ascii="Calibri" w:hAnsi="Calibri"/>
          <w:noProof/>
          <w:sz w:val="22"/>
        </w:rPr>
      </w:pPr>
      <w:hyperlink w:anchor="_Toc256000004" w:history="1">
        <w:r>
          <w:rPr>
            <w:rStyle w:val="Hyperlink"/>
          </w:rPr>
          <w:t>Avdeling I</w:t>
        </w:r>
        <w:r>
          <w:rPr>
            <w:rStyle w:val="Hyperlink"/>
          </w:rPr>
          <w:t xml:space="preserve"> </w:t>
        </w:r>
        <w:r>
          <w:rPr>
            <w:rStyle w:val="Hyperlink"/>
          </w:rPr>
          <w:t>Alminnelige bestemmelser</w:t>
        </w:r>
        <w:r>
          <w:tab/>
        </w:r>
        <w:r>
          <w:fldChar w:fldCharType="begin"/>
        </w:r>
        <w:r>
          <w:instrText xml:space="preserve"> PAGEREF _Toc256000004 \h </w:instrText>
        </w:r>
        <w:r>
          <w:fldChar w:fldCharType="separate"/>
        </w:r>
        <w:r>
          <w:t>4</w:t>
        </w:r>
        <w:r>
          <w:fldChar w:fldCharType="end"/>
        </w:r>
      </w:hyperlink>
    </w:p>
    <w:p>
      <w:pPr>
        <w:pStyle w:val="TOC2"/>
        <w:tabs>
          <w:tab w:val="right" w:leader="dot" w:pos="9456"/>
        </w:tabs>
        <w:spacing w:before="0"/>
        <w:ind w:right="1000"/>
        <w:rPr>
          <w:rFonts w:ascii="Calibri" w:hAnsi="Calibri"/>
          <w:noProof/>
          <w:sz w:val="22"/>
        </w:rPr>
      </w:pPr>
      <w:hyperlink w:anchor="_Toc256000005" w:history="1">
        <w:r>
          <w:rPr>
            <w:rStyle w:val="Hyperlink"/>
          </w:rPr>
          <w:t>Avdeling II</w:t>
        </w:r>
        <w:r>
          <w:rPr>
            <w:rStyle w:val="Hyperlink"/>
          </w:rPr>
          <w:t xml:space="preserve"> </w:t>
        </w:r>
        <w:r>
          <w:rPr>
            <w:rStyle w:val="Hyperlink"/>
          </w:rPr>
          <w:t>Bestemmelser om hvilken lovgivning som skal anvendes</w:t>
        </w:r>
        <w:r>
          <w:tab/>
        </w:r>
        <w:r>
          <w:fldChar w:fldCharType="begin"/>
        </w:r>
        <w:r>
          <w:instrText xml:space="preserve"> PAGEREF _Toc256000005 \h </w:instrText>
        </w:r>
        <w:r>
          <w:fldChar w:fldCharType="separate"/>
        </w:r>
        <w:r>
          <w:t>5</w:t>
        </w:r>
        <w:r>
          <w:fldChar w:fldCharType="end"/>
        </w:r>
      </w:hyperlink>
    </w:p>
    <w:p>
      <w:pPr>
        <w:pStyle w:val="TOC2"/>
        <w:tabs>
          <w:tab w:val="right" w:leader="dot" w:pos="9456"/>
        </w:tabs>
        <w:spacing w:before="0"/>
        <w:ind w:right="1000"/>
        <w:rPr>
          <w:rFonts w:ascii="Calibri" w:hAnsi="Calibri"/>
          <w:noProof/>
          <w:sz w:val="22"/>
        </w:rPr>
      </w:pPr>
      <w:hyperlink w:anchor="_Toc256000006" w:history="1">
        <w:r>
          <w:rPr>
            <w:rStyle w:val="Hyperlink"/>
          </w:rPr>
          <w:t>Avdeling III</w:t>
        </w:r>
        <w:r>
          <w:rPr>
            <w:rStyle w:val="Hyperlink"/>
          </w:rPr>
          <w:t xml:space="preserve"> </w:t>
        </w:r>
        <w:r>
          <w:rPr>
            <w:rStyle w:val="Hyperlink"/>
          </w:rPr>
          <w:t>Særskilte bestemmelser om retten til ytelser</w:t>
        </w:r>
        <w:r>
          <w:tab/>
        </w:r>
        <w:r>
          <w:fldChar w:fldCharType="begin"/>
        </w:r>
        <w:r>
          <w:instrText xml:space="preserve"> PAGEREF _Toc256000006 \h </w:instrText>
        </w:r>
        <w:r>
          <w:fldChar w:fldCharType="separate"/>
        </w:r>
        <w:r>
          <w:t>5</w:t>
        </w:r>
        <w:r>
          <w:fldChar w:fldCharType="end"/>
        </w:r>
      </w:hyperlink>
    </w:p>
    <w:p>
      <w:pPr>
        <w:pStyle w:val="TOC3"/>
        <w:tabs>
          <w:tab w:val="right" w:leader="dot" w:pos="9456"/>
        </w:tabs>
        <w:spacing w:before="0"/>
        <w:ind w:right="1000"/>
        <w:rPr>
          <w:rFonts w:ascii="Calibri" w:hAnsi="Calibri"/>
          <w:noProof/>
          <w:sz w:val="22"/>
        </w:rPr>
      </w:pPr>
      <w:hyperlink w:anchor="_Toc256000007" w:history="1">
        <w:r>
          <w:rPr>
            <w:rStyle w:val="Hyperlink"/>
          </w:rPr>
          <w:t>Kapitel 1</w:t>
        </w:r>
        <w:r>
          <w:rPr>
            <w:rStyle w:val="Hyperlink"/>
          </w:rPr>
          <w:t xml:space="preserve"> </w:t>
        </w:r>
        <w:r>
          <w:rPr>
            <w:rStyle w:val="Hyperlink"/>
          </w:rPr>
          <w:t>Sykdom</w:t>
        </w:r>
        <w:r>
          <w:tab/>
        </w:r>
        <w:r>
          <w:fldChar w:fldCharType="begin"/>
        </w:r>
        <w:r>
          <w:instrText xml:space="preserve"> PAGEREF _Toc256000007 \h </w:instrText>
        </w:r>
        <w:r>
          <w:fldChar w:fldCharType="separate"/>
        </w:r>
        <w:r>
          <w:t>6</w:t>
        </w:r>
        <w:r>
          <w:fldChar w:fldCharType="end"/>
        </w:r>
      </w:hyperlink>
    </w:p>
    <w:p>
      <w:pPr>
        <w:pStyle w:val="TOC3"/>
        <w:tabs>
          <w:tab w:val="right" w:leader="dot" w:pos="9456"/>
        </w:tabs>
        <w:spacing w:before="0"/>
        <w:ind w:right="1000"/>
        <w:rPr>
          <w:rFonts w:ascii="Calibri" w:hAnsi="Calibri"/>
          <w:noProof/>
          <w:sz w:val="22"/>
        </w:rPr>
      </w:pPr>
      <w:hyperlink w:anchor="_Toc256000008" w:history="1">
        <w:r>
          <w:rPr>
            <w:rStyle w:val="Hyperlink"/>
          </w:rPr>
          <w:t>Kapitel 2</w:t>
        </w:r>
        <w:r>
          <w:rPr>
            <w:rStyle w:val="Hyperlink"/>
          </w:rPr>
          <w:t xml:space="preserve"> </w:t>
        </w:r>
        <w:r>
          <w:rPr>
            <w:rStyle w:val="Hyperlink"/>
          </w:rPr>
          <w:t>Ytelser ved uførhet, alder og dødsfall</w:t>
        </w:r>
        <w:r>
          <w:tab/>
        </w:r>
        <w:r>
          <w:fldChar w:fldCharType="begin"/>
        </w:r>
        <w:r>
          <w:instrText xml:space="preserve"> PAGEREF _Toc256000008 \h </w:instrText>
        </w:r>
        <w:r>
          <w:fldChar w:fldCharType="separate"/>
        </w:r>
        <w:r>
          <w:t>6</w:t>
        </w:r>
        <w:r>
          <w:fldChar w:fldCharType="end"/>
        </w:r>
      </w:hyperlink>
    </w:p>
    <w:p>
      <w:pPr>
        <w:pStyle w:val="TOC3"/>
        <w:tabs>
          <w:tab w:val="right" w:leader="dot" w:pos="9456"/>
        </w:tabs>
        <w:spacing w:before="0"/>
        <w:ind w:right="1000"/>
        <w:rPr>
          <w:rFonts w:ascii="Calibri" w:hAnsi="Calibri"/>
          <w:noProof/>
          <w:sz w:val="22"/>
        </w:rPr>
      </w:pPr>
      <w:hyperlink w:anchor="_Toc256000009" w:history="1">
        <w:r>
          <w:rPr>
            <w:rStyle w:val="Hyperlink"/>
          </w:rPr>
          <w:t>Kapitel 3</w:t>
        </w:r>
        <w:r>
          <w:rPr>
            <w:rStyle w:val="Hyperlink"/>
          </w:rPr>
          <w:t xml:space="preserve"> </w:t>
        </w:r>
        <w:r>
          <w:rPr>
            <w:rStyle w:val="Hyperlink"/>
          </w:rPr>
          <w:t>Ytelser ved arbeidsløshet</w:t>
        </w:r>
        <w:r>
          <w:tab/>
        </w:r>
        <w:r>
          <w:fldChar w:fldCharType="begin"/>
        </w:r>
        <w:r>
          <w:instrText xml:space="preserve"> PAGEREF _Toc256000009 \h </w:instrText>
        </w:r>
        <w:r>
          <w:fldChar w:fldCharType="separate"/>
        </w:r>
        <w:r>
          <w:t>6</w:t>
        </w:r>
        <w:r>
          <w:fldChar w:fldCharType="end"/>
        </w:r>
      </w:hyperlink>
    </w:p>
    <w:p>
      <w:pPr>
        <w:pStyle w:val="TOC3"/>
        <w:tabs>
          <w:tab w:val="right" w:leader="dot" w:pos="9456"/>
        </w:tabs>
        <w:spacing w:before="0"/>
        <w:ind w:right="1000"/>
        <w:rPr>
          <w:rFonts w:ascii="Calibri" w:hAnsi="Calibri"/>
          <w:noProof/>
          <w:sz w:val="22"/>
        </w:rPr>
      </w:pPr>
      <w:hyperlink w:anchor="_Toc256000010" w:history="1">
        <w:r>
          <w:rPr>
            <w:rStyle w:val="Hyperlink"/>
          </w:rPr>
          <w:t>Kapitel 4</w:t>
        </w:r>
        <w:r>
          <w:rPr>
            <w:rStyle w:val="Hyperlink"/>
          </w:rPr>
          <w:t xml:space="preserve"> </w:t>
        </w:r>
        <w:r>
          <w:rPr>
            <w:rStyle w:val="Hyperlink"/>
          </w:rPr>
          <w:t>Familieytelser</w:t>
        </w:r>
        <w:r>
          <w:tab/>
        </w:r>
        <w:r>
          <w:fldChar w:fldCharType="begin"/>
        </w:r>
        <w:r>
          <w:instrText xml:space="preserve"> PAGEREF _Toc256000010 \h </w:instrText>
        </w:r>
        <w:r>
          <w:fldChar w:fldCharType="separate"/>
        </w:r>
        <w:r>
          <w:t>6</w:t>
        </w:r>
        <w:r>
          <w:fldChar w:fldCharType="end"/>
        </w:r>
      </w:hyperlink>
    </w:p>
    <w:p>
      <w:pPr>
        <w:pStyle w:val="TOC3"/>
        <w:tabs>
          <w:tab w:val="right" w:leader="dot" w:pos="9456"/>
        </w:tabs>
        <w:spacing w:before="0"/>
        <w:ind w:right="1000"/>
        <w:rPr>
          <w:rFonts w:ascii="Calibri" w:hAnsi="Calibri"/>
          <w:noProof/>
          <w:sz w:val="22"/>
        </w:rPr>
      </w:pPr>
      <w:hyperlink w:anchor="_Toc256000011" w:history="1">
        <w:r>
          <w:rPr>
            <w:rStyle w:val="Hyperlink"/>
          </w:rPr>
          <w:t>Kapitel 5</w:t>
        </w:r>
        <w:r>
          <w:rPr>
            <w:rStyle w:val="Hyperlink"/>
          </w:rPr>
          <w:t xml:space="preserve"> </w:t>
        </w:r>
        <w:r>
          <w:rPr>
            <w:rStyle w:val="Hyperlink"/>
          </w:rPr>
          <w:t>Rehabilitering</w:t>
        </w:r>
        <w:r>
          <w:tab/>
        </w:r>
        <w:r>
          <w:fldChar w:fldCharType="begin"/>
        </w:r>
        <w:r>
          <w:instrText xml:space="preserve"> PAGEREF _Toc256000011 \h </w:instrText>
        </w:r>
        <w:r>
          <w:fldChar w:fldCharType="separate"/>
        </w:r>
        <w:r>
          <w:t>7</w:t>
        </w:r>
        <w:r>
          <w:fldChar w:fldCharType="end"/>
        </w:r>
      </w:hyperlink>
    </w:p>
    <w:p>
      <w:pPr>
        <w:pStyle w:val="TOC2"/>
        <w:tabs>
          <w:tab w:val="right" w:leader="dot" w:pos="9456"/>
        </w:tabs>
        <w:spacing w:before="0"/>
        <w:ind w:right="1000"/>
        <w:rPr>
          <w:rFonts w:ascii="Calibri" w:hAnsi="Calibri"/>
          <w:noProof/>
          <w:sz w:val="22"/>
        </w:rPr>
      </w:pPr>
      <w:hyperlink w:anchor="_Toc256000012" w:history="1">
        <w:r>
          <w:rPr>
            <w:rStyle w:val="Hyperlink"/>
          </w:rPr>
          <w:t>Avdeling IV</w:t>
        </w:r>
        <w:r>
          <w:rPr>
            <w:rStyle w:val="Hyperlink"/>
          </w:rPr>
          <w:t xml:space="preserve"> </w:t>
        </w:r>
        <w:r>
          <w:rPr>
            <w:rStyle w:val="Hyperlink"/>
          </w:rPr>
          <w:t>Øvrige bestemmelser</w:t>
        </w:r>
        <w:r>
          <w:tab/>
        </w:r>
        <w:r>
          <w:fldChar w:fldCharType="begin"/>
        </w:r>
        <w:r>
          <w:instrText xml:space="preserve"> PAGEREF _Toc256000012 \h </w:instrText>
        </w:r>
        <w:r>
          <w:fldChar w:fldCharType="separate"/>
        </w:r>
        <w:r>
          <w:t>7</w:t>
        </w:r>
        <w:r>
          <w:fldChar w:fldCharType="end"/>
        </w:r>
      </w:hyperlink>
    </w:p>
    <w:p>
      <w:pPr>
        <w:pStyle w:val="Heading2"/>
        <w:spacing w:before="0" w:after="0"/>
        <w:jc w:val="center"/>
        <w:rPr>
          <w:sz w:val="22"/>
        </w:rPr>
      </w:pPr>
      <w:r>
        <w:rPr>
          <w:sz w:val="22"/>
        </w:rPr>
        <w:fldChar w:fldCharType="end"/>
      </w:r>
      <w:r>
        <w:rPr>
          <w:sz w:val="22"/>
        </w:rPr>
        <w:br w:type="page"/>
      </w:r>
    </w:p>
    <w:p>
      <w:pPr>
        <w:spacing w:before="0" w:after="0"/>
        <w:jc w:val="left"/>
        <w:rPr>
          <w:sz w:val="6"/>
        </w:rPr>
      </w:pPr>
      <w:bookmarkStart w:id="3" w:name="documentBody"/>
    </w:p>
    <w:p>
      <w:pPr>
        <w:spacing w:before="0" w:after="0"/>
        <w:ind w:left="0" w:firstLine="0"/>
        <w:jc w:val="left"/>
        <w:rPr>
          <w:b w:val="0"/>
          <w:i w:val="0"/>
          <w:sz w:val="18"/>
          <w:u w:val="none"/>
        </w:rPr>
      </w:pPr>
      <w:r>
        <w:rPr>
          <w:b w:val="0"/>
          <w:i w:val="0"/>
          <w:sz w:val="18"/>
          <w:u w:val="none"/>
        </w:rPr>
        <w:t>I henhold til kgl.res. av 25. mai 2012 ble avtalen undertegnet 12. juni 2012. I henhold til kgl.res. av 5. april 2012 ble avtalen inngått. Avtalen trådte i kraft 1. mai 2014. Det vises til Prop. 40 S (2012–2013), Innst. 244 S (2012–2013) og til vedtak i Stortinget 19. mars 2013.</w:t>
      </w:r>
      <w:bookmarkStart w:id="4" w:name="KAPITTEL_1"/>
    </w:p>
    <w:p>
      <w:pPr>
        <w:spacing w:before="0" w:after="0"/>
        <w:ind w:firstLine="0"/>
        <w:jc w:val="left"/>
        <w:rPr>
          <w:b w:val="0"/>
          <w:i w:val="0"/>
          <w:sz w:val="22"/>
          <w:u w:val="none"/>
        </w:rPr>
      </w:pPr>
    </w:p>
    <w:p>
      <w:pPr>
        <w:spacing w:before="0" w:after="0"/>
        <w:ind w:firstLine="0"/>
        <w:jc w:val="left"/>
        <w:rPr>
          <w:b w:val="0"/>
          <w:i w:val="0"/>
          <w:sz w:val="22"/>
          <w:u w:val="none"/>
        </w:rPr>
      </w:pPr>
    </w:p>
    <w:p>
      <w:pPr>
        <w:pStyle w:val="Heading2"/>
        <w:spacing w:before="0" w:after="0"/>
        <w:ind w:firstLine="0"/>
        <w:jc w:val="left"/>
        <w:rPr>
          <w:sz w:val="28"/>
        </w:rPr>
      </w:pPr>
      <w:bookmarkStart w:id="5" w:name="_Toc256000003"/>
      <w:r>
        <w:rPr>
          <w:sz w:val="28"/>
        </w:rPr>
        <w:t>Nordisk konvensjon om trygd</w:t>
      </w:r>
      <w:bookmarkEnd w:id="5"/>
    </w:p>
    <w:p>
      <w:pPr>
        <w:spacing w:before="120" w:after="0"/>
        <w:ind w:left="0" w:firstLine="180"/>
        <w:jc w:val="left"/>
        <w:rPr>
          <w:b w:val="0"/>
          <w:i w:val="0"/>
          <w:sz w:val="22"/>
          <w:u w:val="none"/>
        </w:rPr>
      </w:pPr>
      <w:r>
        <w:rPr>
          <w:b w:val="0"/>
          <w:i w:val="0"/>
          <w:sz w:val="22"/>
          <w:u w:val="none"/>
        </w:rPr>
        <w:t>Regjeringene i Danmark, Finland, Island, Norge og Sverige,</w:t>
      </w:r>
    </w:p>
    <w:p>
      <w:pPr>
        <w:spacing w:before="120" w:after="0"/>
        <w:ind w:left="0" w:firstLine="180"/>
        <w:jc w:val="left"/>
        <w:rPr>
          <w:b w:val="0"/>
          <w:i/>
          <w:sz w:val="22"/>
          <w:u w:val="none"/>
        </w:rPr>
      </w:pPr>
      <w:r>
        <w:rPr>
          <w:b w:val="0"/>
          <w:i/>
          <w:sz w:val="22"/>
          <w:u w:val="none"/>
        </w:rPr>
        <w:t>som</w:t>
      </w:r>
      <w:r>
        <w:rPr>
          <w:b w:val="0"/>
          <w:i w:val="0"/>
          <w:sz w:val="22"/>
          <w:u w:val="none"/>
        </w:rPr>
        <w:t xml:space="preserve"> siden avtalen om Det europeiske økonomiske samarbeidsområdet (EØS-avtalen) trådte i kraft anvender de europeiske bestemmelsene om anvendelse av trygdeordninger på arbeidstakere, selvstendig næringsdrivende og deres familiemedlemmer som flytter innenfor fellesskapet også når det gjelder personer som flytter mellom de nordiske landene,</w:t>
      </w:r>
    </w:p>
    <w:p>
      <w:pPr>
        <w:spacing w:before="120" w:after="0"/>
        <w:ind w:left="0" w:firstLine="180"/>
        <w:jc w:val="left"/>
        <w:rPr>
          <w:b w:val="0"/>
          <w:i/>
          <w:sz w:val="22"/>
          <w:u w:val="none"/>
        </w:rPr>
      </w:pPr>
      <w:r>
        <w:rPr>
          <w:b w:val="0"/>
          <w:i/>
          <w:sz w:val="22"/>
          <w:u w:val="none"/>
        </w:rPr>
        <w:t>som</w:t>
      </w:r>
      <w:r>
        <w:rPr>
          <w:b w:val="0"/>
          <w:i w:val="0"/>
          <w:sz w:val="22"/>
          <w:u w:val="none"/>
        </w:rPr>
        <w:t xml:space="preserve"> sist den 18. august 2003 inngikk en nordisk konvensjon om trygd som komplement til den europeiske forordningen om anvendelse av trygdeordninger, der de nordiske landene har forpliktet seg til i stor utstrekning å anvende forordningens bestemmelser innenfor Norden også på visse persongrupper som forordningen ikke kommer til direkte anvendelse på, nemlig personer som ikke er statsborgere i et EØS-land, eller som ikke er eller har vært arbeidstakere eller selvstendig næringsdrivende i forordningens forstand,</w:t>
      </w:r>
    </w:p>
    <w:p>
      <w:pPr>
        <w:spacing w:before="120" w:after="0"/>
        <w:ind w:left="0" w:firstLine="180"/>
        <w:jc w:val="left"/>
        <w:rPr>
          <w:b w:val="0"/>
          <w:i/>
          <w:sz w:val="22"/>
          <w:u w:val="none"/>
        </w:rPr>
      </w:pPr>
      <w:r>
        <w:rPr>
          <w:b w:val="0"/>
          <w:i/>
          <w:sz w:val="22"/>
          <w:u w:val="none"/>
        </w:rPr>
        <w:t>som</w:t>
      </w:r>
      <w:r>
        <w:rPr>
          <w:b w:val="0"/>
          <w:i w:val="0"/>
          <w:sz w:val="22"/>
          <w:u w:val="none"/>
        </w:rPr>
        <w:t xml:space="preserve"> ønsker å inngå en konvensjon om trygd som bygger på prinsippene i forordning </w:t>
      </w:r>
      <w:hyperlink r:id="rId5" w:anchor="reference/eu/32004r0883" w:history="1">
        <w:r>
          <w:rPr>
            <w:b w:val="0"/>
            <w:i w:val="0"/>
            <w:color w:val="0000FF"/>
            <w:sz w:val="22"/>
            <w:u w:val="single"/>
          </w:rPr>
          <w:t>(EF) nr. 883/2004</w:t>
        </w:r>
      </w:hyperlink>
      <w:r>
        <w:rPr>
          <w:b w:val="0"/>
          <w:i w:val="0"/>
          <w:color w:val="auto"/>
          <w:sz w:val="22"/>
          <w:u w:val="none"/>
        </w:rPr>
        <w:t xml:space="preserve"> og som er i overensstemmelse med dens grunnleggende idé,</w:t>
      </w:r>
    </w:p>
    <w:p>
      <w:pPr>
        <w:spacing w:before="120" w:after="0"/>
        <w:ind w:left="0" w:firstLine="180"/>
        <w:jc w:val="left"/>
        <w:rPr>
          <w:b w:val="0"/>
          <w:i/>
          <w:sz w:val="22"/>
          <w:u w:val="none"/>
        </w:rPr>
      </w:pPr>
      <w:r>
        <w:rPr>
          <w:b w:val="0"/>
          <w:i/>
          <w:sz w:val="22"/>
          <w:u w:val="none"/>
        </w:rPr>
        <w:t>som</w:t>
      </w:r>
      <w:r>
        <w:rPr>
          <w:b w:val="0"/>
          <w:i w:val="0"/>
          <w:sz w:val="22"/>
          <w:u w:val="none"/>
        </w:rPr>
        <w:t xml:space="preserve"> vil tilpasse den nordiske konvensjonen til forordning </w:t>
      </w:r>
      <w:hyperlink r:id="rId6" w:anchor="reference/eu/32004r0883" w:history="1">
        <w:r>
          <w:rPr>
            <w:b w:val="0"/>
            <w:i w:val="0"/>
            <w:color w:val="0000FF"/>
            <w:sz w:val="22"/>
            <w:u w:val="single"/>
          </w:rPr>
          <w:t>(EF) nr. 883/2004</w:t>
        </w:r>
      </w:hyperlink>
      <w:r>
        <w:rPr>
          <w:b w:val="0"/>
          <w:i w:val="0"/>
          <w:color w:val="auto"/>
          <w:sz w:val="22"/>
          <w:u w:val="none"/>
        </w:rPr>
        <w:t xml:space="preserve">, som også omfatter personer som ikke er eller har vært arbeidstakere eller selvstendig næringsdrivende, til gjennomføringsbestemmelsene til denne forordningen </w:t>
      </w:r>
      <w:hyperlink r:id="rId7" w:anchor="reference/eu/32009r0987" w:history="1">
        <w:r>
          <w:rPr>
            <w:b w:val="0"/>
            <w:i w:val="0"/>
            <w:color w:val="0000FF"/>
            <w:sz w:val="22"/>
            <w:u w:val="single"/>
          </w:rPr>
          <w:t>(EF) nr. 987/2009</w:t>
        </w:r>
      </w:hyperlink>
      <w:r>
        <w:rPr>
          <w:b w:val="0"/>
          <w:i w:val="0"/>
          <w:color w:val="auto"/>
          <w:sz w:val="22"/>
          <w:u w:val="none"/>
        </w:rPr>
        <w:t xml:space="preserve"> og til utviklingen i de nordiske landenes lovgivning om trygd,</w:t>
      </w:r>
    </w:p>
    <w:p>
      <w:pPr>
        <w:spacing w:before="120" w:after="0"/>
        <w:ind w:left="0" w:firstLine="180"/>
        <w:jc w:val="left"/>
        <w:rPr>
          <w:b w:val="0"/>
          <w:i/>
          <w:sz w:val="22"/>
          <w:u w:val="none"/>
        </w:rPr>
      </w:pPr>
      <w:r>
        <w:rPr>
          <w:b w:val="0"/>
          <w:i/>
          <w:sz w:val="22"/>
          <w:u w:val="none"/>
        </w:rPr>
        <w:t>som</w:t>
      </w:r>
      <w:r>
        <w:rPr>
          <w:b w:val="0"/>
          <w:i w:val="0"/>
          <w:sz w:val="22"/>
          <w:u w:val="none"/>
        </w:rPr>
        <w:t xml:space="preserve"> tar hensyn til at det er et riksfellesskap mellom Danmark, Færøyene og Grønland og at Færøyene og Grønland ikke er medlemmer i Den europeiske unionen eller omfattes av EØS-avtalen,</w:t>
      </w:r>
    </w:p>
    <w:p>
      <w:pPr>
        <w:spacing w:before="120" w:after="0"/>
        <w:ind w:left="0" w:firstLine="180"/>
        <w:jc w:val="left"/>
        <w:rPr>
          <w:b w:val="0"/>
          <w:i w:val="0"/>
          <w:sz w:val="22"/>
          <w:u w:val="none"/>
        </w:rPr>
      </w:pPr>
      <w:r>
        <w:rPr>
          <w:b w:val="0"/>
          <w:i w:val="0"/>
          <w:sz w:val="22"/>
          <w:u w:val="none"/>
        </w:rPr>
        <w:t>har blitt enige om å inngå en ny nordisk konvensjon om trygd. Denne konvensjonen kompletterer EU-forordningene og gir i visse tilfelle ytterligere rettigheter for personer som flytter mellom de nordiske landene.</w:t>
      </w:r>
    </w:p>
    <w:p>
      <w:pPr>
        <w:spacing w:before="120" w:after="0"/>
        <w:ind w:left="0" w:firstLine="180"/>
        <w:jc w:val="left"/>
        <w:rPr>
          <w:b w:val="0"/>
          <w:i w:val="0"/>
          <w:sz w:val="22"/>
          <w:u w:val="none"/>
        </w:rPr>
      </w:pPr>
      <w:r>
        <w:rPr>
          <w:b w:val="0"/>
          <w:i w:val="0"/>
          <w:sz w:val="22"/>
          <w:u w:val="none"/>
        </w:rPr>
        <w:t>Konvensjonen har den ordlyd som følger nedenfor:</w:t>
      </w:r>
      <w:bookmarkEnd w:id="4"/>
      <w:bookmarkStart w:id="6" w:name="KAPITTEL_2"/>
    </w:p>
    <w:p>
      <w:pPr>
        <w:spacing w:before="0" w:after="0"/>
        <w:ind w:firstLine="0"/>
        <w:jc w:val="left"/>
        <w:rPr>
          <w:b w:val="0"/>
          <w:i w:val="0"/>
          <w:sz w:val="22"/>
          <w:u w:val="none"/>
        </w:rPr>
      </w:pPr>
    </w:p>
    <w:p>
      <w:pPr>
        <w:spacing w:before="0" w:after="0"/>
        <w:ind w:firstLine="0"/>
        <w:jc w:val="left"/>
        <w:rPr>
          <w:b w:val="0"/>
          <w:i w:val="0"/>
          <w:sz w:val="22"/>
          <w:u w:val="none"/>
        </w:rPr>
      </w:pPr>
    </w:p>
    <w:p>
      <w:pPr>
        <w:pStyle w:val="Heading2"/>
        <w:spacing w:before="0" w:after="0"/>
        <w:ind w:firstLine="0"/>
        <w:jc w:val="center"/>
        <w:rPr>
          <w:sz w:val="28"/>
        </w:rPr>
      </w:pPr>
      <w:bookmarkStart w:id="7" w:name="_Toc256000004"/>
      <w:r>
        <w:rPr>
          <w:sz w:val="28"/>
        </w:rPr>
        <w:t>Avdeling I</w:t>
      </w:r>
      <w:r>
        <w:rPr>
          <w:sz w:val="22"/>
        </w:rPr>
        <w:br/>
      </w:r>
      <w:r>
        <w:rPr>
          <w:sz w:val="28"/>
        </w:rPr>
        <w:t>Alminnelige bestemmelser</w:t>
      </w:r>
      <w:bookmarkEnd w:id="7"/>
      <w:bookmarkStart w:id="8" w:name="ARTIKKEL_1"/>
    </w:p>
    <w:p>
      <w:pPr>
        <w:spacing w:before="0" w:after="0"/>
        <w:ind w:firstLine="0"/>
        <w:jc w:val="left"/>
        <w:rPr>
          <w:b w:val="0"/>
          <w:i w:val="0"/>
          <w:sz w:val="22"/>
          <w:u w:val="none"/>
        </w:rPr>
      </w:pPr>
    </w:p>
    <w:p>
      <w:pPr>
        <w:spacing w:before="0" w:after="0"/>
        <w:ind w:firstLine="0"/>
        <w:jc w:val="center"/>
        <w:rPr>
          <w:b/>
          <w:i w:val="0"/>
          <w:sz w:val="22"/>
          <w:u w:val="none"/>
        </w:rPr>
      </w:pPr>
      <w:bookmarkStart w:id="9" w:name="a1"/>
      <w:bookmarkEnd w:id="9"/>
      <w:r>
        <w:rPr>
          <w:b/>
          <w:i w:val="0"/>
          <w:sz w:val="22"/>
          <w:u w:val="none"/>
        </w:rPr>
        <w:t>Artikkel 1</w:t>
      </w:r>
      <w:r>
        <w:rPr>
          <w:b w:val="0"/>
          <w:i w:val="0"/>
          <w:sz w:val="22"/>
          <w:u w:val="none"/>
        </w:rPr>
        <w:br/>
      </w:r>
      <w:r>
        <w:rPr>
          <w:b/>
          <w:i w:val="0"/>
          <w:sz w:val="22"/>
          <w:u w:val="none"/>
        </w:rPr>
        <w:t xml:space="preserve"> </w:t>
      </w:r>
      <w:r>
        <w:rPr>
          <w:b/>
          <w:i w:val="0"/>
          <w:sz w:val="22"/>
          <w:u w:val="none"/>
        </w:rPr>
        <w:t>Definisjoner</w:t>
      </w:r>
    </w:p>
    <w:p>
      <w:pPr>
        <w:spacing w:before="120" w:after="0"/>
        <w:ind w:left="0" w:firstLine="0"/>
        <w:jc w:val="left"/>
        <w:rPr>
          <w:b w:val="0"/>
          <w:i w:val="0"/>
          <w:sz w:val="22"/>
          <w:u w:val="none"/>
        </w:rPr>
      </w:pPr>
      <w:r>
        <w:rPr>
          <w:b w:val="0"/>
          <w:i w:val="0"/>
          <w:sz w:val="22"/>
          <w:u w:val="none"/>
        </w:rPr>
        <w:t>1.</w:t>
      </w:r>
      <w:r>
        <w:rPr>
          <w:b w:val="0"/>
          <w:i w:val="0"/>
          <w:sz w:val="22"/>
          <w:u w:val="none"/>
        </w:rPr>
        <w:t xml:space="preserve"> I denne konvensjonen betyr uttrykkene</w:t>
      </w: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1.</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«nordisk land»</w:t>
            </w:r>
          </w:p>
        </w:tc>
      </w:tr>
    </w:tbl>
    <w:p>
      <w:pPr>
        <w:spacing w:before="0" w:after="0"/>
        <w:ind w:firstLine="0"/>
        <w:jc w:val="left"/>
        <w:rPr>
          <w:b w:val="0"/>
          <w:i w:val="0"/>
          <w:sz w:val="6"/>
          <w:u w:val="none"/>
        </w:rPr>
      </w:pPr>
    </w:p>
    <w:p>
      <w:pPr>
        <w:spacing w:before="40" w:after="0"/>
        <w:ind w:left="360" w:firstLine="180"/>
        <w:jc w:val="left"/>
        <w:rPr>
          <w:b w:val="0"/>
          <w:i w:val="0"/>
          <w:sz w:val="22"/>
          <w:u w:val="none"/>
        </w:rPr>
      </w:pPr>
      <w:r>
        <w:rPr>
          <w:b w:val="0"/>
          <w:i w:val="0"/>
          <w:sz w:val="22"/>
          <w:u w:val="none"/>
        </w:rPr>
        <w:t>hvert og ett av de kontraherende landene samt de selvstyrte områdene Færøyene og Grønland, som har egen kompetanse innenfor de områdene som konvensjonen omfatter, og Åland, i den utstrekning disse områdene har gitt sitt samtykke til at konvensjonen skal gjelde for dem;</w:t>
      </w: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2.</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«forordningen»</w:t>
            </w:r>
          </w:p>
        </w:tc>
      </w:tr>
    </w:tbl>
    <w:p>
      <w:pPr>
        <w:spacing w:before="0" w:after="0"/>
        <w:ind w:firstLine="0"/>
        <w:jc w:val="left"/>
        <w:rPr>
          <w:b w:val="0"/>
          <w:i w:val="0"/>
          <w:sz w:val="6"/>
          <w:u w:val="none"/>
        </w:rPr>
      </w:pPr>
    </w:p>
    <w:p>
      <w:pPr>
        <w:spacing w:before="40" w:after="0"/>
        <w:ind w:left="360" w:firstLine="180"/>
        <w:jc w:val="left"/>
        <w:rPr>
          <w:b w:val="0"/>
          <w:i w:val="0"/>
          <w:sz w:val="22"/>
          <w:u w:val="none"/>
        </w:rPr>
      </w:pPr>
      <w:r>
        <w:rPr>
          <w:b w:val="0"/>
          <w:i w:val="0"/>
          <w:sz w:val="22"/>
          <w:u w:val="none"/>
        </w:rPr>
        <w:t xml:space="preserve">forordning </w:t>
      </w:r>
      <w:hyperlink r:id="rId8" w:anchor="reference/eu/32004r0883" w:history="1">
        <w:r>
          <w:rPr>
            <w:b w:val="0"/>
            <w:i w:val="0"/>
            <w:color w:val="0000FF"/>
            <w:sz w:val="22"/>
            <w:u w:val="single"/>
          </w:rPr>
          <w:t>(EF) nr. 883/2004</w:t>
        </w:r>
      </w:hyperlink>
      <w:r>
        <w:rPr>
          <w:b w:val="0"/>
          <w:i w:val="0"/>
          <w:color w:val="auto"/>
          <w:sz w:val="22"/>
          <w:u w:val="none"/>
        </w:rPr>
        <w:t xml:space="preserve"> om koordinering av trygdeordninger med den ordlyd som til enhver tid gjelder mellom de nordiske landene og med de tilpasninger som til enhver tid følger av vedlegg VI til Avtalen om Det europeiske økonomiske samarbeidsområdet av 2. mai 1992 (EØS-avtalen);</w:t>
      </w: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3.</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«gjennomføringsforordningen»</w:t>
            </w:r>
          </w:p>
        </w:tc>
      </w:tr>
    </w:tbl>
    <w:p>
      <w:pPr>
        <w:spacing w:before="0" w:after="0"/>
        <w:ind w:firstLine="0"/>
        <w:jc w:val="left"/>
        <w:rPr>
          <w:b w:val="0"/>
          <w:i w:val="0"/>
          <w:sz w:val="6"/>
          <w:u w:val="none"/>
        </w:rPr>
      </w:pPr>
    </w:p>
    <w:p>
      <w:pPr>
        <w:spacing w:before="40" w:after="0"/>
        <w:ind w:left="360" w:firstLine="180"/>
        <w:jc w:val="left"/>
        <w:rPr>
          <w:b w:val="0"/>
          <w:i w:val="0"/>
          <w:sz w:val="22"/>
          <w:u w:val="none"/>
        </w:rPr>
      </w:pPr>
      <w:r>
        <w:rPr>
          <w:b w:val="0"/>
          <w:i w:val="0"/>
          <w:sz w:val="22"/>
          <w:u w:val="none"/>
        </w:rPr>
        <w:t xml:space="preserve">forordning </w:t>
      </w:r>
      <w:hyperlink r:id="rId9" w:anchor="reference/eu/32009r0987" w:history="1">
        <w:r>
          <w:rPr>
            <w:b w:val="0"/>
            <w:i w:val="0"/>
            <w:color w:val="0000FF"/>
            <w:sz w:val="22"/>
            <w:u w:val="single"/>
          </w:rPr>
          <w:t>(EF) nr. 987/2009</w:t>
        </w:r>
      </w:hyperlink>
      <w:r>
        <w:rPr>
          <w:b w:val="0"/>
          <w:i w:val="0"/>
          <w:color w:val="auto"/>
          <w:sz w:val="22"/>
          <w:u w:val="none"/>
        </w:rPr>
        <w:t xml:space="preserve"> om gjennomføringsbestemmelser til forordningen </w:t>
      </w:r>
      <w:hyperlink r:id="rId10" w:anchor="reference/eu/32004r0883" w:history="1">
        <w:r>
          <w:rPr>
            <w:b w:val="0"/>
            <w:i w:val="0"/>
            <w:color w:val="0000FF"/>
            <w:sz w:val="22"/>
            <w:u w:val="single"/>
          </w:rPr>
          <w:t>(EF) nr. 883/2004</w:t>
        </w:r>
      </w:hyperlink>
      <w:r>
        <w:rPr>
          <w:b w:val="0"/>
          <w:i w:val="0"/>
          <w:color w:val="auto"/>
          <w:sz w:val="22"/>
          <w:u w:val="none"/>
        </w:rPr>
        <w:t xml:space="preserve"> med den ordlyd som til enhver tid gjelder mellom de nordiske landene og med de tilpasninger som til enhver tid følger av vedlegg VI til Avtalen om Det europeiske økonomiske samarbeidsområdet av 2. mai 1992 (EØS-avtalen);</w:t>
      </w: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4.</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«grunnpensjon»</w:t>
            </w:r>
          </w:p>
        </w:tc>
      </w:tr>
    </w:tbl>
    <w:p>
      <w:pPr>
        <w:spacing w:before="0" w:after="0"/>
        <w:ind w:firstLine="0"/>
        <w:jc w:val="left"/>
        <w:rPr>
          <w:b w:val="0"/>
          <w:i w:val="0"/>
          <w:sz w:val="6"/>
          <w:u w:val="none"/>
        </w:rPr>
      </w:pPr>
    </w:p>
    <w:p>
      <w:pPr>
        <w:spacing w:before="40" w:after="0"/>
        <w:ind w:left="360" w:firstLine="180"/>
        <w:jc w:val="left"/>
        <w:rPr>
          <w:b w:val="0"/>
          <w:i w:val="0"/>
          <w:sz w:val="22"/>
          <w:u w:val="none"/>
        </w:rPr>
      </w:pPr>
      <w:r>
        <w:rPr>
          <w:b w:val="0"/>
          <w:i w:val="0"/>
          <w:sz w:val="22"/>
          <w:u w:val="none"/>
        </w:rPr>
        <w:t>pensjon basert på bosetning og tillegg til pensjon som ytes til den som mangler eller har lav arbeidspensjon; se vedlegg 1 til den administrative avtalen til denne konvensjonen, der det angis hvilke ytelser som regnes som grunnpensjon i de ulike nordiske landene.</w:t>
      </w:r>
    </w:p>
    <w:p>
      <w:pPr>
        <w:spacing w:before="120" w:after="0"/>
        <w:ind w:left="0" w:firstLine="0"/>
        <w:jc w:val="left"/>
        <w:rPr>
          <w:b w:val="0"/>
          <w:i w:val="0"/>
          <w:sz w:val="22"/>
          <w:u w:val="none"/>
        </w:rPr>
      </w:pPr>
      <w:r>
        <w:rPr>
          <w:b w:val="0"/>
          <w:i w:val="0"/>
          <w:sz w:val="22"/>
          <w:u w:val="none"/>
        </w:rPr>
        <w:t>2.</w:t>
      </w:r>
      <w:r>
        <w:rPr>
          <w:b w:val="0"/>
          <w:i w:val="0"/>
          <w:sz w:val="22"/>
          <w:u w:val="none"/>
        </w:rPr>
        <w:t xml:space="preserve"> Andre uttrykk som forekommer i denne konvensjonen har det innhold som de har i forordningen, gjennomføringsforordningen eller i de nordiske landenes nasjonale lovgivninger.</w:t>
      </w:r>
      <w:bookmarkEnd w:id="8"/>
      <w:bookmarkStart w:id="10" w:name="ARTIKKEL_2"/>
    </w:p>
    <w:p>
      <w:pPr>
        <w:spacing w:before="0" w:after="0"/>
        <w:ind w:firstLine="0"/>
        <w:jc w:val="left"/>
        <w:rPr>
          <w:b w:val="0"/>
          <w:i w:val="0"/>
          <w:sz w:val="22"/>
          <w:u w:val="none"/>
        </w:rPr>
      </w:pPr>
    </w:p>
    <w:p>
      <w:pPr>
        <w:spacing w:before="0" w:after="0"/>
        <w:ind w:firstLine="0"/>
        <w:jc w:val="center"/>
        <w:rPr>
          <w:b/>
          <w:i w:val="0"/>
          <w:sz w:val="22"/>
          <w:u w:val="none"/>
        </w:rPr>
      </w:pPr>
      <w:bookmarkStart w:id="11" w:name="a2"/>
      <w:bookmarkEnd w:id="11"/>
      <w:r>
        <w:rPr>
          <w:b/>
          <w:i w:val="0"/>
          <w:sz w:val="22"/>
          <w:u w:val="none"/>
        </w:rPr>
        <w:t>Artikkel 2</w:t>
      </w:r>
      <w:r>
        <w:rPr>
          <w:b w:val="0"/>
          <w:i w:val="0"/>
          <w:sz w:val="22"/>
          <w:u w:val="none"/>
        </w:rPr>
        <w:br/>
      </w:r>
      <w:r>
        <w:rPr>
          <w:b/>
          <w:i w:val="0"/>
          <w:sz w:val="22"/>
          <w:u w:val="none"/>
        </w:rPr>
        <w:t xml:space="preserve"> </w:t>
      </w:r>
      <w:r>
        <w:rPr>
          <w:b/>
          <w:i w:val="0"/>
          <w:sz w:val="22"/>
          <w:u w:val="none"/>
        </w:rPr>
        <w:t>Saksområder</w:t>
      </w:r>
    </w:p>
    <w:p>
      <w:pPr>
        <w:spacing w:before="120" w:after="0"/>
        <w:ind w:left="0" w:firstLine="180"/>
        <w:jc w:val="left"/>
        <w:rPr>
          <w:b w:val="0"/>
          <w:i w:val="0"/>
          <w:sz w:val="22"/>
          <w:u w:val="none"/>
        </w:rPr>
      </w:pPr>
      <w:r>
        <w:rPr>
          <w:b w:val="0"/>
          <w:i w:val="0"/>
          <w:sz w:val="22"/>
          <w:u w:val="none"/>
        </w:rPr>
        <w:t>Denne konvensjonen får anvendelse på all lovgivning som omfattes av forordningens saksområder.</w:t>
      </w:r>
      <w:bookmarkEnd w:id="10"/>
      <w:bookmarkStart w:id="12" w:name="ARTIKKEL_3"/>
    </w:p>
    <w:p>
      <w:pPr>
        <w:spacing w:before="0" w:after="0"/>
        <w:ind w:firstLine="0"/>
        <w:jc w:val="left"/>
        <w:rPr>
          <w:b w:val="0"/>
          <w:i w:val="0"/>
          <w:sz w:val="22"/>
          <w:u w:val="none"/>
        </w:rPr>
      </w:pPr>
    </w:p>
    <w:p>
      <w:pPr>
        <w:spacing w:before="0" w:after="0"/>
        <w:ind w:firstLine="0"/>
        <w:jc w:val="center"/>
        <w:rPr>
          <w:b/>
          <w:i w:val="0"/>
          <w:sz w:val="22"/>
          <w:u w:val="none"/>
        </w:rPr>
      </w:pPr>
      <w:bookmarkStart w:id="13" w:name="a3"/>
      <w:bookmarkEnd w:id="13"/>
      <w:r>
        <w:rPr>
          <w:b/>
          <w:i w:val="0"/>
          <w:sz w:val="22"/>
          <w:u w:val="none"/>
        </w:rPr>
        <w:t>Artikkel 3</w:t>
      </w:r>
      <w:r>
        <w:rPr>
          <w:b w:val="0"/>
          <w:i w:val="0"/>
          <w:sz w:val="22"/>
          <w:u w:val="none"/>
        </w:rPr>
        <w:br/>
      </w:r>
      <w:r>
        <w:rPr>
          <w:b/>
          <w:i w:val="0"/>
          <w:sz w:val="22"/>
          <w:u w:val="none"/>
        </w:rPr>
        <w:t xml:space="preserve"> </w:t>
      </w:r>
      <w:r>
        <w:rPr>
          <w:b/>
          <w:i w:val="0"/>
          <w:sz w:val="22"/>
          <w:u w:val="none"/>
        </w:rPr>
        <w:t>Personkrets</w:t>
      </w:r>
    </w:p>
    <w:p>
      <w:pPr>
        <w:spacing w:before="120" w:after="0"/>
        <w:ind w:left="0" w:firstLine="0"/>
        <w:jc w:val="left"/>
        <w:rPr>
          <w:b w:val="0"/>
          <w:i w:val="0"/>
          <w:sz w:val="22"/>
          <w:u w:val="none"/>
        </w:rPr>
      </w:pPr>
      <w:r>
        <w:rPr>
          <w:b w:val="0"/>
          <w:i w:val="0"/>
          <w:sz w:val="22"/>
          <w:u w:val="none"/>
        </w:rPr>
        <w:t>1.</w:t>
      </w:r>
      <w:r>
        <w:rPr>
          <w:b w:val="0"/>
          <w:i w:val="0"/>
          <w:sz w:val="22"/>
          <w:u w:val="none"/>
        </w:rPr>
        <w:t xml:space="preserve"> Denne konvensjonen gjelder personer som omfattes av forordningens personkrets og som er eller har vært omfattet av lovgivningen i et nordisk land.</w:t>
      </w:r>
    </w:p>
    <w:p>
      <w:pPr>
        <w:spacing w:before="120" w:after="0"/>
        <w:ind w:left="0" w:firstLine="0"/>
        <w:jc w:val="left"/>
        <w:rPr>
          <w:b w:val="0"/>
          <w:i w:val="0"/>
          <w:sz w:val="22"/>
          <w:u w:val="none"/>
        </w:rPr>
      </w:pPr>
      <w:r>
        <w:rPr>
          <w:b w:val="0"/>
          <w:i w:val="0"/>
          <w:sz w:val="22"/>
          <w:u w:val="none"/>
        </w:rPr>
        <w:t>2.</w:t>
      </w:r>
      <w:r>
        <w:rPr>
          <w:b w:val="0"/>
          <w:i w:val="0"/>
          <w:sz w:val="22"/>
          <w:u w:val="none"/>
        </w:rPr>
        <w:t xml:space="preserve"> Denne konvensjonen gjelder videre følgende personer som ikke omfattes av forordningens personkrets</w:t>
      </w: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a.</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personer som er eller har vært omfattet av lovgivningen i et nordisk land,</w:t>
            </w:r>
          </w:p>
        </w:tc>
      </w:tr>
    </w:tbl>
    <w:p>
      <w:pPr>
        <w:spacing w:before="0" w:after="0"/>
        <w:ind w:firstLine="0"/>
        <w:jc w:val="left"/>
        <w:rPr>
          <w:b w:val="0"/>
          <w:i w:val="0"/>
          <w:sz w:val="6"/>
          <w:u w:val="none"/>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b.</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familiemedlemmer eller etterlatte som avleder rettigheter fra personer som nevnt under bokstav a.</w:t>
            </w:r>
          </w:p>
        </w:tc>
      </w:tr>
    </w:tbl>
    <w:p>
      <w:pPr>
        <w:spacing w:before="0" w:after="0"/>
        <w:ind w:firstLine="0"/>
        <w:jc w:val="left"/>
        <w:rPr>
          <w:b w:val="0"/>
          <w:i w:val="0"/>
          <w:sz w:val="6"/>
          <w:u w:val="none"/>
        </w:rPr>
      </w:pPr>
    </w:p>
    <w:p>
      <w:pPr>
        <w:spacing w:before="120" w:after="0"/>
        <w:ind w:left="0" w:firstLine="0"/>
        <w:jc w:val="left"/>
        <w:rPr>
          <w:b w:val="0"/>
          <w:i w:val="0"/>
          <w:sz w:val="22"/>
          <w:u w:val="none"/>
        </w:rPr>
      </w:pPr>
      <w:r>
        <w:rPr>
          <w:b w:val="0"/>
          <w:i w:val="0"/>
          <w:sz w:val="22"/>
          <w:u w:val="none"/>
        </w:rPr>
        <w:t>3.</w:t>
      </w:r>
      <w:r>
        <w:rPr>
          <w:b w:val="0"/>
          <w:i w:val="0"/>
          <w:sz w:val="22"/>
          <w:u w:val="none"/>
        </w:rPr>
        <w:t xml:space="preserve"> For Danmark gjelder bestemmelsene i nr. 1 og 2 bare statsborgere i et nordisk land når det gjelder anvendelsen av</w:t>
      </w: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a.</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kapittel 8 i forordning om familieytelser</w:t>
            </w:r>
          </w:p>
        </w:tc>
      </w:tr>
    </w:tbl>
    <w:p>
      <w:pPr>
        <w:spacing w:before="0" w:after="0"/>
        <w:ind w:firstLine="0"/>
        <w:jc w:val="left"/>
        <w:rPr>
          <w:b w:val="0"/>
          <w:i w:val="0"/>
          <w:sz w:val="6"/>
          <w:u w:val="none"/>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b.</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artikkel 64 i forordningen om arbeidsløse personer som reiser til en annen medlemsstat,</w:t>
            </w:r>
          </w:p>
        </w:tc>
      </w:tr>
    </w:tbl>
    <w:p>
      <w:pPr>
        <w:spacing w:before="0" w:after="0"/>
        <w:ind w:firstLine="0"/>
        <w:jc w:val="left"/>
        <w:rPr>
          <w:b w:val="0"/>
          <w:i w:val="0"/>
          <w:sz w:val="6"/>
          <w:u w:val="none"/>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363"/>
        <w:gridCol w:w="9583"/>
      </w:tblGrid>
      <w:tr>
        <w:tblPrEx>
          <w:tblW w:w="5000" w:type="pct"/>
        </w:tblPrEx>
        <w:trPr>
          <w:trHeight w:hRule="auto" w:val="0"/>
        </w:trPr>
        <w:tc>
          <w:tcPr>
            <w:tcW w:w="360" w:type="dxa"/>
            <w:noWrap/>
            <w:tcMar>
              <w:right w:w="80" w:type="dxa"/>
            </w:tcMar>
            <w:vAlign w:val="top"/>
          </w:tcPr>
          <w:p>
            <w:pPr>
              <w:spacing w:before="0" w:after="0"/>
              <w:ind w:firstLine="0"/>
              <w:jc w:val="right"/>
              <w:rPr>
                <w:b w:val="0"/>
                <w:i w:val="0"/>
                <w:sz w:val="22"/>
                <w:u w:val="none"/>
              </w:rPr>
            </w:pPr>
            <w:r>
              <w:rPr>
                <w:b w:val="0"/>
                <w:i w:val="0"/>
                <w:sz w:val="22"/>
                <w:u w:val="none"/>
              </w:rPr>
              <w:t>c.</w:t>
            </w:r>
          </w:p>
        </w:tc>
        <w:tc>
          <w:tcPr>
            <w:tcW w:w="9506" w:type="dxa"/>
            <w:noWrap/>
            <w:tcMar>
              <w:right w:w="80" w:type="dxa"/>
            </w:tcMar>
            <w:vAlign w:val="top"/>
          </w:tcPr>
          <w:p>
            <w:pPr>
              <w:spacing w:before="0" w:after="0"/>
              <w:ind w:firstLine="0"/>
              <w:jc w:val="left"/>
              <w:rPr>
                <w:b w:val="0"/>
                <w:i w:val="0"/>
                <w:sz w:val="22"/>
                <w:u w:val="none"/>
              </w:rPr>
            </w:pPr>
            <w:r>
              <w:rPr>
                <w:b w:val="0"/>
                <w:i w:val="0"/>
                <w:sz w:val="22"/>
                <w:u w:val="none"/>
              </w:rPr>
              <w:t>reglene om grunnpensjon.</w:t>
            </w:r>
          </w:p>
        </w:tc>
      </w:tr>
    </w:tbl>
    <w:p>
      <w:pPr>
        <w:spacing w:before="0" w:after="0"/>
        <w:ind w:firstLine="0"/>
        <w:jc w:val="left"/>
        <w:rPr>
          <w:b w:val="0"/>
          <w:i w:val="0"/>
          <w:sz w:val="22"/>
          <w:u w:val="none"/>
        </w:rPr>
      </w:pPr>
      <w:bookmarkEnd w:id="12"/>
      <w:bookmarkStart w:id="14" w:name="ARTIKKEL_4"/>
    </w:p>
    <w:p>
      <w:pPr>
        <w:spacing w:before="0" w:after="0"/>
        <w:ind w:firstLine="0"/>
        <w:jc w:val="left"/>
        <w:rPr>
          <w:b w:val="0"/>
          <w:i w:val="0"/>
          <w:sz w:val="22"/>
          <w:u w:val="none"/>
        </w:rPr>
      </w:pPr>
    </w:p>
    <w:p>
      <w:pPr>
        <w:spacing w:before="0" w:after="0"/>
        <w:ind w:firstLine="0"/>
        <w:jc w:val="center"/>
        <w:rPr>
          <w:b/>
          <w:i w:val="0"/>
          <w:sz w:val="22"/>
          <w:u w:val="none"/>
        </w:rPr>
      </w:pPr>
      <w:bookmarkStart w:id="15" w:name="a4"/>
      <w:bookmarkEnd w:id="15"/>
      <w:r>
        <w:rPr>
          <w:b/>
          <w:i w:val="0"/>
          <w:sz w:val="22"/>
          <w:u w:val="none"/>
        </w:rPr>
        <w:t>Artikkel 4</w:t>
      </w:r>
      <w:r>
        <w:rPr>
          <w:b w:val="0"/>
          <w:i w:val="0"/>
          <w:sz w:val="22"/>
          <w:u w:val="none"/>
        </w:rPr>
        <w:br/>
      </w:r>
      <w:r>
        <w:rPr>
          <w:b/>
          <w:i w:val="0"/>
          <w:sz w:val="22"/>
          <w:u w:val="none"/>
        </w:rPr>
        <w:t xml:space="preserve"> </w:t>
      </w:r>
      <w:r>
        <w:rPr>
          <w:b/>
          <w:i w:val="0"/>
          <w:sz w:val="22"/>
          <w:u w:val="none"/>
        </w:rPr>
        <w:t>Utvidet anvendelse av forordningen</w:t>
      </w:r>
    </w:p>
    <w:p>
      <w:pPr>
        <w:spacing w:before="120" w:after="0"/>
        <w:ind w:left="0" w:firstLine="180"/>
        <w:jc w:val="left"/>
        <w:rPr>
          <w:b w:val="0"/>
          <w:i w:val="0"/>
          <w:sz w:val="22"/>
          <w:u w:val="none"/>
        </w:rPr>
      </w:pPr>
      <w:r>
        <w:rPr>
          <w:b w:val="0"/>
          <w:i w:val="0"/>
          <w:sz w:val="22"/>
          <w:u w:val="none"/>
        </w:rPr>
        <w:t>Om ikke annet sies i denne konvensjonen, utvides anvendelsen av forordningen og gjennomføringsforordningen til alle personer som omfattes av denne konvensjonen og som er bosatt i et nordisk land.</w:t>
      </w:r>
      <w:bookmarkEnd w:id="14"/>
      <w:bookmarkEnd w:id="6"/>
      <w:bookmarkStart w:id="16" w:name="KAPITTEL_3"/>
    </w:p>
    <w:p>
      <w:pPr>
        <w:spacing w:before="0" w:after="0"/>
        <w:ind w:firstLine="0"/>
        <w:jc w:val="left"/>
        <w:rPr>
          <w:b w:val="0"/>
          <w:i w:val="0"/>
          <w:sz w:val="22"/>
          <w:u w:val="none"/>
        </w:rPr>
      </w:pPr>
    </w:p>
    <w:p>
      <w:pPr>
        <w:spacing w:before="0" w:after="0"/>
        <w:ind w:firstLine="0"/>
        <w:jc w:val="left"/>
        <w:rPr>
          <w:b w:val="0"/>
          <w:i w:val="0"/>
          <w:sz w:val="22"/>
          <w:u w:val="none"/>
        </w:rPr>
      </w:pPr>
    </w:p>
    <w:p>
      <w:pPr>
        <w:pStyle w:val="Heading2"/>
        <w:spacing w:before="0" w:after="0"/>
        <w:ind w:firstLine="0"/>
        <w:jc w:val="center"/>
        <w:rPr>
          <w:sz w:val="28"/>
        </w:rPr>
      </w:pPr>
      <w:bookmarkStart w:id="17" w:name="_Toc256000005"/>
      <w:r>
        <w:rPr>
          <w:sz w:val="28"/>
        </w:rPr>
        <w:t>Avdeling II</w:t>
      </w:r>
      <w:r>
        <w:rPr>
          <w:sz w:val="22"/>
        </w:rPr>
        <w:br/>
      </w:r>
      <w:r>
        <w:rPr>
          <w:sz w:val="28"/>
        </w:rPr>
        <w:t>Bestemmelser om hvilken lovgivning som skal anvendes</w:t>
      </w:r>
      <w:bookmarkEnd w:id="17"/>
      <w:bookmarkStart w:id="18" w:name="ARTIKKEL_5"/>
    </w:p>
    <w:p>
      <w:pPr>
        <w:spacing w:before="0" w:after="0"/>
        <w:ind w:firstLine="0"/>
        <w:jc w:val="left"/>
        <w:rPr>
          <w:b w:val="0"/>
          <w:i w:val="0"/>
          <w:sz w:val="22"/>
          <w:u w:val="none"/>
        </w:rPr>
      </w:pPr>
    </w:p>
    <w:p>
      <w:pPr>
        <w:spacing w:before="0" w:after="0"/>
        <w:ind w:firstLine="0"/>
        <w:jc w:val="center"/>
        <w:rPr>
          <w:b/>
          <w:i w:val="0"/>
          <w:sz w:val="22"/>
          <w:u w:val="none"/>
        </w:rPr>
      </w:pPr>
      <w:bookmarkStart w:id="19" w:name="a5"/>
      <w:bookmarkEnd w:id="19"/>
      <w:r>
        <w:rPr>
          <w:b/>
          <w:i w:val="0"/>
          <w:sz w:val="22"/>
          <w:u w:val="none"/>
        </w:rPr>
        <w:t>Artikkel 5</w:t>
      </w:r>
      <w:r>
        <w:rPr>
          <w:b w:val="0"/>
          <w:i w:val="0"/>
          <w:sz w:val="22"/>
          <w:u w:val="none"/>
        </w:rPr>
        <w:br/>
      </w:r>
      <w:r>
        <w:rPr>
          <w:b/>
          <w:i w:val="0"/>
          <w:sz w:val="22"/>
          <w:u w:val="none"/>
        </w:rPr>
        <w:t xml:space="preserve"> </w:t>
      </w:r>
      <w:r>
        <w:rPr>
          <w:b/>
          <w:i w:val="0"/>
          <w:sz w:val="22"/>
          <w:u w:val="none"/>
        </w:rPr>
        <w:t>Bosatt</w:t>
      </w:r>
    </w:p>
    <w:p>
      <w:pPr>
        <w:spacing w:before="120" w:after="0"/>
        <w:ind w:left="0" w:firstLine="180"/>
        <w:jc w:val="left"/>
        <w:rPr>
          <w:b w:val="0"/>
          <w:i w:val="0"/>
          <w:sz w:val="22"/>
          <w:u w:val="none"/>
        </w:rPr>
      </w:pPr>
      <w:r>
        <w:rPr>
          <w:b w:val="0"/>
          <w:i w:val="0"/>
          <w:sz w:val="22"/>
          <w:u w:val="none"/>
        </w:rPr>
        <w:t>En person er bosatt i et nordisk land i henhold til nasjonal lovgivning. Ved konflikt om hvilken lovgivning som skal anvendes på en person, anses personen å være bosatt i det nordiske land der han eller hun er folkeregistrert, om ikke særskilte grunner tilsier noe annet.</w:t>
      </w:r>
      <w:bookmarkEnd w:id="18"/>
      <w:bookmarkStart w:id="20" w:name="ARTIKKEL_6"/>
    </w:p>
    <w:p>
      <w:pPr>
        <w:spacing w:before="0" w:after="0"/>
        <w:ind w:firstLine="0"/>
        <w:jc w:val="left"/>
        <w:rPr>
          <w:b w:val="0"/>
          <w:i w:val="0"/>
          <w:sz w:val="22"/>
          <w:u w:val="none"/>
        </w:rPr>
      </w:pPr>
    </w:p>
    <w:p>
      <w:pPr>
        <w:spacing w:before="0" w:after="0"/>
        <w:ind w:firstLine="0"/>
        <w:jc w:val="center"/>
        <w:rPr>
          <w:b/>
          <w:i w:val="0"/>
          <w:sz w:val="22"/>
          <w:u w:val="none"/>
        </w:rPr>
      </w:pPr>
      <w:bookmarkStart w:id="21" w:name="a6"/>
      <w:bookmarkEnd w:id="21"/>
      <w:r>
        <w:rPr>
          <w:b/>
          <w:i w:val="0"/>
          <w:sz w:val="22"/>
          <w:u w:val="none"/>
        </w:rPr>
        <w:t>Artikkel 6</w:t>
      </w:r>
      <w:r>
        <w:rPr>
          <w:b w:val="0"/>
          <w:i w:val="0"/>
          <w:sz w:val="22"/>
          <w:u w:val="none"/>
        </w:rPr>
        <w:br/>
      </w:r>
      <w:r>
        <w:rPr>
          <w:b/>
          <w:i w:val="0"/>
          <w:sz w:val="22"/>
          <w:u w:val="none"/>
        </w:rPr>
        <w:t xml:space="preserve"> </w:t>
      </w:r>
      <w:r>
        <w:rPr>
          <w:b/>
          <w:i w:val="0"/>
          <w:sz w:val="22"/>
          <w:u w:val="none"/>
        </w:rPr>
        <w:t>Arbeid på kontinentalsokkelen</w:t>
      </w:r>
    </w:p>
    <w:p>
      <w:pPr>
        <w:spacing w:before="120" w:after="0"/>
        <w:ind w:left="0" w:firstLine="180"/>
        <w:jc w:val="left"/>
        <w:rPr>
          <w:b w:val="0"/>
          <w:i w:val="0"/>
          <w:sz w:val="22"/>
          <w:u w:val="none"/>
        </w:rPr>
      </w:pPr>
      <w:r>
        <w:rPr>
          <w:b w:val="0"/>
          <w:i w:val="0"/>
          <w:sz w:val="22"/>
          <w:u w:val="none"/>
        </w:rPr>
        <w:t>Ved anvendelsen av bestemmelsene i forordningen avdeling II regnes også arbeid med undersøkelse og utvinning av naturforekomster på et lands kontinentalsokkel som arbeid i det landet.</w:t>
      </w:r>
      <w:bookmarkEnd w:id="20"/>
      <w:bookmarkEnd w:id="16"/>
      <w:bookmarkStart w:id="22" w:name="KAPITTEL_4"/>
    </w:p>
    <w:p>
      <w:pPr>
        <w:spacing w:before="0" w:after="0"/>
        <w:ind w:firstLine="0"/>
        <w:jc w:val="left"/>
        <w:rPr>
          <w:b w:val="0"/>
          <w:i w:val="0"/>
          <w:sz w:val="22"/>
          <w:u w:val="none"/>
        </w:rPr>
      </w:pPr>
    </w:p>
    <w:p>
      <w:pPr>
        <w:spacing w:before="0" w:after="0"/>
        <w:ind w:firstLine="0"/>
        <w:jc w:val="left"/>
        <w:rPr>
          <w:b w:val="0"/>
          <w:i w:val="0"/>
          <w:sz w:val="22"/>
          <w:u w:val="none"/>
        </w:rPr>
      </w:pPr>
    </w:p>
    <w:p>
      <w:pPr>
        <w:pStyle w:val="Heading2"/>
        <w:spacing w:before="0" w:after="0"/>
        <w:ind w:firstLine="0"/>
        <w:jc w:val="center"/>
        <w:rPr>
          <w:sz w:val="28"/>
        </w:rPr>
      </w:pPr>
      <w:bookmarkStart w:id="23" w:name="_Toc256000006"/>
      <w:r>
        <w:rPr>
          <w:sz w:val="28"/>
        </w:rPr>
        <w:t>Avdeling III</w:t>
      </w:r>
      <w:r>
        <w:rPr>
          <w:sz w:val="22"/>
        </w:rPr>
        <w:br/>
      </w:r>
      <w:r>
        <w:rPr>
          <w:sz w:val="28"/>
        </w:rPr>
        <w:t>Særskilte bestemmelser om retten til ytelser</w:t>
      </w:r>
      <w:bookmarkEnd w:id="23"/>
      <w:bookmarkStart w:id="24" w:name="KAPITTEL_4-1"/>
    </w:p>
    <w:p>
      <w:pPr>
        <w:spacing w:before="0" w:after="0"/>
        <w:ind w:firstLine="0"/>
        <w:jc w:val="left"/>
        <w:rPr>
          <w:b w:val="0"/>
          <w:i w:val="0"/>
          <w:sz w:val="22"/>
          <w:u w:val="none"/>
        </w:rPr>
      </w:pPr>
      <w:r>
        <w:rPr>
          <w:b w:val="0"/>
          <w:i w:val="0"/>
          <w:sz w:val="22"/>
          <w:u w:val="none"/>
        </w:rPr>
        <w:br/>
      </w:r>
    </w:p>
    <w:p>
      <w:pPr>
        <w:pStyle w:val="Heading3"/>
        <w:spacing w:before="0" w:after="0"/>
        <w:ind w:firstLine="0"/>
        <w:jc w:val="center"/>
        <w:rPr>
          <w:sz w:val="26"/>
        </w:rPr>
      </w:pPr>
      <w:bookmarkStart w:id="25" w:name="_Toc256000007"/>
      <w:r>
        <w:rPr>
          <w:sz w:val="26"/>
        </w:rPr>
        <w:t>Kapitel 1</w:t>
      </w:r>
      <w:r>
        <w:rPr>
          <w:sz w:val="22"/>
        </w:rPr>
        <w:br/>
      </w:r>
      <w:r>
        <w:rPr>
          <w:sz w:val="26"/>
        </w:rPr>
        <w:t>Sykdom</w:t>
      </w:r>
      <w:bookmarkEnd w:id="25"/>
      <w:bookmarkStart w:id="26" w:name="ARTIKKEL_7"/>
    </w:p>
    <w:p>
      <w:pPr>
        <w:spacing w:before="0" w:after="0"/>
        <w:ind w:firstLine="0"/>
        <w:jc w:val="left"/>
        <w:rPr>
          <w:b w:val="0"/>
          <w:i w:val="0"/>
          <w:sz w:val="22"/>
          <w:u w:val="none"/>
        </w:rPr>
      </w:pPr>
    </w:p>
    <w:p>
      <w:pPr>
        <w:spacing w:before="0" w:after="0"/>
        <w:ind w:firstLine="0"/>
        <w:jc w:val="center"/>
        <w:rPr>
          <w:b/>
          <w:i w:val="0"/>
          <w:sz w:val="22"/>
          <w:u w:val="none"/>
        </w:rPr>
      </w:pPr>
      <w:bookmarkStart w:id="27" w:name="a7"/>
      <w:bookmarkEnd w:id="27"/>
      <w:r>
        <w:rPr>
          <w:b/>
          <w:i w:val="0"/>
          <w:sz w:val="22"/>
          <w:u w:val="none"/>
        </w:rPr>
        <w:t>Artikkel 7</w:t>
      </w:r>
      <w:r>
        <w:rPr>
          <w:b w:val="0"/>
          <w:i w:val="0"/>
          <w:sz w:val="22"/>
          <w:u w:val="none"/>
        </w:rPr>
        <w:br/>
      </w:r>
      <w:r>
        <w:rPr>
          <w:b/>
          <w:i w:val="0"/>
          <w:sz w:val="22"/>
          <w:u w:val="none"/>
        </w:rPr>
        <w:t xml:space="preserve"> </w:t>
      </w:r>
      <w:r>
        <w:rPr>
          <w:b/>
          <w:i w:val="0"/>
          <w:sz w:val="22"/>
          <w:u w:val="none"/>
        </w:rPr>
        <w:t>Godtgjørelse for kostnader ved hjemreise</w:t>
      </w:r>
    </w:p>
    <w:p>
      <w:pPr>
        <w:spacing w:before="120" w:after="0"/>
        <w:ind w:left="0" w:firstLine="0"/>
        <w:jc w:val="left"/>
        <w:rPr>
          <w:b w:val="0"/>
          <w:i w:val="0"/>
          <w:sz w:val="22"/>
          <w:u w:val="none"/>
        </w:rPr>
      </w:pPr>
      <w:r>
        <w:rPr>
          <w:b w:val="0"/>
          <w:i w:val="0"/>
          <w:sz w:val="22"/>
          <w:u w:val="none"/>
        </w:rPr>
        <w:t>1.</w:t>
      </w:r>
      <w:r>
        <w:rPr>
          <w:b w:val="0"/>
          <w:i w:val="0"/>
          <w:sz w:val="22"/>
          <w:u w:val="none"/>
        </w:rPr>
        <w:t xml:space="preserve"> For en person som er bosatt i et nordisk land og har rett til naturalytelser der og som mottar sykehjelp under midlertidig opphold i et annet nordisk land, skal oppholdslandet dekke de merutgifter ved hjemreise til bostedslandet som oppstår ved at vedkommende på grunn av sin sykdomstilstand må benytte en dyrere reisemåte enn han eller hun ellers ville ha benyttet.</w:t>
      </w:r>
    </w:p>
    <w:p>
      <w:pPr>
        <w:spacing w:before="120" w:after="0"/>
        <w:ind w:left="0" w:firstLine="0"/>
        <w:jc w:val="left"/>
        <w:rPr>
          <w:b w:val="0"/>
          <w:i w:val="0"/>
          <w:sz w:val="22"/>
          <w:u w:val="none"/>
        </w:rPr>
      </w:pPr>
      <w:r>
        <w:rPr>
          <w:b w:val="0"/>
          <w:i w:val="0"/>
          <w:sz w:val="22"/>
          <w:u w:val="none"/>
        </w:rPr>
        <w:t>2.</w:t>
      </w:r>
      <w:r>
        <w:rPr>
          <w:b w:val="0"/>
          <w:i w:val="0"/>
          <w:sz w:val="22"/>
          <w:u w:val="none"/>
        </w:rPr>
        <w:t xml:space="preserve"> Bestemmelsen i nr. 1 får ikke anvendelse på personer som får tillatelse til å reise til et annet nordisk land for å få nødvendig behandling der.</w:t>
      </w:r>
      <w:bookmarkEnd w:id="26"/>
      <w:bookmarkEnd w:id="24"/>
      <w:bookmarkStart w:id="28" w:name="KAPITTEL_4-2"/>
    </w:p>
    <w:p>
      <w:pPr>
        <w:spacing w:before="0" w:after="0"/>
        <w:ind w:firstLine="0"/>
        <w:jc w:val="left"/>
        <w:rPr>
          <w:b w:val="0"/>
          <w:i w:val="0"/>
          <w:sz w:val="22"/>
          <w:u w:val="none"/>
        </w:rPr>
      </w:pPr>
      <w:r>
        <w:rPr>
          <w:b w:val="0"/>
          <w:i w:val="0"/>
          <w:sz w:val="22"/>
          <w:u w:val="none"/>
        </w:rPr>
        <w:br/>
      </w:r>
    </w:p>
    <w:p>
      <w:pPr>
        <w:pStyle w:val="Heading3"/>
        <w:spacing w:before="0" w:after="0"/>
        <w:ind w:firstLine="0"/>
        <w:jc w:val="center"/>
        <w:rPr>
          <w:sz w:val="26"/>
        </w:rPr>
      </w:pPr>
      <w:bookmarkStart w:id="29" w:name="_Toc256000008"/>
      <w:r>
        <w:rPr>
          <w:sz w:val="26"/>
        </w:rPr>
        <w:t>Kapitel 2</w:t>
      </w:r>
      <w:r>
        <w:rPr>
          <w:sz w:val="22"/>
        </w:rPr>
        <w:br/>
      </w:r>
      <w:r>
        <w:rPr>
          <w:sz w:val="26"/>
        </w:rPr>
        <w:t>Ytelser ved uførhet, alder og dødsfall</w:t>
      </w:r>
      <w:bookmarkEnd w:id="29"/>
      <w:bookmarkStart w:id="30" w:name="ARTIKKEL_8"/>
    </w:p>
    <w:p>
      <w:pPr>
        <w:spacing w:before="0" w:after="0"/>
        <w:ind w:firstLine="0"/>
        <w:jc w:val="left"/>
        <w:rPr>
          <w:b w:val="0"/>
          <w:i w:val="0"/>
          <w:sz w:val="22"/>
          <w:u w:val="none"/>
        </w:rPr>
      </w:pPr>
    </w:p>
    <w:p>
      <w:pPr>
        <w:spacing w:before="0" w:after="0"/>
        <w:ind w:firstLine="0"/>
        <w:jc w:val="center"/>
        <w:rPr>
          <w:b/>
          <w:i w:val="0"/>
          <w:sz w:val="22"/>
          <w:u w:val="none"/>
        </w:rPr>
      </w:pPr>
      <w:bookmarkStart w:id="31" w:name="a8"/>
      <w:bookmarkEnd w:id="31"/>
      <w:r>
        <w:rPr>
          <w:b/>
          <w:i w:val="0"/>
          <w:sz w:val="22"/>
          <w:u w:val="none"/>
        </w:rPr>
        <w:t>Artikkel 8</w:t>
      </w:r>
      <w:r>
        <w:rPr>
          <w:b w:val="0"/>
          <w:i w:val="0"/>
          <w:sz w:val="22"/>
          <w:u w:val="none"/>
        </w:rPr>
        <w:br/>
      </w:r>
      <w:r>
        <w:rPr>
          <w:b/>
          <w:i w:val="0"/>
          <w:sz w:val="22"/>
          <w:u w:val="none"/>
        </w:rPr>
        <w:t xml:space="preserve"> </w:t>
      </w:r>
      <w:r>
        <w:rPr>
          <w:b/>
          <w:i w:val="0"/>
          <w:sz w:val="22"/>
          <w:u w:val="none"/>
        </w:rPr>
        <w:t>Grunnpensjon ved bosetting i et EØS-land</w:t>
      </w:r>
    </w:p>
    <w:p>
      <w:pPr>
        <w:spacing w:before="120" w:after="0"/>
        <w:ind w:left="0" w:firstLine="180"/>
        <w:jc w:val="left"/>
        <w:rPr>
          <w:b w:val="0"/>
          <w:i w:val="0"/>
          <w:sz w:val="22"/>
          <w:u w:val="none"/>
        </w:rPr>
      </w:pPr>
      <w:r>
        <w:rPr>
          <w:b w:val="0"/>
          <w:i w:val="0"/>
          <w:sz w:val="22"/>
          <w:u w:val="none"/>
        </w:rPr>
        <w:t>En person er, så lenge han eller hun er bosatt i et EØS-land, berettiget til den grunnpensjon som han eller hun har opptjent rett til i et nordisk land, på de samme vilkår som gjelder etter forordningen eller som følger av denne konvensjonen.</w:t>
      </w:r>
      <w:bookmarkEnd w:id="30"/>
      <w:bookmarkStart w:id="32" w:name="ARTIKKEL_9"/>
    </w:p>
    <w:p>
      <w:pPr>
        <w:spacing w:before="0" w:after="0"/>
        <w:ind w:firstLine="0"/>
        <w:jc w:val="left"/>
        <w:rPr>
          <w:b w:val="0"/>
          <w:i w:val="0"/>
          <w:sz w:val="22"/>
          <w:u w:val="none"/>
        </w:rPr>
      </w:pPr>
    </w:p>
    <w:p>
      <w:pPr>
        <w:spacing w:before="0" w:after="0"/>
        <w:ind w:firstLine="0"/>
        <w:jc w:val="center"/>
        <w:rPr>
          <w:b/>
          <w:i w:val="0"/>
          <w:sz w:val="22"/>
          <w:u w:val="none"/>
        </w:rPr>
      </w:pPr>
      <w:bookmarkStart w:id="33" w:name="a9"/>
      <w:bookmarkEnd w:id="33"/>
      <w:r>
        <w:rPr>
          <w:b/>
          <w:i w:val="0"/>
          <w:sz w:val="22"/>
          <w:u w:val="none"/>
        </w:rPr>
        <w:t>Artikkel 9</w:t>
      </w:r>
      <w:r>
        <w:rPr>
          <w:b w:val="0"/>
          <w:i w:val="0"/>
          <w:sz w:val="22"/>
          <w:u w:val="none"/>
        </w:rPr>
        <w:br/>
      </w:r>
      <w:r>
        <w:rPr>
          <w:b/>
          <w:i w:val="0"/>
          <w:sz w:val="22"/>
          <w:u w:val="none"/>
        </w:rPr>
        <w:t xml:space="preserve"> </w:t>
      </w:r>
      <w:r>
        <w:rPr>
          <w:b/>
          <w:i w:val="0"/>
          <w:sz w:val="22"/>
          <w:u w:val="none"/>
        </w:rPr>
        <w:t>Avtale i henhold til artikkel 54 nr. 2 bokstav b i) i forordningen</w:t>
      </w:r>
    </w:p>
    <w:p>
      <w:pPr>
        <w:spacing w:before="120" w:after="0"/>
        <w:ind w:left="0" w:firstLine="180"/>
        <w:jc w:val="left"/>
        <w:rPr>
          <w:b w:val="0"/>
          <w:i w:val="0"/>
          <w:sz w:val="22"/>
          <w:u w:val="none"/>
        </w:rPr>
      </w:pPr>
      <w:r>
        <w:rPr>
          <w:b w:val="0"/>
          <w:i w:val="0"/>
          <w:sz w:val="22"/>
          <w:u w:val="none"/>
        </w:rPr>
        <w:t>Er vilkårene som gjelder for å beregne pensjon på grunnlag også av framtidige trygde- eller botidsperioder som ville ha blitt fullført dersom pensjonstilfellet ikke hadde inntruffet, oppfylt i mer enn ett nordisk land, medregnes bare en del av de framtidige periodene ved beregningen i hvert av landene. Denne delen bestemmes på grunnlag av de faktiske trygde- eller botidsperiodene som anvendes ved pensjonsberegningen, etter forholdet mellom den faktiske perioden i landet og den samlede faktiske perioden i landene.</w:t>
      </w:r>
      <w:bookmarkEnd w:id="32"/>
      <w:bookmarkEnd w:id="28"/>
      <w:bookmarkStart w:id="34" w:name="KAPITTEL_4-3"/>
    </w:p>
    <w:p>
      <w:pPr>
        <w:spacing w:before="0" w:after="0"/>
        <w:ind w:firstLine="0"/>
        <w:jc w:val="left"/>
        <w:rPr>
          <w:b w:val="0"/>
          <w:i w:val="0"/>
          <w:sz w:val="22"/>
          <w:u w:val="none"/>
        </w:rPr>
      </w:pPr>
      <w:r>
        <w:rPr>
          <w:b w:val="0"/>
          <w:i w:val="0"/>
          <w:sz w:val="22"/>
          <w:u w:val="none"/>
        </w:rPr>
        <w:br/>
      </w:r>
    </w:p>
    <w:p>
      <w:pPr>
        <w:pStyle w:val="Heading3"/>
        <w:spacing w:before="0" w:after="0"/>
        <w:ind w:firstLine="0"/>
        <w:jc w:val="center"/>
        <w:rPr>
          <w:sz w:val="26"/>
        </w:rPr>
      </w:pPr>
      <w:bookmarkStart w:id="35" w:name="_Toc256000009"/>
      <w:r>
        <w:rPr>
          <w:sz w:val="26"/>
        </w:rPr>
        <w:t>Kapitel 3</w:t>
      </w:r>
      <w:r>
        <w:rPr>
          <w:sz w:val="22"/>
        </w:rPr>
        <w:br/>
      </w:r>
      <w:r>
        <w:rPr>
          <w:sz w:val="26"/>
        </w:rPr>
        <w:t>Ytelser ved arbeidsløshet</w:t>
      </w:r>
      <w:bookmarkEnd w:id="35"/>
      <w:bookmarkStart w:id="36" w:name="ARTIKKEL_10"/>
    </w:p>
    <w:p>
      <w:pPr>
        <w:spacing w:before="0" w:after="0"/>
        <w:ind w:firstLine="0"/>
        <w:jc w:val="left"/>
        <w:rPr>
          <w:b w:val="0"/>
          <w:i w:val="0"/>
          <w:sz w:val="22"/>
          <w:u w:val="none"/>
        </w:rPr>
      </w:pPr>
    </w:p>
    <w:p>
      <w:pPr>
        <w:spacing w:before="0" w:after="0"/>
        <w:ind w:firstLine="0"/>
        <w:jc w:val="center"/>
        <w:rPr>
          <w:b/>
          <w:i w:val="0"/>
          <w:sz w:val="22"/>
          <w:u w:val="none"/>
        </w:rPr>
      </w:pPr>
      <w:bookmarkStart w:id="37" w:name="a10"/>
      <w:bookmarkEnd w:id="37"/>
      <w:r>
        <w:rPr>
          <w:b/>
          <w:i w:val="0"/>
          <w:sz w:val="22"/>
          <w:u w:val="none"/>
        </w:rPr>
        <w:t>Artikkel 10</w:t>
      </w:r>
      <w:r>
        <w:rPr>
          <w:b w:val="0"/>
          <w:i w:val="0"/>
          <w:sz w:val="22"/>
          <w:u w:val="none"/>
        </w:rPr>
        <w:br/>
      </w:r>
      <w:r>
        <w:rPr>
          <w:b/>
          <w:i w:val="0"/>
          <w:sz w:val="22"/>
          <w:u w:val="none"/>
        </w:rPr>
        <w:t xml:space="preserve"> </w:t>
      </w:r>
      <w:r>
        <w:rPr>
          <w:b/>
          <w:i w:val="0"/>
          <w:sz w:val="22"/>
          <w:u w:val="none"/>
        </w:rPr>
        <w:t>Unntak fra krav om fullførte perioder</w:t>
      </w:r>
    </w:p>
    <w:p>
      <w:pPr>
        <w:spacing w:before="120" w:after="0"/>
        <w:ind w:left="0" w:firstLine="180"/>
        <w:jc w:val="left"/>
        <w:rPr>
          <w:b w:val="0"/>
          <w:i w:val="0"/>
          <w:sz w:val="22"/>
          <w:u w:val="none"/>
        </w:rPr>
      </w:pPr>
      <w:r>
        <w:rPr>
          <w:b w:val="0"/>
          <w:i w:val="0"/>
          <w:sz w:val="22"/>
          <w:u w:val="none"/>
        </w:rPr>
        <w:t>Kravet om trygdeperioder, ansettelsesperioder eller perioder med virksomhet som selvstendig næringsdrivende i henhold til artikkel 61 nr. 2 i forordningen, gjelder ikke den som enten har utført arbeid i et slikt omfang at han eller hun har vært omfattet av lovgivningen om ytelser ved arbeidsløshet eller har mottatt slike ytelser i det nordiske land der krav om ytelser framsettes. Arbeidet skal likevel være utført eller ytelser ved arbeidsløshet være mottatt innenfor en femårsperiode fra den dato vedkommende melder seg som arbeidssøkende hos den offentlige arbeidsformidlingen eller eventuelt fra den dato han eller hun søker om medlemskap i vedkommende arbeidsløshetskasse.</w:t>
      </w:r>
      <w:bookmarkEnd w:id="36"/>
      <w:bookmarkEnd w:id="34"/>
      <w:bookmarkStart w:id="38" w:name="KAPITTEL_4-4"/>
    </w:p>
    <w:p>
      <w:pPr>
        <w:spacing w:before="0" w:after="0"/>
        <w:ind w:firstLine="0"/>
        <w:jc w:val="left"/>
        <w:rPr>
          <w:b w:val="0"/>
          <w:i w:val="0"/>
          <w:sz w:val="22"/>
          <w:u w:val="none"/>
        </w:rPr>
      </w:pPr>
      <w:r>
        <w:rPr>
          <w:b w:val="0"/>
          <w:i w:val="0"/>
          <w:sz w:val="22"/>
          <w:u w:val="none"/>
        </w:rPr>
        <w:br/>
      </w:r>
    </w:p>
    <w:p>
      <w:pPr>
        <w:pStyle w:val="Heading3"/>
        <w:spacing w:before="0" w:after="0"/>
        <w:ind w:firstLine="0"/>
        <w:jc w:val="center"/>
        <w:rPr>
          <w:sz w:val="26"/>
        </w:rPr>
      </w:pPr>
      <w:bookmarkStart w:id="39" w:name="_Toc256000010"/>
      <w:r>
        <w:rPr>
          <w:sz w:val="26"/>
        </w:rPr>
        <w:t>Kapitel 4</w:t>
      </w:r>
      <w:r>
        <w:rPr>
          <w:sz w:val="22"/>
        </w:rPr>
        <w:br/>
      </w:r>
      <w:r>
        <w:rPr>
          <w:sz w:val="26"/>
        </w:rPr>
        <w:t>Familieytelser</w:t>
      </w:r>
      <w:bookmarkEnd w:id="39"/>
      <w:bookmarkStart w:id="40" w:name="ARTIKKEL_11"/>
    </w:p>
    <w:p>
      <w:pPr>
        <w:spacing w:before="0" w:after="0"/>
        <w:ind w:firstLine="0"/>
        <w:jc w:val="left"/>
        <w:rPr>
          <w:b w:val="0"/>
          <w:i w:val="0"/>
          <w:sz w:val="22"/>
          <w:u w:val="none"/>
        </w:rPr>
      </w:pPr>
    </w:p>
    <w:p>
      <w:pPr>
        <w:spacing w:before="0" w:after="0"/>
        <w:ind w:firstLine="0"/>
        <w:jc w:val="center"/>
        <w:rPr>
          <w:b/>
          <w:i w:val="0"/>
          <w:sz w:val="22"/>
          <w:u w:val="none"/>
        </w:rPr>
      </w:pPr>
      <w:bookmarkStart w:id="41" w:name="a11"/>
      <w:bookmarkEnd w:id="41"/>
      <w:r>
        <w:rPr>
          <w:b/>
          <w:i w:val="0"/>
          <w:sz w:val="22"/>
          <w:u w:val="none"/>
        </w:rPr>
        <w:t>Artikkel 11</w:t>
      </w:r>
      <w:r>
        <w:rPr>
          <w:b w:val="0"/>
          <w:i w:val="0"/>
          <w:sz w:val="22"/>
          <w:u w:val="none"/>
        </w:rPr>
        <w:br/>
      </w:r>
      <w:r>
        <w:rPr>
          <w:b/>
          <w:i w:val="0"/>
          <w:sz w:val="22"/>
          <w:u w:val="none"/>
        </w:rPr>
        <w:t xml:space="preserve"> </w:t>
      </w:r>
      <w:r>
        <w:rPr>
          <w:b/>
          <w:i w:val="0"/>
          <w:sz w:val="22"/>
          <w:u w:val="none"/>
        </w:rPr>
        <w:t>Beregning av tilleggsbeløp og overskytende beløp</w:t>
      </w:r>
    </w:p>
    <w:p>
      <w:pPr>
        <w:spacing w:before="120" w:after="0"/>
        <w:ind w:left="0" w:firstLine="0"/>
        <w:jc w:val="left"/>
        <w:rPr>
          <w:b w:val="0"/>
          <w:i w:val="0"/>
          <w:sz w:val="22"/>
          <w:u w:val="none"/>
        </w:rPr>
      </w:pPr>
      <w:r>
        <w:rPr>
          <w:b w:val="0"/>
          <w:i w:val="0"/>
          <w:sz w:val="22"/>
          <w:u w:val="none"/>
        </w:rPr>
        <w:t>1.</w:t>
      </w:r>
      <w:r>
        <w:rPr>
          <w:b w:val="0"/>
          <w:i w:val="0"/>
          <w:sz w:val="22"/>
          <w:u w:val="none"/>
        </w:rPr>
        <w:t xml:space="preserve"> Ytelser som tar sikte på å kompensere for inntektsbortfall på grunn av foreldreskap skal ikke tas i betraktning ved anvendelsen av forordningen artikkel 68 nr. 2 med hensyn til suspensjon av ytelser eller beregning av tilleggsbeløp.</w:t>
      </w:r>
    </w:p>
    <w:p>
      <w:pPr>
        <w:spacing w:before="120" w:after="0"/>
        <w:ind w:left="0" w:firstLine="0"/>
        <w:jc w:val="left"/>
        <w:rPr>
          <w:b w:val="0"/>
          <w:i w:val="0"/>
          <w:sz w:val="22"/>
          <w:u w:val="none"/>
        </w:rPr>
      </w:pPr>
      <w:r>
        <w:rPr>
          <w:b w:val="0"/>
          <w:i w:val="0"/>
          <w:sz w:val="22"/>
          <w:u w:val="none"/>
        </w:rPr>
        <w:t>2.</w:t>
      </w:r>
      <w:r>
        <w:rPr>
          <w:b w:val="0"/>
          <w:i w:val="0"/>
          <w:sz w:val="22"/>
          <w:u w:val="none"/>
        </w:rPr>
        <w:t xml:space="preserve"> En myndighet eller institusjon som i henhold til forordningen artikkel 68 nr. 2 skal suspendere en ytelse og utbetale et tilleggsbeløp, skal beregne det samlede beløpet familieytelser for hvert av de berørte barna for seg, suspendere ytelsene opp til det beløp som gis fra den andre staten og utbetale tilleggsbeløpet.</w:t>
      </w:r>
      <w:bookmarkEnd w:id="40"/>
      <w:bookmarkEnd w:id="38"/>
      <w:bookmarkStart w:id="42" w:name="KAPITTEL_4-5"/>
    </w:p>
    <w:p>
      <w:pPr>
        <w:spacing w:before="0" w:after="0"/>
        <w:ind w:firstLine="0"/>
        <w:jc w:val="left"/>
        <w:rPr>
          <w:b w:val="0"/>
          <w:i w:val="0"/>
          <w:sz w:val="22"/>
          <w:u w:val="none"/>
        </w:rPr>
      </w:pPr>
      <w:r>
        <w:rPr>
          <w:b w:val="0"/>
          <w:i w:val="0"/>
          <w:sz w:val="22"/>
          <w:u w:val="none"/>
        </w:rPr>
        <w:br/>
      </w:r>
    </w:p>
    <w:p>
      <w:pPr>
        <w:pStyle w:val="Heading3"/>
        <w:spacing w:before="0" w:after="0"/>
        <w:ind w:firstLine="0"/>
        <w:jc w:val="center"/>
        <w:rPr>
          <w:sz w:val="26"/>
        </w:rPr>
      </w:pPr>
      <w:bookmarkStart w:id="43" w:name="_Toc256000011"/>
      <w:r>
        <w:rPr>
          <w:sz w:val="26"/>
        </w:rPr>
        <w:t>Kapitel 5</w:t>
      </w:r>
      <w:r>
        <w:rPr>
          <w:sz w:val="22"/>
        </w:rPr>
        <w:br/>
      </w:r>
      <w:r>
        <w:rPr>
          <w:sz w:val="26"/>
        </w:rPr>
        <w:t>Rehabilitering</w:t>
      </w:r>
      <w:bookmarkEnd w:id="43"/>
      <w:bookmarkStart w:id="44" w:name="ARTIKKEL_12"/>
    </w:p>
    <w:p>
      <w:pPr>
        <w:spacing w:before="0" w:after="0"/>
        <w:ind w:firstLine="0"/>
        <w:jc w:val="left"/>
        <w:rPr>
          <w:b w:val="0"/>
          <w:i w:val="0"/>
          <w:sz w:val="22"/>
          <w:u w:val="none"/>
        </w:rPr>
      </w:pPr>
    </w:p>
    <w:p>
      <w:pPr>
        <w:spacing w:before="0" w:after="0"/>
        <w:ind w:firstLine="0"/>
        <w:jc w:val="center"/>
        <w:rPr>
          <w:b/>
          <w:i w:val="0"/>
          <w:sz w:val="22"/>
          <w:u w:val="none"/>
        </w:rPr>
      </w:pPr>
      <w:bookmarkStart w:id="45" w:name="a12"/>
      <w:bookmarkEnd w:id="45"/>
      <w:r>
        <w:rPr>
          <w:b/>
          <w:i w:val="0"/>
          <w:sz w:val="22"/>
          <w:u w:val="none"/>
        </w:rPr>
        <w:t>Artikkel 12</w:t>
      </w:r>
      <w:r>
        <w:rPr>
          <w:b w:val="0"/>
          <w:i w:val="0"/>
          <w:sz w:val="22"/>
          <w:u w:val="none"/>
        </w:rPr>
        <w:br/>
      </w:r>
      <w:r>
        <w:rPr>
          <w:b/>
          <w:i w:val="0"/>
          <w:sz w:val="22"/>
          <w:u w:val="none"/>
        </w:rPr>
        <w:t xml:space="preserve"> </w:t>
      </w:r>
      <w:r>
        <w:rPr>
          <w:b/>
          <w:i w:val="0"/>
          <w:sz w:val="22"/>
          <w:u w:val="none"/>
        </w:rPr>
        <w:t>Samarbeid</w:t>
      </w:r>
    </w:p>
    <w:p>
      <w:pPr>
        <w:spacing w:before="120" w:after="0"/>
        <w:ind w:left="0" w:firstLine="0"/>
        <w:jc w:val="left"/>
        <w:rPr>
          <w:b w:val="0"/>
          <w:i w:val="0"/>
          <w:sz w:val="22"/>
          <w:u w:val="none"/>
        </w:rPr>
      </w:pPr>
      <w:r>
        <w:rPr>
          <w:b w:val="0"/>
          <w:i w:val="0"/>
          <w:sz w:val="22"/>
          <w:u w:val="none"/>
        </w:rPr>
        <w:t>1.</w:t>
      </w:r>
      <w:r>
        <w:rPr>
          <w:b w:val="0"/>
          <w:i w:val="0"/>
          <w:sz w:val="22"/>
          <w:u w:val="none"/>
        </w:rPr>
        <w:t xml:space="preserve"> I grenseoverskridende situasjoner skal de berørte institusjonene i den kompetente staten og i bostedsstaten samarbeide for å sørge for støtte og aktive tiltak for personer med sikte på å påvirke mulighetene til å komme ut i eller gå tilbake til arbeid. Institusjonen i bostedsstaten skal, i samråd med institusjonen i den kompetente staten, sørge for de tiltak som er mulige innenfor rammen av landets lovgivning.</w:t>
      </w:r>
    </w:p>
    <w:p>
      <w:pPr>
        <w:spacing w:before="120" w:after="0"/>
        <w:ind w:left="0" w:firstLine="0"/>
        <w:jc w:val="left"/>
        <w:rPr>
          <w:b w:val="0"/>
          <w:i w:val="0"/>
          <w:sz w:val="22"/>
          <w:u w:val="none"/>
        </w:rPr>
      </w:pPr>
      <w:r>
        <w:rPr>
          <w:b w:val="0"/>
          <w:i w:val="0"/>
          <w:sz w:val="22"/>
          <w:u w:val="none"/>
        </w:rPr>
        <w:t>2.</w:t>
      </w:r>
      <w:r>
        <w:rPr>
          <w:b w:val="0"/>
          <w:i w:val="0"/>
          <w:sz w:val="22"/>
          <w:u w:val="none"/>
        </w:rPr>
        <w:t xml:space="preserve"> Dersom et tiltak vil kunne innebære endring av trygdemedlemskapet, skal institusjonene så langt mulig løse situasjonen til fordel for den enkelte.</w:t>
      </w:r>
      <w:bookmarkEnd w:id="44"/>
      <w:bookmarkEnd w:id="42"/>
      <w:bookmarkEnd w:id="22"/>
      <w:bookmarkStart w:id="46" w:name="KAPITTEL_5"/>
    </w:p>
    <w:p>
      <w:pPr>
        <w:spacing w:before="0" w:after="0"/>
        <w:ind w:firstLine="0"/>
        <w:jc w:val="left"/>
        <w:rPr>
          <w:b w:val="0"/>
          <w:i w:val="0"/>
          <w:sz w:val="22"/>
          <w:u w:val="none"/>
        </w:rPr>
      </w:pPr>
    </w:p>
    <w:p>
      <w:pPr>
        <w:spacing w:before="0" w:after="0"/>
        <w:ind w:firstLine="0"/>
        <w:jc w:val="left"/>
        <w:rPr>
          <w:b w:val="0"/>
          <w:i w:val="0"/>
          <w:sz w:val="22"/>
          <w:u w:val="none"/>
        </w:rPr>
      </w:pPr>
    </w:p>
    <w:p>
      <w:pPr>
        <w:pStyle w:val="Heading2"/>
        <w:spacing w:before="0" w:after="0"/>
        <w:ind w:firstLine="0"/>
        <w:jc w:val="center"/>
        <w:rPr>
          <w:sz w:val="28"/>
        </w:rPr>
      </w:pPr>
      <w:bookmarkStart w:id="47" w:name="_Toc256000012"/>
      <w:r>
        <w:rPr>
          <w:sz w:val="28"/>
        </w:rPr>
        <w:t>Avdeling IV</w:t>
      </w:r>
      <w:r>
        <w:rPr>
          <w:sz w:val="22"/>
        </w:rPr>
        <w:br/>
      </w:r>
      <w:r>
        <w:rPr>
          <w:sz w:val="28"/>
        </w:rPr>
        <w:t>Øvrige bestemmelser</w:t>
      </w:r>
      <w:bookmarkEnd w:id="47"/>
      <w:bookmarkStart w:id="48" w:name="ARTIKKEL_13"/>
    </w:p>
    <w:p>
      <w:pPr>
        <w:spacing w:before="0" w:after="0"/>
        <w:ind w:firstLine="0"/>
        <w:jc w:val="left"/>
        <w:rPr>
          <w:b w:val="0"/>
          <w:i w:val="0"/>
          <w:sz w:val="22"/>
          <w:u w:val="none"/>
        </w:rPr>
      </w:pPr>
    </w:p>
    <w:p>
      <w:pPr>
        <w:spacing w:before="0" w:after="0"/>
        <w:ind w:firstLine="0"/>
        <w:jc w:val="center"/>
        <w:rPr>
          <w:b/>
          <w:i w:val="0"/>
          <w:sz w:val="22"/>
          <w:u w:val="none"/>
        </w:rPr>
      </w:pPr>
      <w:bookmarkStart w:id="49" w:name="a13"/>
      <w:bookmarkEnd w:id="49"/>
      <w:r>
        <w:rPr>
          <w:b/>
          <w:i w:val="0"/>
          <w:sz w:val="22"/>
          <w:u w:val="none"/>
        </w:rPr>
        <w:t>Artikkel 13</w:t>
      </w:r>
      <w:r>
        <w:rPr>
          <w:b w:val="0"/>
          <w:i w:val="0"/>
          <w:sz w:val="22"/>
          <w:u w:val="none"/>
        </w:rPr>
        <w:br/>
      </w:r>
      <w:r>
        <w:rPr>
          <w:b/>
          <w:i w:val="0"/>
          <w:sz w:val="22"/>
          <w:u w:val="none"/>
        </w:rPr>
        <w:t xml:space="preserve"> </w:t>
      </w:r>
      <w:r>
        <w:rPr>
          <w:b/>
          <w:i w:val="0"/>
          <w:sz w:val="22"/>
          <w:u w:val="none"/>
        </w:rPr>
        <w:t>Administrativ avtale</w:t>
      </w:r>
    </w:p>
    <w:p>
      <w:pPr>
        <w:spacing w:before="120" w:after="0"/>
        <w:ind w:left="0" w:firstLine="180"/>
        <w:jc w:val="left"/>
        <w:rPr>
          <w:b w:val="0"/>
          <w:i w:val="0"/>
          <w:sz w:val="22"/>
          <w:u w:val="none"/>
        </w:rPr>
      </w:pPr>
      <w:r>
        <w:rPr>
          <w:b w:val="0"/>
          <w:i w:val="0"/>
          <w:sz w:val="22"/>
          <w:u w:val="none"/>
        </w:rPr>
        <w:t>De kompetente myndighetene, eller den institusjon som utpekes av den kompetente myndigheten, skal inngå en administrativ avtale med de bestemmelser som er nødvendige for å sikre en enhetlig nordisk anvendelse av denne konvensjonen.</w:t>
      </w:r>
      <w:bookmarkEnd w:id="48"/>
      <w:bookmarkStart w:id="50" w:name="ARTIKKEL_14"/>
    </w:p>
    <w:p>
      <w:pPr>
        <w:spacing w:before="0" w:after="0"/>
        <w:ind w:firstLine="0"/>
        <w:jc w:val="left"/>
        <w:rPr>
          <w:b w:val="0"/>
          <w:i w:val="0"/>
          <w:sz w:val="22"/>
          <w:u w:val="none"/>
        </w:rPr>
      </w:pPr>
    </w:p>
    <w:p>
      <w:pPr>
        <w:spacing w:before="0" w:after="0"/>
        <w:ind w:firstLine="0"/>
        <w:jc w:val="center"/>
        <w:rPr>
          <w:b/>
          <w:i w:val="0"/>
          <w:sz w:val="22"/>
          <w:u w:val="none"/>
        </w:rPr>
      </w:pPr>
      <w:bookmarkStart w:id="51" w:name="a14"/>
      <w:bookmarkEnd w:id="51"/>
      <w:r>
        <w:rPr>
          <w:b/>
          <w:i w:val="0"/>
          <w:sz w:val="22"/>
          <w:u w:val="none"/>
        </w:rPr>
        <w:t>Artikkel 14</w:t>
      </w:r>
      <w:r>
        <w:rPr>
          <w:b w:val="0"/>
          <w:i w:val="0"/>
          <w:sz w:val="22"/>
          <w:u w:val="none"/>
        </w:rPr>
        <w:br/>
      </w:r>
      <w:r>
        <w:rPr>
          <w:b/>
          <w:i w:val="0"/>
          <w:sz w:val="22"/>
          <w:u w:val="none"/>
        </w:rPr>
        <w:t xml:space="preserve"> </w:t>
      </w:r>
      <w:r>
        <w:rPr>
          <w:b/>
          <w:i w:val="0"/>
          <w:sz w:val="22"/>
          <w:u w:val="none"/>
        </w:rPr>
        <w:t>Administrativt samarbeid og forbindelsesorganer</w:t>
      </w:r>
    </w:p>
    <w:p>
      <w:pPr>
        <w:spacing w:before="120" w:after="0"/>
        <w:ind w:left="0" w:firstLine="0"/>
        <w:jc w:val="left"/>
        <w:rPr>
          <w:b w:val="0"/>
          <w:i w:val="0"/>
          <w:sz w:val="22"/>
          <w:u w:val="none"/>
        </w:rPr>
      </w:pPr>
      <w:r>
        <w:rPr>
          <w:b w:val="0"/>
          <w:i w:val="0"/>
          <w:sz w:val="22"/>
          <w:u w:val="none"/>
        </w:rPr>
        <w:t>1.</w:t>
      </w:r>
      <w:r>
        <w:rPr>
          <w:b w:val="0"/>
          <w:i w:val="0"/>
          <w:sz w:val="22"/>
          <w:u w:val="none"/>
        </w:rPr>
        <w:t xml:space="preserve"> Ved anvendelsen av denne konvensjonen skal myndigheter og institusjoner bistå hverandre i den utstrekning det er nødvendig.</w:t>
      </w:r>
    </w:p>
    <w:p>
      <w:pPr>
        <w:spacing w:before="120" w:after="0"/>
        <w:ind w:left="0" w:firstLine="0"/>
        <w:jc w:val="left"/>
        <w:rPr>
          <w:b w:val="0"/>
          <w:i w:val="0"/>
          <w:sz w:val="22"/>
          <w:u w:val="none"/>
        </w:rPr>
      </w:pPr>
      <w:r>
        <w:rPr>
          <w:b w:val="0"/>
          <w:i w:val="0"/>
          <w:sz w:val="22"/>
          <w:u w:val="none"/>
        </w:rPr>
        <w:t>2.</w:t>
      </w:r>
      <w:r>
        <w:rPr>
          <w:b w:val="0"/>
          <w:i w:val="0"/>
          <w:sz w:val="22"/>
          <w:u w:val="none"/>
        </w:rPr>
        <w:t xml:space="preserve"> I grenseoverskridende situasjoner skal de berørte myndighetene og institusjonene i de berørte statene samarbeide for å forbedre administrative rutiner, bistå hverandre og samarbeide i konkrete saker, spesielt når det gjelder lovvalgsspørsmål, med sikte på så langt mulig å løse situasjonen til fordel for den enkelte.</w:t>
      </w:r>
    </w:p>
    <w:p>
      <w:pPr>
        <w:spacing w:before="120" w:after="0"/>
        <w:ind w:left="0" w:firstLine="0"/>
        <w:jc w:val="left"/>
        <w:rPr>
          <w:b w:val="0"/>
          <w:i w:val="0"/>
          <w:sz w:val="22"/>
          <w:u w:val="none"/>
        </w:rPr>
      </w:pPr>
      <w:r>
        <w:rPr>
          <w:b w:val="0"/>
          <w:i w:val="0"/>
          <w:sz w:val="22"/>
          <w:u w:val="none"/>
        </w:rPr>
        <w:t>3.</w:t>
      </w:r>
      <w:r>
        <w:rPr>
          <w:b w:val="0"/>
          <w:i w:val="0"/>
          <w:sz w:val="22"/>
          <w:u w:val="none"/>
        </w:rPr>
        <w:t xml:space="preserve"> I hvert nordisk land skal det være et forbindelsesorgan som utpekes av den kompetente myndigheten.</w:t>
      </w:r>
      <w:bookmarkEnd w:id="50"/>
      <w:bookmarkStart w:id="52" w:name="ARTIKKEL_15"/>
    </w:p>
    <w:p>
      <w:pPr>
        <w:spacing w:before="0" w:after="0"/>
        <w:ind w:firstLine="0"/>
        <w:jc w:val="left"/>
        <w:rPr>
          <w:b w:val="0"/>
          <w:i w:val="0"/>
          <w:sz w:val="22"/>
          <w:u w:val="none"/>
        </w:rPr>
      </w:pPr>
    </w:p>
    <w:p>
      <w:pPr>
        <w:spacing w:before="0" w:after="0"/>
        <w:ind w:firstLine="0"/>
        <w:jc w:val="center"/>
        <w:rPr>
          <w:b/>
          <w:i w:val="0"/>
          <w:sz w:val="22"/>
          <w:u w:val="none"/>
        </w:rPr>
      </w:pPr>
      <w:bookmarkStart w:id="53" w:name="a15"/>
      <w:bookmarkEnd w:id="53"/>
      <w:r>
        <w:rPr>
          <w:b/>
          <w:i w:val="0"/>
          <w:sz w:val="22"/>
          <w:u w:val="none"/>
        </w:rPr>
        <w:t>Artikkel 15</w:t>
      </w:r>
      <w:r>
        <w:rPr>
          <w:b w:val="0"/>
          <w:i w:val="0"/>
          <w:sz w:val="22"/>
          <w:u w:val="none"/>
        </w:rPr>
        <w:br/>
      </w:r>
      <w:r>
        <w:rPr>
          <w:b/>
          <w:i w:val="0"/>
          <w:sz w:val="22"/>
          <w:u w:val="none"/>
        </w:rPr>
        <w:t xml:space="preserve"> </w:t>
      </w:r>
      <w:r>
        <w:rPr>
          <w:b/>
          <w:i w:val="0"/>
          <w:sz w:val="22"/>
          <w:u w:val="none"/>
        </w:rPr>
        <w:t>Avkall på refusjon</w:t>
      </w:r>
    </w:p>
    <w:p>
      <w:pPr>
        <w:spacing w:before="120" w:after="0"/>
        <w:ind w:left="0" w:firstLine="0"/>
        <w:jc w:val="left"/>
        <w:rPr>
          <w:b w:val="0"/>
          <w:i w:val="0"/>
          <w:sz w:val="22"/>
          <w:u w:val="none"/>
        </w:rPr>
      </w:pPr>
      <w:r>
        <w:rPr>
          <w:b w:val="0"/>
          <w:i w:val="0"/>
          <w:sz w:val="22"/>
          <w:u w:val="none"/>
        </w:rPr>
        <w:t>1.</w:t>
      </w:r>
      <w:r>
        <w:rPr>
          <w:b w:val="0"/>
          <w:i w:val="0"/>
          <w:sz w:val="22"/>
          <w:u w:val="none"/>
        </w:rPr>
        <w:t xml:space="preserve"> I henhold til artiklene 35, 41 og 65 i forordningen gir de nordiske landene, om ikke annet avtales mellom to eller flere av landene, avkall på enhver refusjon mellom landene av utgifter til naturalytelser ved sykdom, svangerskap og fødsel samt ved yrkesskader og yrkessykdommer, til ytelser til arbeidsløse samt til administrativ og medisinsk kontroll.</w:t>
      </w:r>
    </w:p>
    <w:p>
      <w:pPr>
        <w:spacing w:before="120" w:after="0"/>
        <w:ind w:left="0" w:firstLine="0"/>
        <w:jc w:val="left"/>
        <w:rPr>
          <w:b w:val="0"/>
          <w:i w:val="0"/>
          <w:sz w:val="22"/>
          <w:u w:val="none"/>
        </w:rPr>
      </w:pPr>
      <w:r>
        <w:rPr>
          <w:b w:val="0"/>
          <w:i w:val="0"/>
          <w:sz w:val="22"/>
          <w:u w:val="none"/>
        </w:rPr>
        <w:t>2.</w:t>
      </w:r>
      <w:r>
        <w:rPr>
          <w:b w:val="0"/>
          <w:i w:val="0"/>
          <w:sz w:val="22"/>
          <w:u w:val="none"/>
        </w:rPr>
        <w:t xml:space="preserve"> Avkallet på refusjon skal også gjelde utgifter til tiltak som omfattes av artikkel 12 nr. 1 om rehabilitering.</w:t>
      </w:r>
    </w:p>
    <w:p>
      <w:pPr>
        <w:spacing w:before="120" w:after="0"/>
        <w:ind w:left="0" w:firstLine="0"/>
        <w:jc w:val="left"/>
        <w:rPr>
          <w:b w:val="0"/>
          <w:i w:val="0"/>
          <w:sz w:val="22"/>
          <w:u w:val="none"/>
        </w:rPr>
      </w:pPr>
      <w:r>
        <w:rPr>
          <w:b w:val="0"/>
          <w:i w:val="0"/>
          <w:sz w:val="22"/>
          <w:u w:val="none"/>
        </w:rPr>
        <w:t>3.</w:t>
      </w:r>
      <w:r>
        <w:rPr>
          <w:b w:val="0"/>
          <w:i w:val="0"/>
          <w:sz w:val="22"/>
          <w:u w:val="none"/>
        </w:rPr>
        <w:t xml:space="preserve"> Avkallet på refusjon omfatter ikke naturalytelser til personer som i henhold til forordningens artikler 20 nr. 1, 28 nr. 1 og 36 nr. 1 har fått tillatelse til å reise til et annet nordisk land for der å få den nødvendige sykehjelp som hans eller hennes tilstand krever.</w:t>
      </w:r>
      <w:bookmarkEnd w:id="52"/>
      <w:bookmarkStart w:id="54" w:name="ARTIKKEL_16"/>
    </w:p>
    <w:p>
      <w:pPr>
        <w:spacing w:before="0" w:after="0"/>
        <w:ind w:firstLine="0"/>
        <w:jc w:val="left"/>
        <w:rPr>
          <w:b w:val="0"/>
          <w:i w:val="0"/>
          <w:sz w:val="22"/>
          <w:u w:val="none"/>
        </w:rPr>
      </w:pPr>
    </w:p>
    <w:p>
      <w:pPr>
        <w:spacing w:before="0" w:after="0"/>
        <w:ind w:firstLine="0"/>
        <w:jc w:val="center"/>
        <w:rPr>
          <w:b/>
          <w:i w:val="0"/>
          <w:sz w:val="22"/>
          <w:u w:val="none"/>
        </w:rPr>
      </w:pPr>
      <w:bookmarkStart w:id="55" w:name="a16"/>
      <w:bookmarkEnd w:id="55"/>
      <w:r>
        <w:rPr>
          <w:b/>
          <w:i w:val="0"/>
          <w:sz w:val="22"/>
          <w:u w:val="none"/>
        </w:rPr>
        <w:t>Artikkel 16</w:t>
      </w:r>
      <w:r>
        <w:rPr>
          <w:b w:val="0"/>
          <w:i w:val="0"/>
          <w:sz w:val="22"/>
          <w:u w:val="none"/>
        </w:rPr>
        <w:br/>
      </w:r>
      <w:r>
        <w:rPr>
          <w:b/>
          <w:i w:val="0"/>
          <w:sz w:val="22"/>
          <w:u w:val="none"/>
        </w:rPr>
        <w:t xml:space="preserve"> </w:t>
      </w:r>
      <w:r>
        <w:rPr>
          <w:b/>
          <w:i w:val="0"/>
          <w:sz w:val="22"/>
          <w:u w:val="none"/>
        </w:rPr>
        <w:t>Ikrafttredelse</w:t>
      </w:r>
    </w:p>
    <w:p>
      <w:pPr>
        <w:spacing w:before="120" w:after="0"/>
        <w:ind w:left="0" w:firstLine="0"/>
        <w:jc w:val="left"/>
        <w:rPr>
          <w:b w:val="0"/>
          <w:i w:val="0"/>
          <w:sz w:val="22"/>
          <w:u w:val="none"/>
        </w:rPr>
      </w:pPr>
      <w:r>
        <w:rPr>
          <w:b w:val="0"/>
          <w:i w:val="0"/>
          <w:sz w:val="22"/>
          <w:u w:val="none"/>
        </w:rPr>
        <w:t>1.</w:t>
      </w:r>
      <w:r>
        <w:rPr>
          <w:b w:val="0"/>
          <w:i w:val="0"/>
          <w:sz w:val="22"/>
          <w:u w:val="none"/>
        </w:rPr>
        <w:t xml:space="preserve"> Denne konvensjonen trer i kraft under forutsetning av at vedlegg VI til EØS-avtalen tilpasses forordning </w:t>
      </w:r>
      <w:hyperlink r:id="rId11" w:anchor="reference/eu/32004r0883" w:history="1">
        <w:r>
          <w:rPr>
            <w:b w:val="0"/>
            <w:i w:val="0"/>
            <w:color w:val="0000FF"/>
            <w:sz w:val="22"/>
            <w:u w:val="single"/>
          </w:rPr>
          <w:t>(EF) nr. 883/2004</w:t>
        </w:r>
      </w:hyperlink>
      <w:r>
        <w:rPr>
          <w:b w:val="0"/>
          <w:i w:val="0"/>
          <w:color w:val="auto"/>
          <w:sz w:val="22"/>
          <w:u w:val="none"/>
        </w:rPr>
        <w:t>.</w:t>
      </w:r>
    </w:p>
    <w:p>
      <w:pPr>
        <w:spacing w:before="120" w:after="0"/>
        <w:ind w:left="0" w:firstLine="0"/>
        <w:jc w:val="left"/>
        <w:rPr>
          <w:b w:val="0"/>
          <w:i w:val="0"/>
          <w:sz w:val="22"/>
          <w:u w:val="none"/>
        </w:rPr>
      </w:pPr>
      <w:r>
        <w:rPr>
          <w:b w:val="0"/>
          <w:i w:val="0"/>
          <w:sz w:val="22"/>
          <w:u w:val="none"/>
        </w:rPr>
        <w:t>2.</w:t>
      </w:r>
      <w:r>
        <w:rPr>
          <w:b w:val="0"/>
          <w:i w:val="0"/>
          <w:sz w:val="22"/>
          <w:u w:val="none"/>
        </w:rPr>
        <w:t xml:space="preserve"> Denne konvensjonen trer i kraft den første dagen i den tredje måneden etter den måneden da samtlige regjeringer har meddelt den danske regjeringen at alle vilkår for konvensjonens ikrafttredelse er oppfylt.</w:t>
      </w:r>
    </w:p>
    <w:p>
      <w:pPr>
        <w:spacing w:before="120" w:after="0"/>
        <w:ind w:left="0" w:firstLine="0"/>
        <w:jc w:val="left"/>
        <w:rPr>
          <w:b w:val="0"/>
          <w:i w:val="0"/>
          <w:sz w:val="22"/>
          <w:u w:val="none"/>
        </w:rPr>
      </w:pPr>
      <w:r>
        <w:rPr>
          <w:b w:val="0"/>
          <w:i w:val="0"/>
          <w:sz w:val="22"/>
          <w:u w:val="none"/>
        </w:rPr>
        <w:t>3.</w:t>
      </w:r>
      <w:r>
        <w:rPr>
          <w:b w:val="0"/>
          <w:i w:val="0"/>
          <w:sz w:val="22"/>
          <w:u w:val="none"/>
        </w:rPr>
        <w:t xml:space="preserve"> For Færøyenes, Grønlands og Ålands vedkommende trer konvensjonen i kraft 30 dager etter at Danmarks, respektive Finlands, regjering har meddelt det danske utenriksministeriet at Færøyenes og Grønlands landsstyrelser, respektive Ålands lagting, har meddelt at konvensjonen skal gjelde for Færøyene og Grønland, respektive Åland.</w:t>
      </w:r>
    </w:p>
    <w:p>
      <w:pPr>
        <w:spacing w:before="120" w:after="0"/>
        <w:ind w:left="0" w:firstLine="0"/>
        <w:jc w:val="left"/>
        <w:rPr>
          <w:b w:val="0"/>
          <w:i w:val="0"/>
          <w:sz w:val="22"/>
          <w:u w:val="none"/>
        </w:rPr>
      </w:pPr>
      <w:r>
        <w:rPr>
          <w:b w:val="0"/>
          <w:i w:val="0"/>
          <w:sz w:val="22"/>
          <w:u w:val="none"/>
        </w:rPr>
        <w:t>4.</w:t>
      </w:r>
      <w:r>
        <w:rPr>
          <w:b w:val="0"/>
          <w:i w:val="0"/>
          <w:sz w:val="22"/>
          <w:u w:val="none"/>
        </w:rPr>
        <w:t xml:space="preserve"> I forbindelse med sin tilslutning skal Færøyenes og Grønlands landsstyrelser ta stilling til om personkretsen i artikkel 3 nr. 3 og de unntak i forordningen angående reglene om grunnpensjon som gjelder for Danmark, også skal gjelde for dem.</w:t>
      </w:r>
    </w:p>
    <w:p>
      <w:pPr>
        <w:spacing w:before="120" w:after="0"/>
        <w:ind w:left="0" w:firstLine="0"/>
        <w:jc w:val="left"/>
        <w:rPr>
          <w:b w:val="0"/>
          <w:i w:val="0"/>
          <w:sz w:val="22"/>
          <w:u w:val="none"/>
        </w:rPr>
      </w:pPr>
      <w:r>
        <w:rPr>
          <w:b w:val="0"/>
          <w:i w:val="0"/>
          <w:sz w:val="22"/>
          <w:u w:val="none"/>
        </w:rPr>
        <w:t>5.</w:t>
      </w:r>
      <w:r>
        <w:rPr>
          <w:b w:val="0"/>
          <w:i w:val="0"/>
          <w:sz w:val="22"/>
          <w:u w:val="none"/>
        </w:rPr>
        <w:t xml:space="preserve"> Det danske utenriksministeriet skal underrette de øvrige partene og Nordisk ministerråds sekretariat om mottagelsen av disse meddelelsene og om tidspunktet for konvensjonens ikrafttredelse.</w:t>
      </w:r>
      <w:bookmarkEnd w:id="54"/>
      <w:bookmarkStart w:id="56" w:name="ARTIKKEL_17"/>
    </w:p>
    <w:p>
      <w:pPr>
        <w:spacing w:before="0" w:after="0"/>
        <w:ind w:firstLine="0"/>
        <w:jc w:val="left"/>
        <w:rPr>
          <w:b w:val="0"/>
          <w:i w:val="0"/>
          <w:sz w:val="22"/>
          <w:u w:val="none"/>
        </w:rPr>
      </w:pPr>
    </w:p>
    <w:p>
      <w:pPr>
        <w:spacing w:before="0" w:after="0"/>
        <w:ind w:firstLine="0"/>
        <w:jc w:val="center"/>
        <w:rPr>
          <w:b/>
          <w:i w:val="0"/>
          <w:sz w:val="22"/>
          <w:u w:val="none"/>
        </w:rPr>
      </w:pPr>
      <w:bookmarkStart w:id="57" w:name="a17"/>
      <w:bookmarkEnd w:id="57"/>
      <w:r>
        <w:rPr>
          <w:b/>
          <w:i w:val="0"/>
          <w:sz w:val="22"/>
          <w:u w:val="none"/>
        </w:rPr>
        <w:t>Artikkel 17</w:t>
      </w:r>
      <w:r>
        <w:rPr>
          <w:b w:val="0"/>
          <w:i w:val="0"/>
          <w:sz w:val="22"/>
          <w:u w:val="none"/>
        </w:rPr>
        <w:br/>
      </w:r>
      <w:r>
        <w:rPr>
          <w:b/>
          <w:i w:val="0"/>
          <w:sz w:val="22"/>
          <w:u w:val="none"/>
        </w:rPr>
        <w:t xml:space="preserve"> </w:t>
      </w:r>
      <w:r>
        <w:rPr>
          <w:b/>
          <w:i w:val="0"/>
          <w:sz w:val="22"/>
          <w:u w:val="none"/>
        </w:rPr>
        <w:t>Oppsigelse av konvensjonen</w:t>
      </w:r>
    </w:p>
    <w:p>
      <w:pPr>
        <w:spacing w:before="120" w:after="0"/>
        <w:ind w:left="0" w:firstLine="0"/>
        <w:jc w:val="left"/>
        <w:rPr>
          <w:b w:val="0"/>
          <w:i w:val="0"/>
          <w:sz w:val="22"/>
          <w:u w:val="none"/>
        </w:rPr>
      </w:pPr>
      <w:r>
        <w:rPr>
          <w:b w:val="0"/>
          <w:i w:val="0"/>
          <w:sz w:val="22"/>
          <w:u w:val="none"/>
        </w:rPr>
        <w:t>1.</w:t>
      </w:r>
      <w:r>
        <w:rPr>
          <w:b w:val="0"/>
          <w:i w:val="0"/>
          <w:sz w:val="22"/>
          <w:u w:val="none"/>
        </w:rPr>
        <w:t xml:space="preserve"> Dersom en part vil si opp konvensjonen, skal skriftlig meddelelse om dette sendes det danske utenriksministeriet, som skal underrette de øvrige partene om dette og om meddelelsens innhold.</w:t>
      </w:r>
    </w:p>
    <w:p>
      <w:pPr>
        <w:spacing w:before="120" w:after="0"/>
        <w:ind w:left="0" w:firstLine="0"/>
        <w:jc w:val="left"/>
        <w:rPr>
          <w:b w:val="0"/>
          <w:i w:val="0"/>
          <w:sz w:val="22"/>
          <w:u w:val="none"/>
        </w:rPr>
      </w:pPr>
      <w:r>
        <w:rPr>
          <w:b w:val="0"/>
          <w:i w:val="0"/>
          <w:sz w:val="22"/>
          <w:u w:val="none"/>
        </w:rPr>
        <w:t>2.</w:t>
      </w:r>
      <w:r>
        <w:rPr>
          <w:b w:val="0"/>
          <w:i w:val="0"/>
          <w:sz w:val="22"/>
          <w:u w:val="none"/>
        </w:rPr>
        <w:t xml:space="preserve"> Oppsigelsen får bare virkning for den part som har meddelt den og gjelder fra og med det kalenderår som tar til minst seks måneder etter at det danske utenriksministeriet har mottatt meddelelsen om oppsigelse.</w:t>
      </w:r>
    </w:p>
    <w:p>
      <w:pPr>
        <w:spacing w:before="120" w:after="0"/>
        <w:ind w:left="0" w:firstLine="0"/>
        <w:jc w:val="left"/>
        <w:rPr>
          <w:b w:val="0"/>
          <w:i w:val="0"/>
          <w:sz w:val="22"/>
          <w:u w:val="none"/>
        </w:rPr>
      </w:pPr>
      <w:r>
        <w:rPr>
          <w:b w:val="0"/>
          <w:i w:val="0"/>
          <w:sz w:val="22"/>
          <w:u w:val="none"/>
        </w:rPr>
        <w:t>3.</w:t>
      </w:r>
      <w:r>
        <w:rPr>
          <w:b w:val="0"/>
          <w:i w:val="0"/>
          <w:sz w:val="22"/>
          <w:u w:val="none"/>
        </w:rPr>
        <w:t xml:space="preserve"> Oppsies konvensjonen, skal rettigheter som er ervervet på grunnlag av konvensjonen fortsatt bestå.</w:t>
      </w:r>
      <w:bookmarkEnd w:id="56"/>
      <w:bookmarkStart w:id="58" w:name="ARTIKKEL_18"/>
    </w:p>
    <w:p>
      <w:pPr>
        <w:spacing w:before="0" w:after="0"/>
        <w:ind w:firstLine="0"/>
        <w:jc w:val="left"/>
        <w:rPr>
          <w:b w:val="0"/>
          <w:i w:val="0"/>
          <w:sz w:val="22"/>
          <w:u w:val="none"/>
        </w:rPr>
      </w:pPr>
    </w:p>
    <w:p>
      <w:pPr>
        <w:spacing w:before="0" w:after="0"/>
        <w:ind w:firstLine="0"/>
        <w:jc w:val="center"/>
        <w:rPr>
          <w:b/>
          <w:i w:val="0"/>
          <w:sz w:val="22"/>
          <w:u w:val="none"/>
        </w:rPr>
      </w:pPr>
      <w:bookmarkStart w:id="59" w:name="a18"/>
      <w:bookmarkEnd w:id="59"/>
      <w:r>
        <w:rPr>
          <w:b/>
          <w:i w:val="0"/>
          <w:sz w:val="22"/>
          <w:u w:val="none"/>
        </w:rPr>
        <w:t>Artikkel 18</w:t>
      </w:r>
      <w:r>
        <w:rPr>
          <w:b w:val="0"/>
          <w:i w:val="0"/>
          <w:sz w:val="22"/>
          <w:u w:val="none"/>
        </w:rPr>
        <w:br/>
      </w:r>
      <w:r>
        <w:rPr>
          <w:b/>
          <w:i w:val="0"/>
          <w:sz w:val="22"/>
          <w:u w:val="none"/>
        </w:rPr>
        <w:t xml:space="preserve"> </w:t>
      </w:r>
      <w:r>
        <w:rPr>
          <w:b/>
          <w:i w:val="0"/>
          <w:sz w:val="22"/>
          <w:u w:val="none"/>
        </w:rPr>
        <w:t>Overgangsbestemmelser</w:t>
      </w:r>
    </w:p>
    <w:p>
      <w:pPr>
        <w:spacing w:before="120" w:after="0"/>
        <w:ind w:left="0" w:firstLine="0"/>
        <w:jc w:val="left"/>
        <w:rPr>
          <w:b w:val="0"/>
          <w:i w:val="0"/>
          <w:sz w:val="22"/>
          <w:u w:val="none"/>
        </w:rPr>
      </w:pPr>
      <w:r>
        <w:rPr>
          <w:b w:val="0"/>
          <w:i w:val="0"/>
          <w:sz w:val="22"/>
          <w:u w:val="none"/>
        </w:rPr>
        <w:t>1.</w:t>
      </w:r>
      <w:r>
        <w:rPr>
          <w:b w:val="0"/>
          <w:i w:val="0"/>
          <w:sz w:val="22"/>
          <w:u w:val="none"/>
        </w:rPr>
        <w:t xml:space="preserve"> Når denne konvensjonen trer i kraft, opphører den nordiske konvensjonen om trygd av 18. august 2003 å gjelde. Denne konvensjonen skal ikke medføre reduksjon av ytelser som utbetales ved konvensjonens ikrafttredelse for så vidt gjelder ytelser som omfattes av konvensjonen. Når det gjelder Færøyene og Grønland, har konvensjonen av 18. august 2003 om trygd fortsatt gyldighet inntil det tidspunkt da denne konvensjonen tar til å gjelde, men ikke utover ett år etter konvensjonens ikrafttredelse i henhold til artikkel 16.</w:t>
      </w:r>
    </w:p>
    <w:p>
      <w:pPr>
        <w:spacing w:before="120" w:after="0"/>
        <w:ind w:left="0" w:firstLine="0"/>
        <w:jc w:val="left"/>
        <w:rPr>
          <w:b w:val="0"/>
          <w:i w:val="0"/>
          <w:sz w:val="22"/>
          <w:u w:val="none"/>
        </w:rPr>
      </w:pPr>
      <w:r>
        <w:rPr>
          <w:b w:val="0"/>
          <w:i w:val="0"/>
          <w:sz w:val="22"/>
          <w:u w:val="none"/>
        </w:rPr>
        <w:t>2.</w:t>
      </w:r>
      <w:r>
        <w:rPr>
          <w:b w:val="0"/>
          <w:i w:val="0"/>
          <w:sz w:val="22"/>
          <w:u w:val="none"/>
        </w:rPr>
        <w:t xml:space="preserve"> Har en person ervervet rett til grunnpensjon fra et nordisk land på grunnlag av botid i landet før 1. januar 1994, og det i samme periode er ervervet rett til arbeidspensjon i et annet nordisk land, skal grunnpensjon for slike perioder bare ytes fra sistnevnte land. Dersom det i en og samme periode er ervervet rett til arbeidspensjon fra flere nordiske land, og ett av dem også var vedkommendes bostedsland, skal grunnpensjon bare ytes fra sistnevnte land.</w:t>
      </w:r>
    </w:p>
    <w:p>
      <w:pPr>
        <w:spacing w:before="120" w:after="0"/>
        <w:ind w:left="0" w:firstLine="0"/>
        <w:jc w:val="left"/>
        <w:rPr>
          <w:b w:val="0"/>
          <w:i w:val="0"/>
          <w:sz w:val="22"/>
          <w:u w:val="none"/>
        </w:rPr>
      </w:pPr>
      <w:r>
        <w:rPr>
          <w:b w:val="0"/>
          <w:i w:val="0"/>
          <w:sz w:val="22"/>
          <w:u w:val="none"/>
        </w:rPr>
        <w:t>3.</w:t>
      </w:r>
      <w:r>
        <w:rPr>
          <w:b w:val="0"/>
          <w:i w:val="0"/>
          <w:sz w:val="22"/>
          <w:u w:val="none"/>
        </w:rPr>
        <w:t xml:space="preserve"> Krav om ytelser som framsettes etter denne konvensjonens ikrafttredelse, skal prøves etter denne konvensjonen også når kravene gjelder ytelser for tid før ikrafttredelsen.</w:t>
      </w:r>
      <w:bookmarkEnd w:id="58"/>
      <w:bookmarkStart w:id="60" w:name="ARTIKKEL_19"/>
    </w:p>
    <w:p>
      <w:pPr>
        <w:spacing w:before="0" w:after="0"/>
        <w:ind w:firstLine="0"/>
        <w:jc w:val="left"/>
        <w:rPr>
          <w:b w:val="0"/>
          <w:i w:val="0"/>
          <w:sz w:val="22"/>
          <w:u w:val="none"/>
        </w:rPr>
      </w:pPr>
    </w:p>
    <w:p>
      <w:pPr>
        <w:spacing w:before="0" w:after="0"/>
        <w:ind w:firstLine="0"/>
        <w:jc w:val="center"/>
        <w:rPr>
          <w:b/>
          <w:i w:val="0"/>
          <w:sz w:val="22"/>
          <w:u w:val="none"/>
        </w:rPr>
      </w:pPr>
      <w:bookmarkStart w:id="61" w:name="a19"/>
      <w:bookmarkEnd w:id="61"/>
      <w:r>
        <w:rPr>
          <w:b/>
          <w:i w:val="0"/>
          <w:sz w:val="22"/>
          <w:u w:val="none"/>
        </w:rPr>
        <w:t>Artikkel 19</w:t>
      </w:r>
      <w:r>
        <w:rPr>
          <w:b w:val="0"/>
          <w:i w:val="0"/>
          <w:sz w:val="22"/>
          <w:u w:val="none"/>
        </w:rPr>
        <w:br/>
      </w:r>
      <w:r>
        <w:rPr>
          <w:b/>
          <w:i w:val="0"/>
          <w:sz w:val="22"/>
          <w:u w:val="none"/>
        </w:rPr>
        <w:t xml:space="preserve"> </w:t>
      </w:r>
      <w:r>
        <w:rPr>
          <w:b/>
          <w:i w:val="0"/>
          <w:sz w:val="22"/>
          <w:u w:val="none"/>
        </w:rPr>
        <w:t>Undertegning</w:t>
      </w:r>
    </w:p>
    <w:p>
      <w:pPr>
        <w:spacing w:before="120" w:after="0"/>
        <w:ind w:left="0" w:firstLine="180"/>
        <w:jc w:val="left"/>
        <w:rPr>
          <w:b w:val="0"/>
          <w:i w:val="0"/>
          <w:sz w:val="22"/>
          <w:u w:val="none"/>
        </w:rPr>
      </w:pPr>
      <w:r>
        <w:rPr>
          <w:b w:val="0"/>
          <w:i w:val="0"/>
          <w:sz w:val="22"/>
          <w:u w:val="none"/>
        </w:rPr>
        <w:t>Originalteksten til denne konvensjonen skal deponeres hos det danske utenriksministeriet, som skal tilsende de øvrige partene bekreftede kopier av teksten.</w:t>
      </w:r>
    </w:p>
    <w:p>
      <w:pPr>
        <w:spacing w:before="120" w:after="0"/>
        <w:ind w:left="0" w:firstLine="0"/>
        <w:jc w:val="left"/>
        <w:rPr>
          <w:b w:val="0"/>
          <w:i w:val="0"/>
          <w:sz w:val="22"/>
          <w:u w:val="none"/>
        </w:rPr>
      </w:pPr>
      <w:r>
        <w:rPr>
          <w:b w:val="0"/>
          <w:i w:val="0"/>
          <w:sz w:val="22"/>
          <w:u w:val="none"/>
        </w:rPr>
        <w:t>Til bekreftelse herav har de befullmektigede representanter undertegnet denne konvensjonen.</w:t>
      </w:r>
    </w:p>
    <w:p>
      <w:pPr>
        <w:spacing w:before="120" w:after="0"/>
        <w:ind w:left="0" w:firstLine="0"/>
        <w:jc w:val="left"/>
        <w:rPr>
          <w:b w:val="0"/>
          <w:i w:val="0"/>
          <w:sz w:val="22"/>
          <w:u w:val="none"/>
        </w:rPr>
      </w:pPr>
      <w:r>
        <w:rPr>
          <w:b w:val="0"/>
          <w:i w:val="0"/>
          <w:sz w:val="22"/>
          <w:u w:val="none"/>
        </w:rPr>
        <w:t>Utferdiget i Bergen 12. juni 2012 i et eksemplar på dansk, finsk, islandsk, norsk og svensk, hvis tekster har samme gyldighet.</w:t>
      </w:r>
      <w:bookmarkEnd w:id="60"/>
      <w:bookmarkEnd w:id="46"/>
      <w:bookmarkEnd w:id="3"/>
    </w:p>
    <w:sectPr>
      <w:headerReference w:type="default" r:id="rId12"/>
      <w:footerReference w:type="default" r:id="rId13"/>
      <w:pgSz w:w="11906" w:h="16838"/>
      <w:pgMar w:top="1020" w:right="1020" w:bottom="1020" w:left="1020" w:header="708" w:footer="708" w:gutter="0"/>
      <w:cols w:space="708"/>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sz w:val="22"/>
      </w:rPr>
    </w:pPr>
    <w:r>
      <w:rPr>
        <w:sz w:val="22"/>
      </w:rPr>
      <w:t xml:space="preserve"> </w:t>
    </w:r>
  </w:p>
  <w:p>
    <w:pPr>
      <w:jc w:val="center"/>
      <w:rPr>
        <w:sz w:val="22"/>
      </w:rPr>
    </w:pPr>
    <w:r>
      <w:rPr>
        <w:sz w:val="22"/>
      </w:rPr>
      <w:t>Nordisk konvensjon om trygd</w:t>
    </w:r>
  </w:p>
  <w:p>
    <w:pPr>
      <w:jc w:val="center"/>
      <w:rPr>
        <w:sz w:val="22"/>
      </w:rPr>
    </w:pPr>
    <w:r>
      <w:rPr>
        <w:sz w:val="22"/>
      </w:rPr>
      <w:t xml:space="preserve">Side </w:t>
    </w:r>
    <w:r>
      <w:rPr>
        <w:sz w:val="22"/>
      </w:rPr>
      <w:fldChar w:fldCharType="begin"/>
    </w:r>
    <w:r>
      <w:rPr>
        <w:sz w:val="22"/>
      </w:rPr>
      <w:instrText>PAGE</w:instrText>
    </w:r>
    <w:r>
      <w:rPr>
        <w:sz w:val="22"/>
      </w:rPr>
      <w:fldChar w:fldCharType="separate"/>
    </w:r>
    <w:r>
      <w:rPr>
        <w:sz w:val="22"/>
      </w:rPr>
      <w:t>8</w:t>
    </w:r>
    <w:r>
      <w:rPr>
        <w:sz w:val="22"/>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rPr>
        <w:sz w:val="22"/>
      </w:rPr>
    </w:pPr>
    <w:r>
      <w:rPr>
        <w:sz w:val="22"/>
      </w:rPr>
      <w:t>Utskrift fra Lovdata - 18.10.2026 10:35</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nb-NO"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i w:val="0"/>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val="0"/>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i w:val="0"/>
      <w:sz w:val="26"/>
      <w:szCs w:val="26"/>
    </w:rPr>
  </w:style>
  <w:style w:type="paragraph" w:styleId="Heading4">
    <w:name w:val="heading 4"/>
    <w:basedOn w:val="Normal"/>
    <w:next w:val="Normal"/>
    <w:qFormat/>
    <w:rsid w:val="00EF7B96"/>
    <w:pPr>
      <w:keepNext/>
      <w:spacing w:before="240" w:after="60"/>
      <w:outlineLvl w:val="3"/>
    </w:pPr>
    <w:rPr>
      <w:b/>
      <w:bCs/>
      <w:i w:val="0"/>
      <w:sz w:val="28"/>
      <w:szCs w:val="28"/>
    </w:rPr>
  </w:style>
  <w:style w:type="paragraph" w:styleId="Heading5">
    <w:name w:val="heading 5"/>
    <w:basedOn w:val="Normal"/>
    <w:next w:val="Normal"/>
    <w:qFormat/>
    <w:rsid w:val="00EF7B96"/>
    <w:pPr>
      <w:spacing w:before="240" w:after="60"/>
      <w:outlineLvl w:val="4"/>
    </w:pPr>
    <w:rPr>
      <w:b/>
      <w:bCs/>
      <w:i w:val="0"/>
      <w:iCs/>
      <w:sz w:val="26"/>
      <w:szCs w:val="26"/>
    </w:rPr>
  </w:style>
  <w:style w:type="paragraph" w:styleId="Heading6">
    <w:name w:val="heading 6"/>
    <w:basedOn w:val="Normal"/>
    <w:next w:val="Normal"/>
    <w:qFormat/>
    <w:rsid w:val="00EF7B96"/>
    <w:pPr>
      <w:spacing w:before="240" w:after="60"/>
      <w:outlineLvl w:val="5"/>
    </w:pPr>
    <w:rPr>
      <w:b/>
      <w:bCs/>
      <w:i w:val="0"/>
      <w:sz w:val="22"/>
      <w:szCs w:val="22"/>
    </w:rPr>
  </w:style>
  <w:style w:type="paragraph" w:styleId="Heading7">
    <w:name w:val="heading 7"/>
    <w:basedOn w:val="Normal"/>
    <w:next w:val="Normal"/>
    <w:qFormat/>
    <w:rsid w:val="00EF7B96"/>
    <w:pPr>
      <w:spacing w:before="240" w:after="60"/>
      <w:outlineLvl w:val="6"/>
    </w:pPr>
    <w:rPr>
      <w:i w:val="0"/>
    </w:rPr>
  </w:style>
  <w:style w:type="paragraph" w:styleId="Heading8">
    <w:name w:val="heading 8"/>
    <w:basedOn w:val="Normal"/>
    <w:next w:val="Normal"/>
    <w:qFormat/>
    <w:rsid w:val="00EF7B96"/>
    <w:pPr>
      <w:spacing w:before="240" w:after="60"/>
      <w:outlineLvl w:val="7"/>
    </w:pPr>
    <w:rPr>
      <w:i w:val="0"/>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1">
    <w:name w:val="toc 1"/>
    <w:basedOn w:val="Normal"/>
    <w:next w:val="Normal"/>
    <w:autoRedefine/>
    <w:rsid w:val="00805BCE"/>
    <w:rPr>
      <w:b/>
      <w:i w:val="0"/>
      <w:sz w:val="22"/>
    </w:rPr>
  </w:style>
  <w:style w:type="paragraph" w:styleId="TOC2">
    <w:name w:val="toc 2"/>
    <w:basedOn w:val="Normal"/>
    <w:next w:val="Normal"/>
    <w:autoRedefine/>
    <w:rsid w:val="00805BCE"/>
    <w:pPr>
      <w:ind w:left="240"/>
    </w:pPr>
    <w:rPr>
      <w:b/>
      <w:i w:val="0"/>
      <w:sz w:val="22"/>
    </w:rPr>
  </w:style>
  <w:style w:type="paragraph" w:styleId="TOC3">
    <w:name w:val="toc 3"/>
    <w:basedOn w:val="Normal"/>
    <w:next w:val="Normal"/>
    <w:autoRedefine/>
    <w:rsid w:val="00805BCE"/>
    <w:pPr>
      <w:ind w:left="480"/>
    </w:pPr>
    <w:rPr>
      <w:b/>
      <w:i w:val="0"/>
      <w:sz w:val="22"/>
    </w:rPr>
  </w:style>
  <w:style w:type="paragraph" w:styleId="TOC4">
    <w:name w:val="toc 4"/>
    <w:basedOn w:val="Normal"/>
    <w:next w:val="Normal"/>
    <w:autoRedefine/>
    <w:rsid w:val="00805BCE"/>
    <w:pPr>
      <w:ind w:left="720"/>
    </w:pPr>
    <w:rPr>
      <w:b/>
      <w:i w:val="0"/>
      <w:sz w:val="22"/>
    </w:rPr>
  </w:style>
  <w:style w:type="paragraph" w:styleId="TOC5">
    <w:name w:val="toc 5"/>
    <w:basedOn w:val="Normal"/>
    <w:next w:val="Normal"/>
    <w:autoRedefine/>
    <w:rsid w:val="00805BCE"/>
    <w:pPr>
      <w:ind w:left="960"/>
    </w:pPr>
    <w:rPr>
      <w:b/>
      <w:i w:val="0"/>
      <w:sz w:val="22"/>
    </w:rPr>
  </w:style>
  <w:style w:type="paragraph" w:styleId="TOC6">
    <w:name w:val="toc 6"/>
    <w:basedOn w:val="Normal"/>
    <w:next w:val="Normal"/>
    <w:autoRedefine/>
    <w:rsid w:val="00805BCE"/>
    <w:pPr>
      <w:ind w:left="1200"/>
    </w:pPr>
    <w:rPr>
      <w:b/>
      <w:i w:val="0"/>
      <w:sz w:val="22"/>
    </w:rPr>
  </w:style>
  <w:style w:type="paragraph" w:styleId="TOC7">
    <w:name w:val="toc 7"/>
    <w:basedOn w:val="Normal"/>
    <w:next w:val="Normal"/>
    <w:autoRedefine/>
    <w:rsid w:val="00805BCE"/>
    <w:pPr>
      <w:ind w:left="1440"/>
    </w:pPr>
    <w:rPr>
      <w:b/>
      <w:i w:val="0"/>
      <w:sz w:val="22"/>
    </w:rPr>
  </w:style>
  <w:style w:type="paragraph" w:styleId="TOC8">
    <w:name w:val="toc 8"/>
    <w:basedOn w:val="Normal"/>
    <w:next w:val="Normal"/>
    <w:autoRedefine/>
    <w:rsid w:val="00805BCE"/>
    <w:pPr>
      <w:ind w:left="1680"/>
    </w:pPr>
    <w:rPr>
      <w:b/>
      <w:i w:val="0"/>
      <w:sz w:val="22"/>
    </w:rPr>
  </w:style>
  <w:style w:type="paragraph" w:styleId="TOC9">
    <w:name w:val="toc 9"/>
    <w:basedOn w:val="Normal"/>
    <w:next w:val="Normal"/>
    <w:autoRedefine/>
    <w:rsid w:val="00805BCE"/>
    <w:pPr>
      <w:ind w:left="1920"/>
    </w:pPr>
    <w:rPr>
      <w:b/>
      <w:i w:val="0"/>
      <w:sz w:val="22"/>
    </w:rPr>
  </w:style>
  <w:style w:type="character" w:styleId="Hyperlink">
    <w:name w:val="Hyperlink"/>
    <w:basedOn w:val="DefaultParagraphFont"/>
    <w:rsid w:val="00EF7B96"/>
    <w:rPr>
      <w:color w:val="0000FF"/>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lovdata.no/pro/" TargetMode="External" /><Relationship Id="rId11" Type="http://schemas.openxmlformats.org/officeDocument/2006/relationships/hyperlink" Target="https://lovdata.no/pro/" TargetMode="External"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s://lovdata.no/pro/" TargetMode="External" /><Relationship Id="rId6" Type="http://schemas.openxmlformats.org/officeDocument/2006/relationships/hyperlink" Target="https://lovdata.no/pro/" TargetMode="External" /><Relationship Id="rId7" Type="http://schemas.openxmlformats.org/officeDocument/2006/relationships/hyperlink" Target="https://lovdata.no/pro/" TargetMode="External" /><Relationship Id="rId8" Type="http://schemas.openxmlformats.org/officeDocument/2006/relationships/hyperlink" Target="https://lovdata.no/pro/" TargetMode="External" /><Relationship Id="rId9" Type="http://schemas.openxmlformats.org/officeDocument/2006/relationships/hyperlink" Target="https://lovdata.no/p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Stiftelsen Lovdata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Nordisk konvensjon om trygd</dc:title>
  <dc:subject>Nordisk konvensjon om trygd</dc:subject>
  <dc:creator>Stiftelsen Lovdata</dc:creator>
  <cp:revision>1</cp:revision>
  <dcterms:created xsi:type="dcterms:W3CDTF">2026-10-18T10:35:36Z</dcterms:created>
  <cp:category>Juridisk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faultFont">
    <vt:lpwstr>Times New Roman</vt:lpwstr>
  </property>
  <property fmtid="{D5CDD505-2E9C-101B-9397-08002B2CF9AE}" pid="3" name="Lovdata-UID">
    <vt:i4>429560</vt:i4>
  </property>
</Properties>
</file>