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Büyük Birleşik Erken Uyarı Sistemi, Termodinamik Eko-Fizik ve İnsan İnterlandı Stratejik Araştırma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Termodinamik Eko-Fizik İlkeleri ve Beş Disiplinlerarası Kuramsal Temel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Neoklasik iktisat kuramı, piyasa dengelerini hanehalkları ile firmalar arasında kapalı devre işleyen ve faktör gelirleri ile mal akışlarının birbirini sonsuza dek dengelediği bir dairesel akış modeli üzerinden kurgulamaktadır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tasavvur, iktisadi mekanizmayı dışsal bir fiziksel enerji girdisine ihtiyaç duymayan ve çevreye entropik atık bırakmayan bir sürekli hareket makinesi (</w:t>
      </w:r>
      <w:r w:rsidDel="00000000" w:rsidR="00000000" w:rsidRPr="00000000">
        <w:rPr>
          <w:rFonts w:ascii="Google Sans" w:cs="Google Sans" w:eastAsia="Google Sans" w:hAnsi="Google Sans"/>
          <w:i w:val="1"/>
          <w:iCs w:val="1"/>
          <w:color w:val="1f1f1f"/>
          <w:rtl w:val="0"/>
        </w:rPr>
        <w:t xml:space="preserve">perpetuum mobile</w:t>
      </w:r>
      <w:r w:rsidDel="00000000" w:rsidR="00000000" w:rsidRPr="00000000">
        <w:rPr>
          <w:rFonts w:ascii="Google Sans" w:cs="Google Sans" w:eastAsia="Google Sans" w:hAnsi="Google Sans"/>
          <w:color w:val="1f1f1f"/>
          <w:rtl w:val="0"/>
        </w:rPr>
        <w:t xml:space="preserve">) şeklinde ele almaktadır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Ancak adli eko-fiziksel yaklaşım, ekonomik sistemlerin evrenin mutlak ve çiğnenemez termodinamik yasaları içerisinde yer alan açık sistemler olduğunu kanıtlamaktadır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Geleneksel mikroiktisatta üretim faktörleri emek, sermaye ve doğal kaynaklar olarak sınıflandırılsa da, termodinamik gerçeklikte emek ve sermaye, geçmişte harcanmış ve yoğunlaştırılmış net enerji akışlarının türevlerinden ibarettir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Üretim İmkânları Sınırı (</w:t>
      </w:r>
      <w:r w:rsidDel="00000000" w:rsidR="00000000" w:rsidRPr="00000000">
        <w:rPr>
          <w:rFonts w:ascii="Google Sans" w:cs="Google Sans" w:eastAsia="Google Sans" w:hAnsi="Google Sans"/>
          <w:i w:val="1"/>
          <w:iCs w:val="1"/>
          <w:color w:val="1f1f1f"/>
          <w:rtl w:val="0"/>
        </w:rPr>
        <w:t xml:space="preserve">Production Possibilities Frontier - PPF</w:t>
      </w:r>
      <w:r w:rsidDel="00000000" w:rsidR="00000000" w:rsidRPr="00000000">
        <w:rPr>
          <w:rFonts w:ascii="Google Sans" w:cs="Google Sans" w:eastAsia="Google Sans" w:hAnsi="Google Sans"/>
          <w:color w:val="1f1f1f"/>
          <w:rtl w:val="0"/>
        </w:rPr>
        <w:t xml:space="preserve">), bir ekonominin mevcut girdi stoku ve teknoloji düzeyiyle üretebileceği maksimum sermaye ve tüketim malları sınırını belirler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Eğri üzerindeki noktalar tam kapasite etkinliği temsil ederken, eğrinin iç bölgesi atıl kapasiteyi, eğrinin dış bölgesi ise mevcut biyosferik taşıma kapasitesi dahilinde ulaşılamayacak olan fiziksel imkânsızlık alanını gösterir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Fırsat maliyeti, kıt fiziksel serbest enerjinin bir iktisadi faaliyete tahsis edilmesiyle vazgeçilen en değerli alternatifin yarattığı geri döndürülemez termodinamik kaybı ifade ederken; pozitif iktisat normatif temennilerden bağımsız olarak sistemdeki fiziksel enerji kısıtlarını ve entropik aşınmayı adli bir kesinlikle ölçer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Eko-fiziksel çerçeve, iktisadi süreçlerin doğa yasalarıyla uyumunu denetleyen dört temel fizik kuramcısının ilkeleri üzerine inşa edilmiştir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Frederick Soddy, kısmi rezerv bankacılığıyla üretilen finansal alacakların ve borç stokunun (</w:t>
      </w:r>
      <w:r w:rsidDel="00000000" w:rsidR="00000000" w:rsidRPr="00000000">
        <w:rPr>
          <w:rFonts w:ascii="Google Sans" w:cs="Google Sans" w:eastAsia="Google Sans" w:hAnsi="Google Sans"/>
          <w:i w:val="1"/>
          <w:iCs w:val="1"/>
          <w:color w:val="1f1f1f"/>
          <w:rtl w:val="0"/>
        </w:rPr>
        <w:t xml:space="preserve">sanal servet</w:t>
      </w:r>
      <w:r w:rsidDel="00000000" w:rsidR="00000000" w:rsidRPr="00000000">
        <w:rPr>
          <w:rFonts w:ascii="Google Sans" w:cs="Google Sans" w:eastAsia="Google Sans" w:hAnsi="Google Sans"/>
          <w:color w:val="1f1f1f"/>
          <w:rtl w:val="0"/>
        </w:rPr>
        <w:t xml:space="preserve">) bileşik faiz mekanizması uyarınca üstel bir fonksiyonla (</w:t>
      </w:r>
      <w:r w:rsidDel="00000000" w:rsidR="00000000" w:rsidRPr="00000000">
        <w:rPr>
          <w:rFonts w:ascii="Google Sans" w:cs="Google Sans" w:eastAsia="Google Sans" w:hAnsi="Google Sans"/>
          <w:color w:val="1f1f1f"/>
        </w:rPr>
        <w:drawing>
          <wp:inline distB="19050" distT="19050" distL="19050" distR="19050">
            <wp:extent cx="1172318" cy="247807"/>
            <wp:effectExtent b="0" l="0" r="0" t="0"/>
            <wp:docPr id="87"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1172318" cy="247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büyüdüğünü, buna karşılık reel fiziksel üretimin Termodinamiğin İkinci Yasası gereğince aşınma, çürüme ve entropik amortismana tabi olduğunu ortaya koymuştur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Nicholas Georgescu-Roegen, iktisadi sürecin dairesel bir devridaim olmadığını, çevreden alınan düşük entropili kullanılabilir enerjinin geri döndürülemez bir şekilde yüksek entropili atık ısıya ve kirliliğe dönüştürüldüğü tek yönlü entropik bir süreç olduğunu formüle etmiştir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Howard T. Odum, medeniyetlerin gelişmişlik düzeyini brüt enerjinin değil, enerjiyi elde etmek için harcanan çıktı düşüldükten sonra topluma kalan Net Enerji (</w:t>
      </w:r>
      <w:r w:rsidDel="00000000" w:rsidR="00000000" w:rsidRPr="00000000">
        <w:rPr>
          <w:rFonts w:ascii="Google Sans" w:cs="Google Sans" w:eastAsia="Google Sans" w:hAnsi="Google Sans"/>
          <w:i w:val="1"/>
          <w:iCs w:val="1"/>
          <w:color w:val="1f1f1f"/>
          <w:rtl w:val="0"/>
        </w:rPr>
        <w:t xml:space="preserve">Net Energy</w:t>
      </w:r>
      <w:r w:rsidDel="00000000" w:rsidR="00000000" w:rsidRPr="00000000">
        <w:rPr>
          <w:rFonts w:ascii="Google Sans" w:cs="Google Sans" w:eastAsia="Google Sans" w:hAnsi="Google Sans"/>
          <w:color w:val="1f1f1f"/>
          <w:rtl w:val="0"/>
        </w:rPr>
        <w:t xml:space="preserve">) ve gömülü enerjinin (</w:t>
      </w:r>
      <w:r w:rsidDel="00000000" w:rsidR="00000000" w:rsidRPr="00000000">
        <w:rPr>
          <w:rFonts w:ascii="Google Sans" w:cs="Google Sans" w:eastAsia="Google Sans" w:hAnsi="Google Sans"/>
          <w:i w:val="1"/>
          <w:iCs w:val="1"/>
          <w:color w:val="1f1f1f"/>
          <w:rtl w:val="0"/>
        </w:rPr>
        <w:t xml:space="preserve">Emerji</w:t>
      </w:r>
      <w:r w:rsidDel="00000000" w:rsidR="00000000" w:rsidRPr="00000000">
        <w:rPr>
          <w:rFonts w:ascii="Google Sans" w:cs="Google Sans" w:eastAsia="Google Sans" w:hAnsi="Google Sans"/>
          <w:color w:val="1f1f1f"/>
          <w:rtl w:val="0"/>
        </w:rPr>
        <w:t xml:space="preserve">) belirlediğini ispatlamıştır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Joseph Tainter ise sosyo-politik sistemlerin karşılaştığı krizleri çözmek amacıyla bürokrasi, altyapı ve uzmanlaşmayı artırarak kurumsal karmaşıklığı büyüttüğünü, ancak bu karmaşıklığın marjinal getirisinin zamanla azalan verimler kanununa tabi olarak çöktüğünü ve marjinal faydanın marjinal maliyetin altına düşmesiyle (</w:t>
      </w:r>
      <w:r w:rsidDel="00000000" w:rsidR="00000000" w:rsidRPr="00000000">
        <w:rPr>
          <w:rFonts w:ascii="Google Sans" w:cs="Google Sans" w:eastAsia="Google Sans" w:hAnsi="Google Sans"/>
          <w:color w:val="1f1f1f"/>
        </w:rPr>
        <w:drawing>
          <wp:inline distB="19050" distT="19050" distL="19050" distR="19050">
            <wp:extent cx="834331" cy="218064"/>
            <wp:effectExtent b="0" l="0" r="0" t="0"/>
            <wp:docPr id="89" name="image69.png"/>
            <a:graphic>
              <a:graphicData uri="http://schemas.openxmlformats.org/drawingml/2006/picture">
                <pic:pic>
                  <pic:nvPicPr>
                    <pic:cNvPr id="0" name="image69.png"/>
                    <pic:cNvPicPr preferRelativeResize="0"/>
                  </pic:nvPicPr>
                  <pic:blipFill>
                    <a:blip r:embed="rId7"/>
                    <a:srcRect b="0" l="0" r="0" t="0"/>
                    <a:stretch>
                      <a:fillRect/>
                    </a:stretch>
                  </pic:blipFill>
                  <pic:spPr>
                    <a:xfrm>
                      <a:off x="0" y="0"/>
                      <a:ext cx="834331" cy="21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kaçınılmaz bir sistemik çöküşe sürüklendiğini modellemiştir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İktisadi verilerin arkasındaki toplumsal direnç dinamikleri ise beş disiplinlerarası kuramsal sütun aracılığıyla çözümlenmektedir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Karl Polanyi'nin kurumsal çerçevesinde piyasalar başlangıçta toplumsal ve ahlaki normların içine gömülüyken, bu bağlardan kopartılarak kuralsızlaştırılması Marjinal Sosyal Maliyetin Marjinal Sosyal Faydayı aşmasına (</w:t>
      </w:r>
      <w:r w:rsidDel="00000000" w:rsidR="00000000" w:rsidRPr="00000000">
        <w:rPr>
          <w:rFonts w:ascii="Google Sans" w:cs="Google Sans" w:eastAsia="Google Sans" w:hAnsi="Google Sans"/>
          <w:color w:val="1f1f1f"/>
        </w:rPr>
        <w:drawing>
          <wp:inline distB="19050" distT="19050" distL="19050" distR="19050">
            <wp:extent cx="1194349" cy="248425"/>
            <wp:effectExtent b="0" l="0" r="0" t="0"/>
            <wp:docPr id="88"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194349" cy="248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yol açmakta ve emeğin metalaşarak sömürülmesine neden olmaktadır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René Girard'ın mimetik arzu kuramı, tüketici tercihlerinin özerk rasyonellikle değil, başkalarının arzularının taklit edilmesiyle şekillendiğini, bu durumun yapay talep köpükleri (</w:t>
      </w:r>
      <w:r w:rsidDel="00000000" w:rsidR="00000000" w:rsidRPr="00000000">
        <w:rPr>
          <w:rFonts w:ascii="Google Sans" w:cs="Google Sans" w:eastAsia="Google Sans" w:hAnsi="Google Sans"/>
          <w:color w:val="1f1f1f"/>
        </w:rPr>
        <w:drawing>
          <wp:inline distB="19050" distT="19050" distL="19050" distR="19050">
            <wp:extent cx="785961" cy="246205"/>
            <wp:effectExtent b="0" l="0" r="0" t="0"/>
            <wp:docPr id="91"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785961" cy="246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ürettiğini ve kriz anlarında yapısal sorunları perdelemek amacıyla sistemik günah keçilerinin kurban edildiğini gösterir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Eric Hoffer, kitlelerin ekonomik çaresizlik ve bireysel yenilgi anlarında rasyonel fiyatlama mekanizmalarından koparak talebin fiyat esnekliğini sıfırladığını (</w:t>
      </w:r>
      <w:r w:rsidDel="00000000" w:rsidR="00000000" w:rsidRPr="00000000">
        <w:rPr>
          <w:rFonts w:ascii="Google Sans" w:cs="Google Sans" w:eastAsia="Google Sans" w:hAnsi="Google Sans"/>
          <w:color w:val="1f1f1f"/>
        </w:rPr>
        <w:drawing>
          <wp:inline distB="19050" distT="19050" distL="19050" distR="19050">
            <wp:extent cx="628353" cy="247533"/>
            <wp:effectExtent b="0" l="0" r="0" t="0"/>
            <wp:docPr id="90"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628353" cy="24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fanatik kolektif hareketlere sığındığını açıklar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Joseph Tainter'ın kurumsal azalan verimler modeli, bürokratik katmanlaşmanın toplam faktör verimliliğini negatife düşürdüğünü ortaya koyarken; İbn Haldun'un Asabiyye kuramı, toplumsal dayanışmanın ve kurumsal güvenin erozyona uğramasının aşırı vergilendirme (Haldun-Laffer etkisi) ile birleşerek ekonomiyi Üretim İmkânları Sınırı üzerindeki etkin noktalardan sınırın altındaki etkinsiz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9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noktasına hapsettiğini belgelemektedir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Kuramsal Sütun Düşünürü</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Teorik Çerçeve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İktisadi ve EWS Kavram Karşılığı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Adli Teşhis ve Sistemik Yansıma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Karl Polanyi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Piyasaların Toplumsal Dokudan Kopması (</w:t>
            </w:r>
            <w:r w:rsidDel="00000000" w:rsidR="00000000" w:rsidRPr="00000000">
              <w:rPr>
                <w:rFonts w:ascii="Google Sans" w:cs="Google Sans" w:eastAsia="Google Sans" w:hAnsi="Google Sans"/>
                <w:i w:val="1"/>
                <w:iCs w:val="1"/>
                <w:color w:val="1f1f1f"/>
                <w:rtl w:val="0"/>
              </w:rPr>
              <w:t xml:space="preserve">Disembeddedness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Piyasa Başarısızlığı, Emeğin Metalaşması, </w:t>
            </w:r>
            <w:r w:rsidDel="00000000" w:rsidR="00000000" w:rsidRPr="00000000">
              <w:rPr>
                <w:rFonts w:ascii="Google Sans" w:cs="Google Sans" w:eastAsia="Google Sans" w:hAnsi="Google Sans"/>
                <w:color w:val="1f1f1f"/>
              </w:rPr>
              <w:drawing>
                <wp:inline distB="19050" distT="19050" distL="19050" distR="19050">
                  <wp:extent cx="1194349" cy="248425"/>
                  <wp:effectExtent b="0" l="0" r="0" t="0"/>
                  <wp:docPr id="9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194349" cy="248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Dengesizliği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piyasaların sosyal koruma ağlarından kopması, emeğin Marjinal Ürün Hasılatı (</w:t>
            </w:r>
            <w:r w:rsidDel="00000000" w:rsidR="00000000" w:rsidRPr="00000000">
              <w:rPr>
                <w:rFonts w:ascii="Google Sans" w:cs="Google Sans" w:eastAsia="Google Sans" w:hAnsi="Google Sans"/>
                <w:color w:val="1f1f1f"/>
              </w:rPr>
              <w:drawing>
                <wp:inline distB="19050" distT="19050" distL="19050" distR="19050">
                  <wp:extent cx="433983" cy="216991"/>
                  <wp:effectExtent b="0" l="0" r="0" t="0"/>
                  <wp:docPr id="98" name="image83.png"/>
                  <a:graphic>
                    <a:graphicData uri="http://schemas.openxmlformats.org/drawingml/2006/picture">
                      <pic:pic>
                        <pic:nvPicPr>
                          <pic:cNvPr id="0" name="image83.png"/>
                          <pic:cNvPicPr preferRelativeResize="0"/>
                        </pic:nvPicPr>
                        <pic:blipFill>
                          <a:blip r:embed="rId12"/>
                          <a:srcRect b="0" l="0" r="0" t="0"/>
                          <a:stretch>
                            <a:fillRect/>
                          </a:stretch>
                        </pic:blipFill>
                        <pic:spPr>
                          <a:xfrm>
                            <a:off x="0" y="0"/>
                            <a:ext cx="433983" cy="216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altında ücretlendirilmesine ve kayıt dışı ekonomiye kaçışa yol açar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René Girard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Mimetik Arzu ve Kurban Mekanizması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Tüketici Taklidi, Varlık Fiyat Köpükleri, Günah Keçisi İcadı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Bireylerin rasyonel fayda (</w:t>
            </w:r>
            <w:r w:rsidDel="00000000" w:rsidR="00000000" w:rsidRPr="00000000">
              <w:rPr>
                <w:rFonts w:ascii="Google Sans" w:cs="Google Sans" w:eastAsia="Google Sans" w:hAnsi="Google Sans"/>
                <w:color w:val="1f1f1f"/>
              </w:rPr>
              <w:drawing>
                <wp:inline distB="19050" distT="19050" distL="19050" distR="19050">
                  <wp:extent cx="323403" cy="218773"/>
                  <wp:effectExtent b="0" l="0" r="0" t="0"/>
                  <wp:docPr id="96"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323403" cy="21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yerine başkalarının tüketimini taklit etmesi spekülatif balonlar yaratır; kriz anında suç aracılara ve stokçulara yüklenir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Eric Hoffer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Kesin İnançlılar ve Kitle Fanatizmi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Talebin Fiyat Esnekliğinin Çöküşü (</w:t>
            </w:r>
            <w:r w:rsidDel="00000000" w:rsidR="00000000" w:rsidRPr="00000000">
              <w:rPr>
                <w:rFonts w:ascii="Google Sans" w:cs="Google Sans" w:eastAsia="Google Sans" w:hAnsi="Google Sans"/>
                <w:color w:val="1f1f1f"/>
              </w:rPr>
              <w:drawing>
                <wp:inline distB="19050" distT="19050" distL="19050" distR="19050">
                  <wp:extent cx="628353" cy="247533"/>
                  <wp:effectExtent b="0" l="0" r="0" t="0"/>
                  <wp:docPr id="103"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628353" cy="24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Panik Alımları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İktisadi çöküş yaşayan bireyler rasyonel kararlardan uzaklaşarak fiyat duyarlılığını yitirir, fanatik ideolojilere veya spekülatif saadet zincirlerine sığınır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Joseph Tainter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Karmaşıklık ve Katastrof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Azalan Marjinal Verimler Kanunu, </w:t>
            </w:r>
            <w:r w:rsidDel="00000000" w:rsidR="00000000" w:rsidRPr="00000000">
              <w:rPr>
                <w:rFonts w:ascii="Google Sans" w:cs="Google Sans" w:eastAsia="Google Sans" w:hAnsi="Google Sans"/>
                <w:color w:val="1f1f1f"/>
              </w:rPr>
              <w:drawing>
                <wp:inline distB="19050" distT="19050" distL="19050" distR="19050">
                  <wp:extent cx="347216" cy="221832"/>
                  <wp:effectExtent b="0" l="0" r="0" t="0"/>
                  <wp:docPr id="100"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347216" cy="221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Negatifleşmesi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Regülasyon ve bürokrasi katmanlarının artırılması marjinal getirisini yitirir (</w:t>
            </w:r>
            <w:r w:rsidDel="00000000" w:rsidR="00000000" w:rsidRPr="00000000">
              <w:rPr>
                <w:rFonts w:ascii="Google Sans" w:cs="Google Sans" w:eastAsia="Google Sans" w:hAnsi="Google Sans"/>
                <w:color w:val="1f1f1f"/>
              </w:rPr>
              <w:drawing>
                <wp:inline distB="19050" distT="19050" distL="19050" distR="19050">
                  <wp:extent cx="834331" cy="218064"/>
                  <wp:effectExtent b="0" l="0" r="0" t="0"/>
                  <wp:docPr id="102" name="image69.png"/>
                  <a:graphic>
                    <a:graphicData uri="http://schemas.openxmlformats.org/drawingml/2006/picture">
                      <pic:pic>
                        <pic:nvPicPr>
                          <pic:cNvPr id="0" name="image69.png"/>
                          <pic:cNvPicPr preferRelativeResize="0"/>
                        </pic:nvPicPr>
                        <pic:blipFill>
                          <a:blip r:embed="rId7"/>
                          <a:srcRect b="0" l="0" r="0" t="0"/>
                          <a:stretch>
                            <a:fillRect/>
                          </a:stretch>
                        </pic:blipFill>
                        <pic:spPr>
                          <a:xfrm>
                            <a:off x="0" y="0"/>
                            <a:ext cx="834331" cy="21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sistem aşırı yönetim maliyetleri altında kaskat biçiminde çöker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İbn Haldun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Asabiyye ve Hanedan Döngüsü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Haldun-Laffer Etkisi, </w:t>
            </w:r>
            <w:r w:rsidDel="00000000" w:rsidR="00000000" w:rsidRPr="00000000">
              <w:rPr>
                <w:rFonts w:ascii="Google Sans" w:cs="Google Sans" w:eastAsia="Google Sans" w:hAnsi="Google Sans"/>
                <w:color w:val="1f1f1f"/>
              </w:rPr>
              <w:drawing>
                <wp:inline distB="19050" distT="19050" distL="19050" distR="19050">
                  <wp:extent cx="404664" cy="250506"/>
                  <wp:effectExtent b="0" l="0" r="0" t="0"/>
                  <wp:docPr id="105"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04664" cy="250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Eğrisi Altına Düşüş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Toplumsal bağların ve adalet inancının zayıflaması üretici güdüsünü yok eder; aşırı vergi tabanı daraltarak devleti mali iflasa sürükler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EROEI Erimesi, Borç Kuleleri ve Soddy Sanal Servet Makası</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Mikroiktisadi çerçevede üretim fonksiyonu </w:t>
      </w:r>
      <w:r w:rsidDel="00000000" w:rsidR="00000000" w:rsidRPr="00000000">
        <w:rPr>
          <w:rFonts w:ascii="Google Sans" w:cs="Google Sans" w:eastAsia="Google Sans" w:hAnsi="Google Sans"/>
          <w:color w:val="1f1f1f"/>
        </w:rPr>
        <w:drawing>
          <wp:inline distB="19050" distT="19050" distL="19050" distR="19050">
            <wp:extent cx="1329928" cy="246987"/>
            <wp:effectExtent b="0" l="0" r="0" t="0"/>
            <wp:docPr id="106"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1329928" cy="246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denklemiyle ele alındığında net enerji (</w:t>
      </w:r>
      <w:r w:rsidDel="00000000" w:rsidR="00000000" w:rsidRPr="00000000">
        <w:rPr>
          <w:rFonts w:ascii="Google Sans" w:cs="Google Sans" w:eastAsia="Google Sans" w:hAnsi="Google Sans"/>
          <w:color w:val="1f1f1f"/>
        </w:rPr>
        <w:drawing>
          <wp:inline distB="19050" distT="19050" distL="19050" distR="19050">
            <wp:extent cx="155823" cy="253213"/>
            <wp:effectExtent b="0" l="0" r="0" t="0"/>
            <wp:docPr id="107" name="image79.png"/>
            <a:graphic>
              <a:graphicData uri="http://schemas.openxmlformats.org/drawingml/2006/picture">
                <pic:pic>
                  <pic:nvPicPr>
                    <pic:cNvPr id="0" name="image79.png"/>
                    <pic:cNvPicPr preferRelativeResize="0"/>
                  </pic:nvPicPr>
                  <pic:blipFill>
                    <a:blip r:embed="rId17"/>
                    <a:srcRect b="0" l="0" r="0" t="0"/>
                    <a:stretch>
                      <a:fillRect/>
                    </a:stretch>
                  </pic:blipFill>
                  <pic:spPr>
                    <a:xfrm>
                      <a:off x="0" y="0"/>
                      <a:ext cx="155823" cy="253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sisteme can veren birincil fiziksel sürükleyicidir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Kolay erişilebilir, enerjetik yoğunluğu yüksek konvansiyonel hidrokarbon rezervlerinin tükenmesi, Azalan Marjinal Verimler Yasası uyarınca ek bir birim enerji çıktısı elde edebilmek için gereken fiziksel sermaye ekipmanı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108" name="image88.png"/>
            <a:graphic>
              <a:graphicData uri="http://schemas.openxmlformats.org/drawingml/2006/picture">
                <pic:pic>
                  <pic:nvPicPr>
                    <pic:cNvPr id="0" name="image88.png"/>
                    <pic:cNvPicPr preferRelativeResize="0"/>
                  </pic:nvPicPr>
                  <pic:blipFill>
                    <a:blip r:embed="rId18"/>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teknik işgücü (</w:t>
      </w:r>
      <w:r w:rsidDel="00000000" w:rsidR="00000000" w:rsidRPr="00000000">
        <w:rPr>
          <w:rFonts w:ascii="Google Sans" w:cs="Google Sans" w:eastAsia="Google Sans" w:hAnsi="Google Sans"/>
          <w:color w:val="1f1f1f"/>
        </w:rPr>
        <w:drawing>
          <wp:inline distB="19050" distT="19050" distL="19050" distR="19050">
            <wp:extent cx="133499" cy="247926"/>
            <wp:effectExtent b="0" l="0" r="0" t="0"/>
            <wp:docPr id="109"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133499" cy="24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miktarını katlayarak artırmaktadır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fiziksel mekanizma, yatırılan bir birim enerjiye karşılık elde edilen brüt enerjiyi ifade eden Enerji İadesi Yatırım Getirisi (</w:t>
      </w:r>
      <w:r w:rsidDel="00000000" w:rsidR="00000000" w:rsidRPr="00000000">
        <w:rPr>
          <w:rFonts w:ascii="Google Sans" w:cs="Google Sans" w:eastAsia="Google Sans" w:hAnsi="Google Sans"/>
          <w:i w:val="1"/>
          <w:iCs w:val="1"/>
          <w:color w:val="1f1f1f"/>
          <w:rtl w:val="0"/>
        </w:rPr>
        <w:t xml:space="preserve">Energy Return on Energy Invested - EROEI</w:t>
      </w:r>
      <w:r w:rsidDel="00000000" w:rsidR="00000000" w:rsidRPr="00000000">
        <w:rPr>
          <w:rFonts w:ascii="Google Sans" w:cs="Google Sans" w:eastAsia="Google Sans" w:hAnsi="Google Sans"/>
          <w:color w:val="1f1f1f"/>
          <w:rtl w:val="0"/>
        </w:rPr>
        <w:t xml:space="preserve">) metriğiyle takip edilir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962025"/>
            <wp:effectExtent b="0" l="0" r="0" t="0"/>
            <wp:docPr id="110"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38671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Topluma aktarılan net enerji payı ise doğrudan matematiksel bir formülasyona tabidir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914400"/>
            <wp:effectExtent b="0" l="0" r="0" t="0"/>
            <wp:docPr id="111"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38671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34306" cy="236681"/>
            <wp:effectExtent b="0" l="0" r="0" t="0"/>
            <wp:docPr id="11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34306" cy="236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 </w:t>
      </w:r>
      <w:r w:rsidDel="00000000" w:rsidR="00000000" w:rsidRPr="00000000">
        <w:rPr>
          <w:rFonts w:ascii="Google Sans" w:cs="Google Sans" w:eastAsia="Google Sans" w:hAnsi="Google Sans"/>
          <w:color w:val="1f1f1f"/>
        </w:rPr>
        <w:drawing>
          <wp:inline distB="19050" distT="19050" distL="19050" distR="19050">
            <wp:extent cx="555128" cy="239279"/>
            <wp:effectExtent b="0" l="0" r="0" t="0"/>
            <wp:docPr id="76"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55128" cy="23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'den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77" name="image73.png"/>
            <a:graphic>
              <a:graphicData uri="http://schemas.openxmlformats.org/drawingml/2006/picture">
                <pic:pic>
                  <pic:nvPicPr>
                    <pic:cNvPr id="0" name="image73.png"/>
                    <pic:cNvPicPr preferRelativeResize="0"/>
                  </pic:nvPicPr>
                  <pic:blipFill>
                    <a:blip r:embed="rId24"/>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'e çekildiğinde topluma aktarılan net enerji payı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78" name="image68.png"/>
            <a:graphic>
              <a:graphicData uri="http://schemas.openxmlformats.org/drawingml/2006/picture">
                <pic:pic>
                  <pic:nvPicPr>
                    <pic:cNvPr id="0" name="image68.png"/>
                    <pic:cNvPicPr preferRelativeResize="0"/>
                  </pic:nvPicPr>
                  <pic:blipFill>
                    <a:blip r:embed="rId25"/>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'dan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80" name="image74.png"/>
            <a:graphic>
              <a:graphicData uri="http://schemas.openxmlformats.org/drawingml/2006/picture">
                <pic:pic>
                  <pic:nvPicPr>
                    <pic:cNvPr id="0" name="image74.png"/>
                    <pic:cNvPicPr preferRelativeResize="0"/>
                  </pic:nvPicPr>
                  <pic:blipFill>
                    <a:blip r:embed="rId26"/>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'ye gerilemekte ve sistem nispeten sarsıntısız işlemektedir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Ancak oran </w:t>
      </w:r>
      <w:r w:rsidDel="00000000" w:rsidR="00000000" w:rsidRPr="00000000">
        <w:rPr>
          <w:rFonts w:ascii="Google Sans" w:cs="Google Sans" w:eastAsia="Google Sans" w:hAnsi="Google Sans"/>
          <w:color w:val="1f1f1f"/>
        </w:rPr>
        <w:drawing>
          <wp:inline distB="19050" distT="19050" distL="19050" distR="19050">
            <wp:extent cx="1352702" cy="238152"/>
            <wp:effectExtent b="0" l="0" r="0" t="0"/>
            <wp:docPr id="81"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1352702" cy="238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eşiğinin altına indiğinde, sistem dikey bir Net Enerji Uçurumu (</w:t>
      </w:r>
      <w:r w:rsidDel="00000000" w:rsidR="00000000" w:rsidRPr="00000000">
        <w:rPr>
          <w:rFonts w:ascii="Google Sans" w:cs="Google Sans" w:eastAsia="Google Sans" w:hAnsi="Google Sans"/>
          <w:i w:val="1"/>
          <w:iCs w:val="1"/>
          <w:color w:val="1f1f1f"/>
          <w:rtl w:val="0"/>
        </w:rPr>
        <w:t xml:space="preserve">Net Energy Cliff</w:t>
      </w:r>
      <w:r w:rsidDel="00000000" w:rsidR="00000000" w:rsidRPr="00000000">
        <w:rPr>
          <w:rFonts w:ascii="Google Sans" w:cs="Google Sans" w:eastAsia="Google Sans" w:hAnsi="Google Sans"/>
          <w:color w:val="1f1f1f"/>
          <w:rtl w:val="0"/>
        </w:rPr>
        <w:t xml:space="preserve">) ile karşılaşmaktadır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34306" cy="236681"/>
            <wp:effectExtent b="0" l="0" r="0" t="0"/>
            <wp:docPr id="8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34306" cy="236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83" name="image77.png"/>
            <a:graphic>
              <a:graphicData uri="http://schemas.openxmlformats.org/drawingml/2006/picture">
                <pic:pic>
                  <pic:nvPicPr>
                    <pic:cNvPr id="0" name="image77.png"/>
                    <pic:cNvPicPr preferRelativeResize="0"/>
                  </pic:nvPicPr>
                  <pic:blipFill>
                    <a:blip r:embed="rId28"/>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seviyesine gerilediğinde, elde edilen brüt enerjinin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84" name="image85.png"/>
            <a:graphic>
              <a:graphicData uri="http://schemas.openxmlformats.org/drawingml/2006/picture">
                <pic:pic>
                  <pic:nvPicPr>
                    <pic:cNvPr id="0" name="image85.png"/>
                    <pic:cNvPicPr preferRelativeResize="0"/>
                  </pic:nvPicPr>
                  <pic:blipFill>
                    <a:blip r:embed="rId29"/>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'si yalnızca enerjiyi çıkarma sürecinin öz-tüketimine gitmekte; Marjinal Maliyet (</w:t>
      </w:r>
      <w:r w:rsidDel="00000000" w:rsidR="00000000" w:rsidRPr="00000000">
        <w:rPr>
          <w:rFonts w:ascii="Google Sans" w:cs="Google Sans" w:eastAsia="Google Sans" w:hAnsi="Google Sans"/>
          <w:color w:val="1f1f1f"/>
        </w:rPr>
        <w:drawing>
          <wp:inline distB="19050" distT="19050" distL="19050" distR="19050">
            <wp:extent cx="344239" cy="248617"/>
            <wp:effectExtent b="0" l="0" r="0" t="0"/>
            <wp:docPr id="85" name="image65.png"/>
            <a:graphic>
              <a:graphicData uri="http://schemas.openxmlformats.org/drawingml/2006/picture">
                <pic:pic>
                  <pic:nvPicPr>
                    <pic:cNvPr id="0" name="image65.png"/>
                    <pic:cNvPicPr preferRelativeResize="0"/>
                  </pic:nvPicPr>
                  <pic:blipFill>
                    <a:blip r:embed="rId30"/>
                    <a:srcRect b="0" l="0" r="0" t="0"/>
                    <a:stretch>
                      <a:fillRect/>
                    </a:stretch>
                  </pic:blipFill>
                  <pic:spPr>
                    <a:xfrm>
                      <a:off x="0" y="0"/>
                      <a:ext cx="344239"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eğrisi dikleşerek toplumsal </w:t>
      </w:r>
      <w:r w:rsidDel="00000000" w:rsidR="00000000" w:rsidRPr="00000000">
        <w:rPr>
          <w:rFonts w:ascii="Google Sans" w:cs="Google Sans" w:eastAsia="Google Sans" w:hAnsi="Google Sans"/>
          <w:color w:val="1f1f1f"/>
        </w:rPr>
        <w:drawing>
          <wp:inline distB="19050" distT="19050" distL="19050" distR="19050">
            <wp:extent cx="404664" cy="250506"/>
            <wp:effectExtent b="0" l="0" r="0" t="0"/>
            <wp:docPr id="86"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04664" cy="250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sınırını içeriye doğru büzmektedir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Yıl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Küresel Birincil Enerji (EJ)</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Küresel Petrol/Gaz EROEI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Küresel Toplam Borç (Trilyon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Küresel GSYİH (Trilyon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Makro-Termodinamik Sistem Durumu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3325" cy="211265"/>
                  <wp:effectExtent b="0" l="0" r="0" t="0"/>
                  <wp:docPr id="2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03325" cy="2112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marjinal verim, güçlü fiziksel taban, düşük sermaye sürtünmesi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3325" cy="211265"/>
                  <wp:effectExtent b="0" l="0" r="0" t="0"/>
                  <wp:docPr id="2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03325" cy="2112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Konvansiyonel sahalarda olgunlaşma, finansallaşmanın hızlanması</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3325" cy="211265"/>
                  <wp:effectExtent b="0" l="0" r="0" t="0"/>
                  <wp:docPr id="2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03325" cy="2112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7478" cy="211391"/>
                  <wp:effectExtent b="0" l="0" r="0" t="0"/>
                  <wp:docPr id="2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307478" cy="2113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Sanal servetin fiziki tabanı aşması, ultraderin ve kayaç gazına geçiş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16855" cy="211237"/>
                  <wp:effectExtent b="0" l="0" r="0" t="0"/>
                  <wp:docPr id="2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16855" cy="21123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93948" cy="211387"/>
                  <wp:effectExtent b="0" l="0" r="0" t="0"/>
                  <wp:docPr id="26" name="image55.png"/>
                  <a:graphic>
                    <a:graphicData uri="http://schemas.openxmlformats.org/drawingml/2006/picture">
                      <pic:pic>
                        <pic:nvPicPr>
                          <pic:cNvPr id="0" name="image55.png"/>
                          <pic:cNvPicPr preferRelativeResize="0"/>
                        </pic:nvPicPr>
                        <pic:blipFill>
                          <a:blip r:embed="rId36"/>
                          <a:srcRect b="0" l="0" r="0" t="0"/>
                          <a:stretch>
                            <a:fillRect/>
                          </a:stretch>
                        </pic:blipFill>
                        <pic:spPr>
                          <a:xfrm>
                            <a:off x="0" y="0"/>
                            <a:ext cx="393948" cy="2113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93948" cy="211387"/>
                  <wp:effectExtent b="0" l="0" r="0" t="0"/>
                  <wp:docPr id="27"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393948" cy="2113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2019" cy="211400"/>
                  <wp:effectExtent b="0" l="0" r="0" t="0"/>
                  <wp:docPr id="28"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Borç Patlaması</w:t>
            </w:r>
            <w:r w:rsidDel="00000000" w:rsidR="00000000" w:rsidRPr="00000000">
              <w:rPr>
                <w:rFonts w:ascii="Google Sans" w:cs="Google Sans" w:eastAsia="Google Sans" w:hAnsi="Google Sans"/>
                <w:color w:val="1f1f1f"/>
                <w:rtl w:val="0"/>
              </w:rPr>
              <w:t xml:space="preserve">, Net Enerji Uçurumu ve kronik enflasyon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İtibari para düzeninde bankacılık sektörü, yasal rezerv oranı (</w:t>
      </w:r>
      <w:r w:rsidDel="00000000" w:rsidR="00000000" w:rsidRPr="00000000">
        <w:rPr>
          <w:rFonts w:ascii="Google Sans" w:cs="Google Sans" w:eastAsia="Google Sans" w:hAnsi="Google Sans"/>
          <w:color w:val="1f1f1f"/>
        </w:rPr>
        <w:drawing>
          <wp:inline distB="19050" distT="19050" distL="19050" distR="19050">
            <wp:extent cx="298995" cy="250770"/>
            <wp:effectExtent b="0" l="0" r="0" t="0"/>
            <wp:docPr id="29"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98995" cy="250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üzerinden işleyen para çoğaltanı mekanizmasıyla (</w:t>
      </w:r>
      <w:r w:rsidDel="00000000" w:rsidR="00000000" w:rsidRPr="00000000">
        <w:rPr>
          <w:rFonts w:ascii="Google Sans" w:cs="Google Sans" w:eastAsia="Google Sans" w:hAnsi="Google Sans"/>
          <w:color w:val="1f1f1f"/>
        </w:rPr>
        <w:drawing>
          <wp:inline distB="19050" distT="19050" distL="19050" distR="19050">
            <wp:extent cx="1898152" cy="248000"/>
            <wp:effectExtent b="0" l="0" r="0" t="0"/>
            <wp:docPr id="30"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1898152" cy="248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fiziki karşılığı bulunmayan eksponansiyel borç ve mevduat üretmektedir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Parasal alacaklar bileşik faizle üstel olarak tırmanırken, hidrokarbon tabanındaki gerileme neticesinde reel üretim lojistik bir sınırla kısıtlanmaktadır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iki eğri arasındaki asimetrik açılma, Frederick Soddy'nin kuramsallaştırdığı Sanal Servet Makası'nı oluşturur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Kâğıt üzerindeki alacaklar reel enerjetik bir karşılık bulamadığında ortaya çıkan enflasyonist spiral, karşılıksız kurgulanmış borç senetlerinin doğa yasaları tarafından adli tasfiyesidir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Piyasanın doğal sermaye tükenişini fiyat mekanizmasına dahil etmemesi, Marjinal Sosyal Maliyetin Marjinal Sosyal Faydayı aşmasına (</w:t>
      </w:r>
      <w:r w:rsidDel="00000000" w:rsidR="00000000" w:rsidRPr="00000000">
        <w:rPr>
          <w:rFonts w:ascii="Google Sans" w:cs="Google Sans" w:eastAsia="Google Sans" w:hAnsi="Google Sans"/>
          <w:color w:val="1f1f1f"/>
        </w:rPr>
        <w:drawing>
          <wp:inline distB="19050" distT="19050" distL="19050" distR="19050">
            <wp:extent cx="1194349" cy="248425"/>
            <wp:effectExtent b="0" l="0" r="0" t="0"/>
            <wp:docPr id="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194349" cy="248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yol açmakta; ortaya çıkan piyasa başarısızlığı geometrik olarak bir Ölü Kayıp (</w:t>
      </w:r>
      <w:r w:rsidDel="00000000" w:rsidR="00000000" w:rsidRPr="00000000">
        <w:rPr>
          <w:rFonts w:ascii="Google Sans" w:cs="Google Sans" w:eastAsia="Google Sans" w:hAnsi="Google Sans"/>
          <w:i w:val="1"/>
          <w:iCs w:val="1"/>
          <w:color w:val="1f1f1f"/>
          <w:rtl w:val="0"/>
        </w:rPr>
        <w:t xml:space="preserve">Deadweight Loss</w:t>
      </w:r>
      <w:r w:rsidDel="00000000" w:rsidR="00000000" w:rsidRPr="00000000">
        <w:rPr>
          <w:rFonts w:ascii="Google Sans" w:cs="Google Sans" w:eastAsia="Google Sans" w:hAnsi="Google Sans"/>
          <w:color w:val="1f1f1f"/>
          <w:rtl w:val="0"/>
        </w:rPr>
        <w:t xml:space="preserve">), fiziksel olarak ise sisteme geri döndürülemeyen bir termodinamik amortisman üretmektedir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İnsan İnterlandı ve 20 Ülke Çapraz Risk Haritası</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ekonometri modelleri ulusal direnç kapasitesini GSYİH büyüklüğü, borsa kapitalizasyonu veya brüt döviz rezervi gibi soyut parasal büyüklüklerle ölçmektedir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T2SAIM modeli bu metrikleri yüzeysel bulmakta ve sistemik şok anlarında toplumun dağılmasını engelleyen temel yapının İnsan İnterlandı olduğunu vurgulamaktadır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İnsan İnterlandı; finansal kuleler ve itibari para mekanizmaları çöktüğünde toplumun birlikteliğini koruyan Hukukun Üstünlüğü, Yolsuzluk Kontrolü, temel geçim güvencesi tabanı (Moral Ekonomi) ve İbn Haldun'cu toplumsal dayanışma (Asabiyye) ağlarının bütünüdür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Dünya Bankası Dünya Yönetişim Göstergeleri (</w:t>
      </w:r>
      <w:r w:rsidDel="00000000" w:rsidR="00000000" w:rsidRPr="00000000">
        <w:rPr>
          <w:rFonts w:ascii="Google Sans" w:cs="Google Sans" w:eastAsia="Google Sans" w:hAnsi="Google Sans"/>
          <w:i w:val="1"/>
          <w:iCs w:val="1"/>
          <w:color w:val="1f1f1f"/>
          <w:rtl w:val="0"/>
        </w:rPr>
        <w:t xml:space="preserve">WGI</w:t>
      </w:r>
      <w:r w:rsidDel="00000000" w:rsidR="00000000" w:rsidRPr="00000000">
        <w:rPr>
          <w:rFonts w:ascii="Google Sans" w:cs="Google Sans" w:eastAsia="Google Sans" w:hAnsi="Google Sans"/>
          <w:color w:val="1f1f1f"/>
          <w:rtl w:val="0"/>
        </w:rPr>
        <w:t xml:space="preserve">) ve Kalkınma Göstergeleri (</w:t>
      </w:r>
      <w:r w:rsidDel="00000000" w:rsidR="00000000" w:rsidRPr="00000000">
        <w:rPr>
          <w:rFonts w:ascii="Google Sans" w:cs="Google Sans" w:eastAsia="Google Sans" w:hAnsi="Google Sans"/>
          <w:i w:val="1"/>
          <w:iCs w:val="1"/>
          <w:color w:val="1f1f1f"/>
          <w:rtl w:val="0"/>
        </w:rPr>
        <w:t xml:space="preserve">WDI</w:t>
      </w:r>
      <w:r w:rsidDel="00000000" w:rsidR="00000000" w:rsidRPr="00000000">
        <w:rPr>
          <w:rFonts w:ascii="Google Sans" w:cs="Google Sans" w:eastAsia="Google Sans" w:hAnsi="Google Sans"/>
          <w:color w:val="1f1f1f"/>
          <w:rtl w:val="0"/>
        </w:rPr>
        <w:t xml:space="preserve">) verileri temel alınarak hesaplanan 20 ülke İnsan İnterlandı Direnç Matrisi, ülkelerin kurumsal ve sosyo-ekonomik tamponlarını adli bir netlikle ortaya koymaktadır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ISO3 Kodu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Ülke Adı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Hukukun Üstünlüğü (Rule of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Yolsuzluk Kontrolü (Corruption)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Hükümet Etkinliği (Effectiveness)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Gini Katsayısı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İnsan İnterlandı Direnç Skoru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İsviçre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Avustralya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+17.97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Japonya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+16.67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İngiltere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Güney Kore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İspanya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+5.64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Yunanistan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Hindistan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Endonezya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Güney Afrika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Brezilya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-4.93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Meksika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-7.69</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Söz konusu metrik dağılımı, küresel risk haritasını dört analitik kadran altında toplamaktadır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Kadran I'de yer alan Kale Ülkeler (İsviçre, Avustralya, Kanada),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2"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3"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arasındaki yüksek interland direnç skorlarıyla adalet algısının yerleşik olduğu, yolsuzluğun kontrol altında tutulduğu ve gıda/enerji tamponlarının güçlü olduğu korunaklı bir alanı temsil eder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Kadran II bünyesindeki Sanayi ve Enerji Bağımlıları (Almanya, Japonya, İngiltere, ABD),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4"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5"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bandında kurumsal asabiyyeye sahip olsalar da, düşen küresel </w:t>
      </w:r>
      <w:r w:rsidDel="00000000" w:rsidR="00000000" w:rsidRPr="00000000">
        <w:rPr>
          <w:rFonts w:ascii="Google Sans" w:cs="Google Sans" w:eastAsia="Google Sans" w:hAnsi="Google Sans"/>
          <w:color w:val="1f1f1f"/>
        </w:rPr>
        <w:drawing>
          <wp:inline distB="19050" distT="19050" distL="19050" distR="19050">
            <wp:extent cx="634306" cy="236681"/>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34306" cy="236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oranları ve tırmanan kamu borçları nedeniyle dışsal tedarik şoklarına karşı hassastır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Kadran III'te bulunan Emtia Üreticileri ve Enformel Ağlar (Hindistan, Endonezya, Brezilya),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8"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aralığındaki düşük kurumsal yönetişim puanlarına rağmen yerel tarımsal kapasite ve geniş aile dayanışması sayesinde krizleri absorbe edebilmektedir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Kadran IV'ü oluşturan Yüksek Kırılganlık ve Mimetik Gerilim Hattı (Türkiye, Meksika, Güney Afrika, Yunanistan) ise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9"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0"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arasındaki negatif direnç skorlarıyla kurumsal güven açığı yaşamaktadır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hatta yer alan toplumlarda enflasyonist erozyon temel geçim tabanını zedelemekte ve René Girard'cı günah keçisi mekanizmalarını tetiklemektedir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Bununla birlikte Türkiye, resmi yönetişim puanlarındaki negatifliğe rağmen geleneksel aile transferleri, esnaf dayanışması ve kayıt dışı esneklik unsurlarını devreye sokarak Latin Amerika tipi kaotik çözülmelerden ayrışan özgün bir geleneksel tampon sergilemektedir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kriz bulaşma mekanizması ardışık bir nedensellik zincirini takip eder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Jeopolitik boğazların tıkanması veya petrol fiyatlarının varil başına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43"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doları aşmasıyla tetiklenen birincil enerji şoku, net ithalatçı konumdaki ülkelerin cari açıklarını hızla büyüterek döviz rezervlerini eritir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Rezerv erimesi, parasal tabanın döviz karşılığını kopararak Soddy Sanal Servet Makasını aşırı gerilime sokar (</w:t>
      </w:r>
      <w:r w:rsidDel="00000000" w:rsidR="00000000" w:rsidRPr="00000000">
        <w:rPr>
          <w:rFonts w:ascii="Google Sans" w:cs="Google Sans" w:eastAsia="Google Sans" w:hAnsi="Google Sans"/>
          <w:color w:val="1f1f1f"/>
        </w:rPr>
        <w:drawing>
          <wp:inline distB="19050" distT="19050" distL="19050" distR="19050">
            <wp:extent cx="1447800" cy="247650"/>
            <wp:effectExtent b="0" l="0" r="0" t="0"/>
            <wp:docPr id="44"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14478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Likidite sıkışıklığı faiz oranlarını yukarı iterken, temel geçim güvencesi tabanı parçalanan hanehalklarında amigdala kilitlenmesi meydana gelerek panik varlık alımları ve mimetik kaçış dalgaları tetiklenir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Makroekonomik Kriz Otopsisi ve Adli İktisat Bulguları (1994-2026)</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ekonomisinin 1994-2026 dönemini kapsayan adli otopsisi, kontrolsüz parasal genişleme ve negatif reel faiz deneylerinin finansal göstergeler üzerindeki tahribatını açıkça belgelemektedir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Kriz Dönemi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Zaman Aralığı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Maksimum TÜFE Enflasyonu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REER Seviyesi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Zirve Soddy M2/NIR Oranı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Zirve USD/TRY Volatilitesi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Hoffer Hayal Kırıklığı (HFI)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1994 Likidite ve Kur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2001 Bankacılık ve Asabiyye Krizi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Yok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2018 Rahip Brunson Kur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45"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500956" cy="23630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2021-2022 Negatif Reel Faiz Deneyi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00956" cy="236300"/>
                  <wp:effectExtent b="0" l="0" r="0" t="0"/>
                  <wp:docPr id="46"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00956" cy="23630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 Seçim Öncesi Rezerv Sıkışması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14809" cy="208089"/>
                  <wp:effectExtent b="0" l="0" r="0" t="0"/>
                  <wp:docPr id="47"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614809" cy="20808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2025-2026 Normalleşme ve Sıkılaşma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88822" cy="238777"/>
                  <wp:effectExtent b="0" l="0" r="0" t="0"/>
                  <wp:docPr id="48"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1088822" cy="2387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28.4</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 yılı ortasında TCMB net uluslararası rezervlerinin swap hariç derin negatif bölgeye çekilmesiyle </w:t>
      </w:r>
      <w:r w:rsidDel="00000000" w:rsidR="00000000" w:rsidRPr="00000000">
        <w:rPr>
          <w:rFonts w:ascii="Google Sans" w:cs="Google Sans" w:eastAsia="Google Sans" w:hAnsi="Google Sans"/>
          <w:color w:val="1f1f1f"/>
        </w:rPr>
        <w:drawing>
          <wp:inline distB="19050" distT="19050" distL="19050" distR="19050">
            <wp:extent cx="838051" cy="247606"/>
            <wp:effectExtent b="0" l="0" r="0" t="0"/>
            <wp:docPr id="49"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838051" cy="247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makası </w:t>
      </w:r>
      <w:r w:rsidDel="00000000" w:rsidR="00000000" w:rsidRPr="00000000">
        <w:rPr>
          <w:rFonts w:ascii="Google Sans" w:cs="Google Sans" w:eastAsia="Google Sans" w:hAnsi="Google Sans"/>
          <w:color w:val="1f1f1f"/>
        </w:rPr>
        <w:drawing>
          <wp:inline distB="19050" distT="19050" distL="19050" distR="19050">
            <wp:extent cx="614809" cy="208089"/>
            <wp:effectExtent b="0" l="0" r="0" t="0"/>
            <wp:docPr id="50"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614809" cy="208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tarihsel rekor kriz seviyesine fırlamış, uygulanan parasal sıkılaşma ve rezerv tahkimi sonucunda bu oran </w:t>
      </w:r>
      <w:r w:rsidDel="00000000" w:rsidR="00000000" w:rsidRPr="00000000">
        <w:rPr>
          <w:rFonts w:ascii="Google Sans" w:cs="Google Sans" w:eastAsia="Google Sans" w:hAnsi="Google Sans"/>
          <w:color w:val="1f1f1f"/>
        </w:rPr>
        <w:drawing>
          <wp:inline distB="19050" distT="19050" distL="19050" distR="19050">
            <wp:extent cx="442019" cy="211400"/>
            <wp:effectExtent b="0" l="0" r="0" t="0"/>
            <wp:docPr id="51" name="image90.png"/>
            <a:graphic>
              <a:graphicData uri="http://schemas.openxmlformats.org/drawingml/2006/picture">
                <pic:pic>
                  <pic:nvPicPr>
                    <pic:cNvPr id="0" name="image90.png"/>
                    <pic:cNvPicPr preferRelativeResize="0"/>
                  </pic:nvPicPr>
                  <pic:blipFill>
                    <a:blip r:embed="rId56"/>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seviyesine kadar geriletilmiştir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Dünya Bankası WGI verileri, makroekonomik dalgalanmaların kurumsal arka planındaki asabiyye çözülüşünü doğrulamaktadır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Gözlem Yılı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Hukukun Üstünlüğü (Rule of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Yolsuzluk Kontrolü (Corruption)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Hükümet Etkinliği (Effectiveness)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Gini Gelir Dağılımı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Resmî İşsizlik Oranı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Yolsuzluk kontrolü skorunun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52" name="image91.png"/>
            <a:graphic>
              <a:graphicData uri="http://schemas.openxmlformats.org/drawingml/2006/picture">
                <pic:pic>
                  <pic:nvPicPr>
                    <pic:cNvPr id="0" name="image91.png"/>
                    <pic:cNvPicPr preferRelativeResize="0"/>
                  </pic:nvPicPr>
                  <pic:blipFill>
                    <a:blip r:embed="rId57"/>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'dan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42"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'ye düşmesi ve hukukun üstünlüğü algısının negatif düzeyde kemikleşmesi, kurumsal asabiyyenin ve adalet inancının tahrip olduğunu göstermektedir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erozyon liyakat sistemini zedelemiş, örtük fırsat maliyetlerini artırmış ve ekonomiyi </w:t>
      </w:r>
      <w:r w:rsidDel="00000000" w:rsidR="00000000" w:rsidRPr="00000000">
        <w:rPr>
          <w:rFonts w:ascii="Google Sans" w:cs="Google Sans" w:eastAsia="Google Sans" w:hAnsi="Google Sans"/>
          <w:color w:val="1f1f1f"/>
        </w:rPr>
        <w:drawing>
          <wp:inline distB="19050" distT="19050" distL="19050" distR="19050">
            <wp:extent cx="404664" cy="250506"/>
            <wp:effectExtent b="0" l="0" r="0" t="0"/>
            <wp:docPr id="33"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04664" cy="250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üzerindeki tam istihdam hatlarından iç kısımdaki etkinsiz </w:t>
      </w:r>
      <w:r w:rsidDel="00000000" w:rsidR="00000000" w:rsidRPr="00000000">
        <w:rPr>
          <w:rFonts w:ascii="Google Sans" w:cs="Google Sans" w:eastAsia="Google Sans" w:hAnsi="Google Sans"/>
          <w:color w:val="1f1f1f"/>
        </w:rPr>
        <w:drawing>
          <wp:inline distB="19050" distT="19050" distL="19050" distR="19050">
            <wp:extent cx="147042" cy="254873"/>
            <wp:effectExtent b="0" l="0" r="0" t="0"/>
            <wp:docPr id="3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47042" cy="254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noktasına itmiştir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James C. Scott'ın Moral Ekonomi modeli çerçevesinde incelendiğinde, toplumun asgari geçim güvencesi tabanı kur şokları ve enflasyon dalgalarıyla doğrudan delinmiştir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İnceleme Yılı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Ortalama Moral Stres Skoru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Zirve Moral Stres Skoru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Maksimum TÜFE Enflasyonu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REER Düzeyi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Dönemsel Durum Teşhisi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 stres ve korunaklı geçim tabanı</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 şoku başlangıcı ve alım gücü kaybı</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Hızlı alım gücü erozyonu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76.29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 Moral Ekonomi Kırılması</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toplumsal stres ve geçim baskısı</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Kısmi dengelenme ve yüksek maliyet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Düşüş Eğilimi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Normalleşme eşiği ve kur toparlanması</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 yılında Moral Stres Skoru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35"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tepe noktasına ulaşarak toplumsal sözleşmeyi yıpratmıştır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Kamu idaresinin bu süreçte devreye soktuğu tavan fiyat (</w:t>
      </w:r>
      <w:r w:rsidDel="00000000" w:rsidR="00000000" w:rsidRPr="00000000">
        <w:rPr>
          <w:rFonts w:ascii="Google Sans" w:cs="Google Sans" w:eastAsia="Google Sans" w:hAnsi="Google Sans"/>
          <w:i w:val="1"/>
          <w:iCs w:val="1"/>
          <w:color w:val="1f1f1f"/>
          <w:rtl w:val="0"/>
        </w:rPr>
        <w:t xml:space="preserve">Price Ceiling - </w:t>
      </w:r>
      <w:r w:rsidDel="00000000" w:rsidR="00000000" w:rsidRPr="00000000">
        <w:rPr>
          <w:rFonts w:ascii="Google Sans" w:cs="Google Sans" w:eastAsia="Google Sans" w:hAnsi="Google Sans"/>
          <w:i w:val="1"/>
          <w:iCs w:val="1"/>
          <w:color w:val="1f1f1f"/>
        </w:rPr>
        <w:drawing>
          <wp:inline distB="19050" distT="19050" distL="19050" distR="19050">
            <wp:extent cx="204192" cy="252809"/>
            <wp:effectExtent b="0" l="0" r="0" t="0"/>
            <wp:docPr id="36" name="image26.png"/>
            <a:graphic>
              <a:graphicData uri="http://schemas.openxmlformats.org/drawingml/2006/picture">
                <pic:pic>
                  <pic:nvPicPr>
                    <pic:cNvPr id="0" name="image26.png"/>
                    <pic:cNvPicPr preferRelativeResize="0"/>
                  </pic:nvPicPr>
                  <pic:blipFill>
                    <a:blip r:embed="rId60"/>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uygulamaları, doğal piyasa dengesini (</w:t>
      </w:r>
      <w:r w:rsidDel="00000000" w:rsidR="00000000" w:rsidRPr="00000000">
        <w:rPr>
          <w:rFonts w:ascii="Google Sans" w:cs="Google Sans" w:eastAsia="Google Sans" w:hAnsi="Google Sans"/>
          <w:color w:val="1f1f1f"/>
        </w:rPr>
        <w:drawing>
          <wp:inline distB="19050" distT="19050" distL="19050" distR="19050">
            <wp:extent cx="524619" cy="248002"/>
            <wp:effectExtent b="0" l="0" r="0" t="0"/>
            <wp:docPr id="37"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524619" cy="248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ortadan kaldırarak piyasada </w:t>
      </w:r>
      <w:r w:rsidDel="00000000" w:rsidR="00000000" w:rsidRPr="00000000">
        <w:rPr>
          <w:rFonts w:ascii="Google Sans" w:cs="Google Sans" w:eastAsia="Google Sans" w:hAnsi="Google Sans"/>
          <w:color w:val="1f1f1f"/>
        </w:rPr>
        <w:drawing>
          <wp:inline distB="19050" distT="19050" distL="19050" distR="19050">
            <wp:extent cx="706189" cy="248121"/>
            <wp:effectExtent b="0" l="0" r="0" t="0"/>
            <wp:docPr id="38"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706189" cy="248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kadar kıtlık, karaborsa ve </w:t>
      </w:r>
      <w:r w:rsidDel="00000000" w:rsidR="00000000" w:rsidRPr="00000000">
        <w:rPr>
          <w:rFonts w:ascii="Google Sans" w:cs="Google Sans" w:eastAsia="Google Sans" w:hAnsi="Google Sans"/>
          <w:color w:val="1f1f1f"/>
        </w:rPr>
        <w:drawing>
          <wp:inline distB="19050" distT="19050" distL="19050" distR="19050">
            <wp:extent cx="947589" cy="248862"/>
            <wp:effectExtent b="0" l="0" r="0" t="0"/>
            <wp:docPr id="39"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947589" cy="2488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geometrik alanıyla temsil edilen Ölü Kayıp (</w:t>
      </w:r>
      <w:r w:rsidDel="00000000" w:rsidR="00000000" w:rsidRPr="00000000">
        <w:rPr>
          <w:rFonts w:ascii="Google Sans" w:cs="Google Sans" w:eastAsia="Google Sans" w:hAnsi="Google Sans"/>
          <w:i w:val="1"/>
          <w:iCs w:val="1"/>
          <w:color w:val="1f1f1f"/>
          <w:rtl w:val="0"/>
        </w:rPr>
        <w:t xml:space="preserve">Deadweight Loss</w:t>
      </w:r>
      <w:r w:rsidDel="00000000" w:rsidR="00000000" w:rsidRPr="00000000">
        <w:rPr>
          <w:rFonts w:ascii="Google Sans" w:cs="Google Sans" w:eastAsia="Google Sans" w:hAnsi="Google Sans"/>
          <w:color w:val="1f1f1f"/>
          <w:rtl w:val="0"/>
        </w:rPr>
        <w:t xml:space="preserve">) üretmiştir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Emeğin Marjinal Ürün Hasılatı (</w:t>
      </w:r>
      <w:r w:rsidDel="00000000" w:rsidR="00000000" w:rsidRPr="00000000">
        <w:rPr>
          <w:rFonts w:ascii="Google Sans" w:cs="Google Sans" w:eastAsia="Google Sans" w:hAnsi="Google Sans"/>
          <w:color w:val="1f1f1f"/>
        </w:rPr>
        <w:drawing>
          <wp:inline distB="19050" distT="19050" distL="19050" distR="19050">
            <wp:extent cx="1488434" cy="248072"/>
            <wp:effectExtent b="0" l="0" r="0" t="0"/>
            <wp:docPr id="40"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1488434" cy="2480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baskılanan resmi ücretler arasındaki makas açılmış; ortaya çıkan monopsonist emek sömürüsü geniş işgücü kesimlerini güvencesiz kayıt dışı ekonomiye (</w:t>
      </w:r>
      <w:r w:rsidDel="00000000" w:rsidR="00000000" w:rsidRPr="00000000">
        <w:rPr>
          <w:rFonts w:ascii="Google Sans" w:cs="Google Sans" w:eastAsia="Google Sans" w:hAnsi="Google Sans"/>
          <w:i w:val="1"/>
          <w:iCs w:val="1"/>
          <w:color w:val="1f1f1f"/>
          <w:rtl w:val="0"/>
        </w:rPr>
        <w:t xml:space="preserve">Underground Economy</w:t>
      </w:r>
      <w:r w:rsidDel="00000000" w:rsidR="00000000" w:rsidRPr="00000000">
        <w:rPr>
          <w:rFonts w:ascii="Google Sans" w:cs="Google Sans" w:eastAsia="Google Sans" w:hAnsi="Google Sans"/>
          <w:color w:val="1f1f1f"/>
          <w:rtl w:val="0"/>
        </w:rPr>
        <w:t xml:space="preserve">) itmiştir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Biyo-Kognitif Endokrin Sarkaç, Amigdala Kilitlenmesi ve Mimetik Günah Keçisi</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Piyasa hareketleri yalnızca matematiksel rasyonel beklentilerle değil, kitlelerin ve karar alıcıların endokrin hormon döngüleriyle yönlenmektedir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John Coates'un nöro-finansal araştırmaları, uzun süreli düşük oynaklık ve sürekli kazanç dönemlerinde piyasa yapıcıların testosteron seviyelerinin zirve yaptığını, bunun da risk körlüğü, kibir ve aşırı kaldıraç kullanımını körüklediğini kanıtlamaktadır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Beklenmedik bir kur veya likidite krizi patlak verdiğinde ise sistem aniden kortizol patlamasına geçmektedir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Yüksek kortizol seviyesi prefrontal korteksin rasyonel karar alma filtrelerini felç ederek amigdalayı devreye sokmakta; amigdala kilitlenmesi yaşayan aktörler mantıklı iktisadi hesaplamaları terk ederek panik varlık alımlarına ve banka hücumlarına yönelmektedir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TCMB EVDS verileri üzerinden hesaplanan 30 ve 90 günlük yıllıklandırılmış kur oynaklığı serileri, Türkiye'deki endokrin kriz zirvelerini doğrulamaktadır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Analiz Yılı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30-Günlük Ortalama Volatilite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30-Günlük Zirve Volatilite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90-Günlük Ortalama Volatilite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Biyo-Kognitif ve Endokrin Durum Teşhisi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%133.53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Tam Amigdala Kilitlenmesi (Tarihsel Kortizol Şoku)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bulaşma kaynaklı kortizol alarmı</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Testosteron öforisi, risk körlüğü ve borçlanma hevesi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Akut kortizol sıçraması ve kur paniği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Amigdala Kilitlenmesi (Negatif reel faiz kur patlaması)</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Amigdala Kilitlenmesi (Enflasyonist panik alımları)</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Seçim öncesi rezerv savunması ve geçici baskılanma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Parasal sıkılaşma ve volatilite soğuması</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 %2.78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%1.33 - %3.38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Yapay Sakinlik / Yeni Testosteron Öforisi Riski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 volatilitesinin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41"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sınırını aşması piyasada tam bir amigdala kilitlenmesi yaratarak rasyonel fiyat mekanizmasını felç etmektedir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2025-2026 döneminde oynaklığın </w:t>
      </w:r>
      <w:r w:rsidDel="00000000" w:rsidR="00000000" w:rsidRPr="00000000">
        <w:rPr>
          <w:rFonts w:ascii="Google Sans" w:cs="Google Sans" w:eastAsia="Google Sans" w:hAnsi="Google Sans"/>
          <w:color w:val="1f1f1f"/>
        </w:rPr>
        <w:drawing>
          <wp:inline distB="19050" distT="19050" distL="19050" distR="19050">
            <wp:extent cx="1262805" cy="237369"/>
            <wp:effectExtent b="0" l="0" r="0" t="0"/>
            <wp:docPr id="31"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262805" cy="237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bandına gerilemesi finansal istikrar açısından olumlu olmakla birlikte, aktörlerde yeni bir sahte özgüven ve risk körlüğü (testosteron fazı) üretme tehlikesini barındırmaktadır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Kitlelerin yaşadığı iktisadi yabancılaşma ve fanatik yönelimler, Eric Hoffer Hayal Kırıklığı Endeksi (</w:t>
      </w:r>
      <w:r w:rsidDel="00000000" w:rsidR="00000000" w:rsidRPr="00000000">
        <w:rPr>
          <w:rFonts w:ascii="Google Sans" w:cs="Google Sans" w:eastAsia="Google Sans" w:hAnsi="Google Sans"/>
          <w:color w:val="1f1f1f"/>
        </w:rPr>
        <w:drawing>
          <wp:inline distB="19050" distT="19050" distL="19050" distR="19050">
            <wp:extent cx="433536" cy="245042"/>
            <wp:effectExtent b="0" l="0" r="0" t="0"/>
            <wp:docPr id="32"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433536" cy="245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takip edilmektedir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866775"/>
            <wp:effectExtent b="0" l="0" r="0" t="0"/>
            <wp:docPr id="67" name="image48.png"/>
            <a:graphic>
              <a:graphicData uri="http://schemas.openxmlformats.org/drawingml/2006/picture">
                <pic:pic>
                  <pic:nvPicPr>
                    <pic:cNvPr id="0" name="image48.png"/>
                    <pic:cNvPicPr preferRelativeResize="0"/>
                  </pic:nvPicPr>
                  <pic:blipFill>
                    <a:blip r:embed="rId68"/>
                    <a:srcRect b="0" l="0" r="0" t="0"/>
                    <a:stretch>
                      <a:fillRect/>
                    </a:stretch>
                  </pic:blipFill>
                  <pic:spPr>
                    <a:xfrm>
                      <a:off x="0" y="0"/>
                      <a:ext cx="38671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endeks 2001 krizinde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68" name="image58.png"/>
            <a:graphic>
              <a:graphicData uri="http://schemas.openxmlformats.org/drawingml/2006/picture">
                <pic:pic>
                  <pic:nvPicPr>
                    <pic:cNvPr id="0" name="image58.png"/>
                    <pic:cNvPicPr preferRelativeResize="0"/>
                  </pic:nvPicPr>
                  <pic:blipFill>
                    <a:blip r:embed="rId69"/>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2021-2022 krizinde ise </w:t>
      </w:r>
      <w:r w:rsidDel="00000000" w:rsidR="00000000" w:rsidRPr="00000000">
        <w:rPr>
          <w:rFonts w:ascii="Google Sans" w:cs="Google Sans" w:eastAsia="Google Sans" w:hAnsi="Google Sans"/>
          <w:color w:val="1f1f1f"/>
        </w:rPr>
        <w:drawing>
          <wp:inline distB="19050" distT="19050" distL="19050" distR="19050">
            <wp:extent cx="936278" cy="238846"/>
            <wp:effectExtent b="0" l="0" r="0" t="0"/>
            <wp:docPr id="69" name="image51.png"/>
            <a:graphic>
              <a:graphicData uri="http://schemas.openxmlformats.org/drawingml/2006/picture">
                <pic:pic>
                  <pic:nvPicPr>
                    <pic:cNvPr id="0" name="image51.png"/>
                    <pic:cNvPicPr preferRelativeResize="0"/>
                  </pic:nvPicPr>
                  <pic:blipFill>
                    <a:blip r:embed="rId70"/>
                    <a:srcRect b="0" l="0" r="0" t="0"/>
                    <a:stretch>
                      <a:fillRect/>
                    </a:stretch>
                  </pic:blipFill>
                  <pic:spPr>
                    <a:xfrm>
                      <a:off x="0" y="0"/>
                      <a:ext cx="936278" cy="23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seviyelerine ulaşmıştır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Eric Hoffer'ın kuramına göre, bireysel iktisadi geleceğini kaybeden kitleler rasyonel çözümlerden kaçarak talebin fiyat esnekliğini sıfırlamakta (</w:t>
      </w:r>
      <w:r w:rsidDel="00000000" w:rsidR="00000000" w:rsidRPr="00000000">
        <w:rPr>
          <w:rFonts w:ascii="Google Sans" w:cs="Google Sans" w:eastAsia="Google Sans" w:hAnsi="Google Sans"/>
          <w:color w:val="1f1f1f"/>
        </w:rPr>
        <w:drawing>
          <wp:inline distB="19050" distT="19050" distL="19050" distR="19050">
            <wp:extent cx="628353" cy="247533"/>
            <wp:effectExtent b="0" l="0" r="0" t="0"/>
            <wp:docPr id="70"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628353" cy="247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spekülatif enstrümanlara, ponzi şemalarına ve fanatik kolektif hareketlere sığınmaktadır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Kriz tepe noktasına vardığında René Girard'ın mimetik kurban mekanizması işletilmekte; yapısal parasal genişlemenin sorumluluğu gizlenerek aracılar, stokçular ve perakendeciler hedef gösterilmek suretiyle kitlelerin öfkesi sistemik günah keçilerine yönlendirilmektedir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Kognitif Sermaye Tabanı, PISA Kritik Akıl Havuzu ve 30 Yıllık Kuşak Projeksiyonları</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Ekonomik ve teknolojik sürdürülebilirlik, bir toplumun analitik düşünce kapasitesi ve kognitif sermaye havuzuyla doğrudan ilişkilidir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Türkiye'nin bütçe tahsisleri incelendiğinde, kaynakların katma değer üreten negentropik Ar-Ge kanalları ile mevcut dogmatik yapıları besleyen entropik harcamalar arasındaki dağılımında derin bir sürtünme gözlenmektedir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Cumhurbaşkanlığı Strateji ve Bütçe Başkanlığı verilerine göre, 2026 yılında Diyanet İşleri Başkanlığı bütçesi </w:t>
      </w:r>
      <w:r w:rsidDel="00000000" w:rsidR="00000000" w:rsidRPr="00000000">
        <w:rPr>
          <w:rFonts w:ascii="Google Sans" w:cs="Google Sans" w:eastAsia="Google Sans" w:hAnsi="Google Sans"/>
          <w:color w:val="1f1f1f"/>
        </w:rPr>
        <w:drawing>
          <wp:inline distB="19050" distT="19050" distL="19050" distR="19050">
            <wp:extent cx="1418777" cy="238050"/>
            <wp:effectExtent b="0" l="0" r="0" t="0"/>
            <wp:docPr id="71"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1418777" cy="238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seviyesine ulaşırken; TÜBİTAK, Sanayi Bakanlığı doğrudan destekleri ve üniversite bilimsel araştırma projelerinin (BAP) toplamı </w:t>
      </w:r>
      <w:r w:rsidDel="00000000" w:rsidR="00000000" w:rsidRPr="00000000">
        <w:rPr>
          <w:rFonts w:ascii="Google Sans" w:cs="Google Sans" w:eastAsia="Google Sans" w:hAnsi="Google Sans"/>
          <w:color w:val="1f1f1f"/>
        </w:rPr>
        <w:drawing>
          <wp:inline distB="19050" distT="19050" distL="19050" distR="19050">
            <wp:extent cx="1418777" cy="238050"/>
            <wp:effectExtent b="0" l="0" r="0" t="0"/>
            <wp:docPr id="72"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1418777" cy="2380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düzeyinde kalmıştır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 durum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73" name="image57.png"/>
            <a:graphic>
              <a:graphicData uri="http://schemas.openxmlformats.org/drawingml/2006/picture">
                <pic:pic>
                  <pic:nvPicPr>
                    <pic:cNvPr id="0" name="image57.png"/>
                    <pic:cNvPicPr preferRelativeResize="0"/>
                  </pic:nvPicPr>
                  <pic:blipFill>
                    <a:blip r:embed="rId73"/>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seviyesinde bir bütçe sürtünmesine işaret etmektedir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OECD PISA (2003–2022) sonuçları, ülkenin analitik düşünce kapasitesindeki yapısal tıkanıklığı ortaya koymaktadır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Karmaşık algoritmaları kurabilen ve hipotez test edebilen Seviye 5 ve 6 kritik akıl havuzunun payı son yirmi yıldır </w:t>
      </w:r>
      <w:r w:rsidDel="00000000" w:rsidR="00000000" w:rsidRPr="00000000">
        <w:rPr>
          <w:rFonts w:ascii="Google Sans" w:cs="Google Sans" w:eastAsia="Google Sans" w:hAnsi="Google Sans"/>
          <w:color w:val="1f1f1f"/>
        </w:rPr>
        <w:drawing>
          <wp:inline distB="19050" distT="19050" distL="19050" distR="19050">
            <wp:extent cx="413742" cy="240548"/>
            <wp:effectExtent b="0" l="0" r="0" t="0"/>
            <wp:docPr id="74" name="image61.png"/>
            <a:graphic>
              <a:graphicData uri="http://schemas.openxmlformats.org/drawingml/2006/picture">
                <pic:pic>
                  <pic:nvPicPr>
                    <pic:cNvPr id="0" name="image61.png"/>
                    <pic:cNvPicPr preferRelativeResize="0"/>
                  </pic:nvPicPr>
                  <pic:blipFill>
                    <a:blip r:embed="rId74"/>
                    <a:srcRect b="0" l="0" r="0" t="0"/>
                    <a:stretch>
                      <a:fillRect/>
                    </a:stretch>
                  </pic:blipFill>
                  <pic:spPr>
                    <a:xfrm>
                      <a:off x="0" y="0"/>
                      <a:ext cx="413742" cy="2405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ile </w:t>
      </w:r>
      <w:r w:rsidDel="00000000" w:rsidR="00000000" w:rsidRPr="00000000">
        <w:rPr>
          <w:rFonts w:ascii="Google Sans" w:cs="Google Sans" w:eastAsia="Google Sans" w:hAnsi="Google Sans"/>
          <w:b w:val="1"/>
          <w:bCs w:val="1"/>
          <w:color w:val="1f1f1f"/>
        </w:rPr>
        <w:drawing>
          <wp:inline distB="19050" distT="19050" distL="19050" distR="19050">
            <wp:extent cx="413742" cy="240548"/>
            <wp:effectExtent b="0" l="0" r="0" t="0"/>
            <wp:docPr id="64" name="image62.png"/>
            <a:graphic>
              <a:graphicData uri="http://schemas.openxmlformats.org/drawingml/2006/picture">
                <pic:pic>
                  <pic:nvPicPr>
                    <pic:cNvPr id="0" name="image62.png"/>
                    <pic:cNvPicPr preferRelativeResize="0"/>
                  </pic:nvPicPr>
                  <pic:blipFill>
                    <a:blip r:embed="rId75"/>
                    <a:srcRect b="0" l="0" r="0" t="0"/>
                    <a:stretch>
                      <a:fillRect/>
                    </a:stretch>
                  </pic:blipFill>
                  <pic:spPr>
                    <a:xfrm>
                      <a:off x="0" y="0"/>
                      <a:ext cx="413742" cy="240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aralığına hapsolmuştur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Buna karşılık okuduğu temel metinden neden-sonuç çıkarımı yapamayan Seviye 1 altı fonksiyonel cehalet oranı </w:t>
      </w:r>
      <w:r w:rsidDel="00000000" w:rsidR="00000000" w:rsidRPr="00000000">
        <w:rPr>
          <w:rFonts w:ascii="Google Sans" w:cs="Google Sans" w:eastAsia="Google Sans" w:hAnsi="Google Sans"/>
          <w:color w:val="1f1f1f"/>
        </w:rPr>
        <w:drawing>
          <wp:inline distB="19050" distT="19050" distL="19050" distR="19050">
            <wp:extent cx="511672" cy="236885"/>
            <wp:effectExtent b="0" l="0" r="0" t="0"/>
            <wp:docPr id="65" name="image63.png"/>
            <a:graphic>
              <a:graphicData uri="http://schemas.openxmlformats.org/drawingml/2006/picture">
                <pic:pic>
                  <pic:nvPicPr>
                    <pic:cNvPr id="0" name="image63.png"/>
                    <pic:cNvPicPr preferRelativeResize="0"/>
                  </pic:nvPicPr>
                  <pic:blipFill>
                    <a:blip r:embed="rId76"/>
                    <a:srcRect b="0" l="0" r="0" t="0"/>
                    <a:stretch>
                      <a:fillRect/>
                    </a:stretch>
                  </pic:blipFill>
                  <pic:spPr>
                    <a:xfrm>
                      <a:off x="0" y="0"/>
                      <a:ext cx="511672"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seviyesindedir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 zihinsel altyapı doğrudan reel sınai çıktılara yansımaktadır: TÜRKPATENT nezdindeki yerli başvuru sayısı </w:t>
      </w:r>
      <w:r w:rsidDel="00000000" w:rsidR="00000000" w:rsidRPr="00000000">
        <w:rPr>
          <w:rFonts w:ascii="Google Sans" w:cs="Google Sans" w:eastAsia="Google Sans" w:hAnsi="Google Sans"/>
          <w:color w:val="1f1f1f"/>
        </w:rPr>
        <w:drawing>
          <wp:inline distB="19050" distT="19050" distL="19050" distR="19050">
            <wp:extent cx="544413" cy="238778"/>
            <wp:effectExtent b="0" l="0" r="0" t="0"/>
            <wp:docPr id="66" name="image60.png"/>
            <a:graphic>
              <a:graphicData uri="http://schemas.openxmlformats.org/drawingml/2006/picture">
                <pic:pic>
                  <pic:nvPicPr>
                    <pic:cNvPr id="0" name="image60.png"/>
                    <pic:cNvPicPr preferRelativeResize="0"/>
                  </pic:nvPicPr>
                  <pic:blipFill>
                    <a:blip r:embed="rId77"/>
                    <a:srcRect b="0" l="0" r="0" t="0"/>
                    <a:stretch>
                      <a:fillRect/>
                    </a:stretch>
                  </pic:blipFill>
                  <pic:spPr>
                    <a:xfrm>
                      <a:off x="0" y="0"/>
                      <a:ext cx="544413" cy="238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'i aşmış görünse de, Dünya Fikri Mülkiyet Örgütü (WIPO) bünyesinde tescillenen uluslararası PCT patent sayısı yıllık yalnızca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57" name="image89.png"/>
            <a:graphic>
              <a:graphicData uri="http://schemas.openxmlformats.org/drawingml/2006/picture">
                <pic:pic>
                  <pic:nvPicPr>
                    <pic:cNvPr id="0" name="image89.png"/>
                    <pic:cNvPicPr preferRelativeResize="0"/>
                  </pic:nvPicPr>
                  <pic:blipFill>
                    <a:blip r:embed="rId78"/>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adettir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Başvuruların yalnızca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58" name="image42.png"/>
            <a:graphic>
              <a:graphicData uri="http://schemas.openxmlformats.org/drawingml/2006/picture">
                <pic:pic>
                  <pic:nvPicPr>
                    <pic:cNvPr id="0" name="image42.png"/>
                    <pic:cNvPicPr preferRelativeResize="0"/>
                  </pic:nvPicPr>
                  <pic:blipFill>
                    <a:blip r:embed="rId79"/>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'unun küresel tescil değeri taşıması ve imalat sanayi ihracatı içinde yüksek teknolojili ürün payının </w:t>
      </w:r>
      <w:r w:rsidDel="00000000" w:rsidR="00000000" w:rsidRPr="00000000">
        <w:rPr>
          <w:rFonts w:ascii="Google Sans" w:cs="Google Sans" w:eastAsia="Google Sans" w:hAnsi="Google Sans"/>
          <w:color w:val="1f1f1f"/>
        </w:rPr>
        <w:drawing>
          <wp:inline distB="19050" distT="19050" distL="19050" distR="19050">
            <wp:extent cx="413742" cy="240548"/>
            <wp:effectExtent b="0" l="0" r="0" t="0"/>
            <wp:docPr id="59"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413742" cy="240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düzeyinde donması, ülkenin klasik bir orta gelir tuzağının ötesinde "orta zekâ ve kul benliği tuzağı" içinde sıkıştığını belgelemektedir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Temel eğitimde uygulanan müfredat kalitesinin otuz yıl sonraki karar alıcı profili belirlediğini öngören 30 Yıllık Gecikme Yasası gereğince kurgulanan 2026-2055 projeksiyon simülasyonu üç temel senaryoyu modellemektedir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Senaryo Parametresi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Statüko (Dogmatik Atalet)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 Sokratik Bilim Reformu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 Kognitif Gerileme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PISA Seviye 5-6 Hedefi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Ar-Ge / Din Hizmetleri Bütçe Oranı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2019" cy="211400"/>
                  <wp:effectExtent b="0" l="0" r="0" t="0"/>
                  <wp:docPr id="60" name="image53.png"/>
                  <a:graphic>
                    <a:graphicData uri="http://schemas.openxmlformats.org/drawingml/2006/picture">
                      <pic:pic>
                        <pic:nvPicPr>
                          <pic:cNvPr id="0" name="image53.png"/>
                          <pic:cNvPicPr preferRelativeResize="0"/>
                        </pic:nvPicPr>
                        <pic:blipFill>
                          <a:blip r:embed="rId81"/>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(Din &gt; 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2019" cy="211400"/>
                  <wp:effectExtent b="0" l="0" r="0" t="0"/>
                  <wp:docPr id="61"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(Ar-Ge &gt; Din)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42019" cy="211400"/>
                  <wp:effectExtent b="0" l="0" r="0" t="0"/>
                  <wp:docPr id="62" name="image59.png"/>
                  <a:graphic>
                    <a:graphicData uri="http://schemas.openxmlformats.org/drawingml/2006/picture">
                      <pic:pic>
                        <pic:nvPicPr>
                          <pic:cNvPr id="0" name="image59.png"/>
                          <pic:cNvPicPr preferRelativeResize="0"/>
                        </pic:nvPicPr>
                        <pic:blipFill>
                          <a:blip r:embed="rId83"/>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(Din &gt;&gt; Ar-Ge)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2055 WIPO PCT Uluslararası Patent Hacmi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~3,100 adet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~11,500 adet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 adet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2055 İhracatta Yüksek Teknoloji Payı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Öngörülen Sosyo-Ekonomik Sonuç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Fason üretim, orta teknoloji montaj sanayii, artan beyin göçü</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katma değerli çip ve yazılım ihracatı, tersine beyin göçü</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Beşeri sermayenin tasfiyesi, teknolojik dışa bağımlılık ve yoksulluk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Büyük Birleşik 7-Kademeli Erken Uyarı Sistemi ve Stoa Devre Kesici Protokolü</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Ekonomik ve sosyo-politik krizler aniden patlak vermemekte; dışsal enerji şoklarından başlayarak biyolojik amigdala kilitlenmesine kadar uzanan yedi ardışık faz (</w:t>
      </w:r>
      <w:r w:rsidDel="00000000" w:rsidR="00000000" w:rsidRPr="00000000">
        <w:rPr>
          <w:rFonts w:ascii="Google Sans" w:cs="Google Sans" w:eastAsia="Google Sans" w:hAnsi="Google Sans"/>
          <w:color w:val="1f1f1f"/>
        </w:rPr>
        <w:drawing>
          <wp:inline distB="19050" distT="19050" distL="19050" distR="19050">
            <wp:extent cx="663030" cy="246268"/>
            <wp:effectExtent b="0" l="0" r="0" t="0"/>
            <wp:docPr id="63" name="image87.png"/>
            <a:graphic>
              <a:graphicData uri="http://schemas.openxmlformats.org/drawingml/2006/picture">
                <pic:pic>
                  <pic:nvPicPr>
                    <pic:cNvPr id="0" name="image87.png"/>
                    <pic:cNvPicPr preferRelativeResize="0"/>
                  </pic:nvPicPr>
                  <pic:blipFill>
                    <a:blip r:embed="rId84"/>
                    <a:srcRect b="0" l="0" r="0" t="0"/>
                    <a:stretch>
                      <a:fillRect/>
                    </a:stretch>
                  </pic:blipFill>
                  <pic:spPr>
                    <a:xfrm>
                      <a:off x="0" y="0"/>
                      <a:ext cx="663030" cy="246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üzerinden gelişmektedir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Kriz Faz Seviyesi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Kriz Niteliği ve Temel Tetikleyici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Ölçüm Göstergesi ve Kritik Eşik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Türkiye Tarihsel Deneyimi ve Güncel Durum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Derecesi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 (Dışsal Şok / Yer Değiştirme)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Emtia şoku, jeopolitik boğaz kapanması, küresel faiz artışları</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Brent Petrol &gt; $100 veya DXY endeksinde ani sıçrama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Yaşandı (Küresel enflasyon ve enerji baskıları)</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 / İzleme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L2 (Kredi ve Para Genişlemesi)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Gevşek para politikası, kredi teşvikleri, aşırı emisyon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Kredi büyümesi yıllık &gt; %40, </w:t>
            </w:r>
            <w:r w:rsidDel="00000000" w:rsidR="00000000" w:rsidRPr="00000000">
              <w:rPr>
                <w:rFonts w:ascii="Google Sans" w:cs="Google Sans" w:eastAsia="Google Sans" w:hAnsi="Google Sans"/>
                <w:color w:val="1f1f1f"/>
              </w:rPr>
              <w:drawing>
                <wp:inline distB="19050" distT="19050" distL="19050" distR="19050">
                  <wp:extent cx="913209" cy="218790"/>
                  <wp:effectExtent b="0" l="0" r="0" t="0"/>
                  <wp:docPr id="53" name="image46.png"/>
                  <a:graphic>
                    <a:graphicData uri="http://schemas.openxmlformats.org/drawingml/2006/picture">
                      <pic:pic>
                        <pic:nvPicPr>
                          <pic:cNvPr id="0" name="image46.png"/>
                          <pic:cNvPicPr preferRelativeResize="0"/>
                        </pic:nvPicPr>
                        <pic:blipFill>
                          <a:blip r:embed="rId85"/>
                          <a:srcRect b="0" l="0" r="0" t="0"/>
                          <a:stretch>
                            <a:fillRect/>
                          </a:stretch>
                        </pic:blipFill>
                        <pic:spPr>
                          <a:xfrm>
                            <a:off x="0" y="0"/>
                            <a:ext cx="913209" cy="218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hızlı artışı</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Gözlemlendi (2020-2023 arası rekor kredi genişlemesi)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L3 (Öfori ve Biyo-Kognitif Körlük)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Testosteron kibri, varlık balonları, "bu sefer farklı" yanılsaması</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 volatilitesi &lt; %10 (yapay sakinlik), aşırı kaldıraç</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2021'de yaşandı; 2025-2026'da düşük oynaklıkla izleniyor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İzleme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L4 (Kritik Eşik / Soddy Makası)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Sanal servetin reel fiziksel rezervlerden kopması</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Soddy Makası (</w:t>
            </w:r>
            <w:r w:rsidDel="00000000" w:rsidR="00000000" w:rsidRPr="00000000">
              <w:rPr>
                <w:rFonts w:ascii="Google Sans" w:cs="Google Sans" w:eastAsia="Google Sans" w:hAnsi="Google Sans"/>
                <w:color w:val="1f1f1f"/>
              </w:rPr>
              <w:drawing>
                <wp:inline distB="19050" distT="19050" distL="19050" distR="19050">
                  <wp:extent cx="838051" cy="247606"/>
                  <wp:effectExtent b="0" l="0" r="0" t="0"/>
                  <wp:docPr id="54"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838051" cy="247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&gt;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55" name="image44.png"/>
                  <a:graphic>
                    <a:graphicData uri="http://schemas.openxmlformats.org/drawingml/2006/picture">
                      <pic:pic>
                        <pic:nvPicPr>
                          <pic:cNvPr id="0" name="image44.png"/>
                          <pic:cNvPicPr preferRelativeResize="0"/>
                        </pic:nvPicPr>
                        <pic:blipFill>
                          <a:blip r:embed="rId86"/>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Toplam Faktör Verimliliği &lt; 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2023-06'da </w:t>
            </w:r>
            <w:r w:rsidDel="00000000" w:rsidR="00000000" w:rsidRPr="00000000">
              <w:rPr>
                <w:rFonts w:ascii="Google Sans" w:cs="Google Sans" w:eastAsia="Google Sans" w:hAnsi="Google Sans"/>
                <w:color w:val="1f1f1f"/>
              </w:rPr>
              <w:drawing>
                <wp:inline distB="19050" distT="19050" distL="19050" distR="19050">
                  <wp:extent cx="614809" cy="208089"/>
                  <wp:effectExtent b="0" l="0" r="0" t="0"/>
                  <wp:docPr id="56"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614809" cy="208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rekor kırdı; şu an </w:t>
            </w:r>
            <w:r w:rsidDel="00000000" w:rsidR="00000000" w:rsidRPr="00000000">
              <w:rPr>
                <w:rFonts w:ascii="Google Sans" w:cs="Google Sans" w:eastAsia="Google Sans" w:hAnsi="Google Sans"/>
                <w:color w:val="1f1f1f"/>
              </w:rPr>
              <w:drawing>
                <wp:inline distB="19050" distT="19050" distL="19050" distR="19050">
                  <wp:extent cx="442019" cy="211400"/>
                  <wp:effectExtent b="0" l="0" r="0" t="0"/>
                  <wp:docPr id="93" name="image90.png"/>
                  <a:graphic>
                    <a:graphicData uri="http://schemas.openxmlformats.org/drawingml/2006/picture">
                      <pic:pic>
                        <pic:nvPicPr>
                          <pic:cNvPr id="0" name="image90.png"/>
                          <pic:cNvPicPr preferRelativeResize="0"/>
                        </pic:nvPicPr>
                        <pic:blipFill>
                          <a:blip r:embed="rId56"/>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Kritik Eşik Kontrolü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L5 (Sıkılaşma ve Likidite Sıkışması)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Dış borç çevrim baskısı, döviz rezervi erimesi, sert faiz artışları</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Kısa Vadeli Borç / Rezerv &gt; %150, reel faiz artışı</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Aktif Yönetilen Faz</w:t>
            </w:r>
            <w:r w:rsidDel="00000000" w:rsidR="00000000" w:rsidRPr="00000000">
              <w:rPr>
                <w:rFonts w:ascii="Google Sans" w:cs="Google Sans" w:eastAsia="Google Sans" w:hAnsi="Google Sans"/>
                <w:color w:val="1f1f1f"/>
                <w:rtl w:val="0"/>
              </w:rPr>
              <w:t xml:space="preserve"> (TCMB rezerv tahkimi ve sıkılaşma)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Yönetilen Faz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L6 (Panik ve Kortizol Kilidi)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Amigdala kilitlenmesi, kur patlaması, banka hücumu riski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30-günlük kur volatilitesi &gt; %60, CDS primi &gt; 600 bp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2001 (%133.5), 2018 (%66.8), 2021 (%97.7); mevcut CDS &lt; 270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Sistemik Kırılma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L7 (Revülsiyon ve Asabiyye Çöküşü)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Toplumsal sözleşmenin çözülmesi, mimetik kurbanlama, iflas dalgası</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Stres &gt; 50, WGI Asabiyye &lt; -0.4, Tainter çöküşü</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2022'de Moral Stres 51.33 ile teğet geçildi; enformel ağlarla aşıldı</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Katastrof Eşiği</w:t>
            </w:r>
          </w:p>
        </w:tc>
      </w:tr>
    </w:tbl>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Erken uyarı mimarisinin yürütücü algoritmasını Stoa Devre Kesici Protokolü oluşturmaktadır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Canlı makroekonomik ve piyasa veri akışı sistem tarafından sürekli taranır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Soddy Sanal Servet Makası (</w:t>
      </w:r>
      <w:r w:rsidDel="00000000" w:rsidR="00000000" w:rsidRPr="00000000">
        <w:rPr>
          <w:rFonts w:ascii="Google Sans" w:cs="Google Sans" w:eastAsia="Google Sans" w:hAnsi="Google Sans"/>
          <w:color w:val="1f1f1f"/>
        </w:rPr>
        <w:drawing>
          <wp:inline distB="19050" distT="19050" distL="19050" distR="19050">
            <wp:extent cx="838051" cy="247606"/>
            <wp:effectExtent b="0" l="0" r="0" t="0"/>
            <wp:docPr id="95"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838051" cy="247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97" name="image44.png"/>
            <a:graphic>
              <a:graphicData uri="http://schemas.openxmlformats.org/drawingml/2006/picture">
                <pic:pic>
                  <pic:nvPicPr>
                    <pic:cNvPr id="0" name="image44.png"/>
                    <pic:cNvPicPr preferRelativeResize="0"/>
                  </pic:nvPicPr>
                  <pic:blipFill>
                    <a:blip r:embed="rId86"/>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eşiğini aştığı anda sistem otomatik olarak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99" name="image82.png"/>
            <a:graphic>
              <a:graphicData uri="http://schemas.openxmlformats.org/drawingml/2006/picture">
                <pic:pic>
                  <pic:nvPicPr>
                    <pic:cNvPr id="0" name="image82.png"/>
                    <pic:cNvPicPr preferRelativeResize="0"/>
                  </pic:nvPicPr>
                  <pic:blipFill>
                    <a:blip r:embed="rId87"/>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Kırmızı Alarm durumuna geçer ve parasal genişlemeyi durdurucu mekanizmaları tetikler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Şayet 30 günlük kur volatilitesi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01"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eşiğini aşarsa, kitlelerde ve karar alıcılarda amigdala kilitlenmesi başladığı kabul edilerek Stoa Devre Kesici devreye girer; likidite kilitlenir, spekülatif kaldıraçlar kapatılır ve otomatik soğutma prosedürleri uygulanır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Scott Moral Ekonomi Stres Endeksi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04" name="image78.png"/>
            <a:graphic>
              <a:graphicData uri="http://schemas.openxmlformats.org/drawingml/2006/picture">
                <pic:pic>
                  <pic:nvPicPr>
                    <pic:cNvPr id="0" name="image78.png"/>
                    <pic:cNvPicPr preferRelativeResize="0"/>
                  </pic:nvPicPr>
                  <pic:blipFill>
                    <a:blip r:embed="rId88"/>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puanın üzerine çıktığında sistem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18"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Asabiyye ve Sosyal Kırılma Alarmı vererek gıda ve barınma transferlerini devreye sokar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Tüm bu göstergeler eşiklerin altında seyrettiğinde ise ekonomi, rezerv birikiminin ve parasal disiplinin korunduğu </w:t>
      </w:r>
      <w:r w:rsidDel="00000000" w:rsidR="00000000" w:rsidRPr="00000000">
        <w:rPr>
          <w:rFonts w:ascii="Google Sans" w:cs="Google Sans" w:eastAsia="Google Sans" w:hAnsi="Google Sans"/>
          <w:color w:val="1f1f1f"/>
        </w:rPr>
        <w:drawing>
          <wp:inline distB="19050" distT="19050" distL="19050" distR="19050">
            <wp:extent cx="211783" cy="250289"/>
            <wp:effectExtent b="0" l="0" r="0" t="0"/>
            <wp:docPr id="17" name="image7.png"/>
            <a:graphic>
              <a:graphicData uri="http://schemas.openxmlformats.org/drawingml/2006/picture">
                <pic:pic>
                  <pic:nvPicPr>
                    <pic:cNvPr id="0" name="image7.png"/>
                    <pic:cNvPicPr preferRelativeResize="0"/>
                  </pic:nvPicPr>
                  <pic:blipFill>
                    <a:blip r:embed="rId90"/>
                    <a:srcRect b="0" l="0" r="0" t="0"/>
                    <a:stretch>
                      <a:fillRect/>
                    </a:stretch>
                  </pic:blipFill>
                  <pic:spPr>
                    <a:xfrm>
                      <a:off x="0" y="0"/>
                      <a:ext cx="211783" cy="25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Güvenli Denge Modunda faaliyet gösterir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Sistemik Kırılganlıkları Gidermeye Yönelik Stratejik Politika ve Risk Yönetimi Tavsiyeleri</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Ulaşılan ampirik ve kuramsal bulgular, Türkiye'nin ve benzer gelişmekte olan piyasaların kriz dinamiklerini aşabilmesi için bütüncül, disiplinlerarası ve kurala dayalı bir kurumsal reform mimarisini zorunlu kılmaktadır:</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Makro-finansal mimaride Soddy Sanal Servet Makasının yeniden tehlikeli boyutlara ulaşmasını engellemek amacıyla anayasal ve yasal çerçeveye Soddy Makası Tavan Kuralı entegre edilmelidir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M2 para arzının net uluslararası rezervlere oranı (</w:t>
      </w:r>
      <w:r w:rsidDel="00000000" w:rsidR="00000000" w:rsidRPr="00000000">
        <w:rPr>
          <w:rFonts w:ascii="Google Sans" w:cs="Google Sans" w:eastAsia="Google Sans" w:hAnsi="Google Sans"/>
          <w:color w:val="1f1f1f"/>
        </w:rPr>
        <w:drawing>
          <wp:inline distB="19050" distT="19050" distL="19050" distR="19050">
            <wp:extent cx="838051" cy="247606"/>
            <wp:effectExtent b="0" l="0" r="0" t="0"/>
            <wp:docPr id="21"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838051" cy="247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yasal olarak azami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19" name="image4.png"/>
            <a:graphic>
              <a:graphicData uri="http://schemas.openxmlformats.org/drawingml/2006/picture">
                <pic:pic>
                  <pic:nvPicPr>
                    <pic:cNvPr id="0" name="image4.png"/>
                    <pic:cNvPicPr preferRelativeResize="0"/>
                  </pic:nvPicPr>
                  <pic:blipFill>
                    <a:blip r:embed="rId91"/>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seviyesiyle sınırlandırılmalı, bu oran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14" name="image11.png"/>
            <a:graphic>
              <a:graphicData uri="http://schemas.openxmlformats.org/drawingml/2006/picture">
                <pic:pic>
                  <pic:nvPicPr>
                    <pic:cNvPr id="0" name="image11.png"/>
                    <pic:cNvPicPr preferRelativeResize="0"/>
                  </pic:nvPicPr>
                  <pic:blipFill>
                    <a:blip r:embed="rId92"/>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eşiğine ulaştığında otomatik kredi kısıtlamaları ve zorunlu karşılık artışları devreye girmelidir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TCMB'nin bağımsızlığı adli ve anayasal güvenceye kavuşturulmalı; keyfi faiz indirimleriyle negatif reel faiz yaratılması kesin kurallarla yasaklanmalıdır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Bilanço şeffaflığı kapsamında swap benzeri emanet döviz işlemleri tasfiye edilmeli, rezerv kalitesi altın ve doğrudan döviz varlıklarıyla güçlendirilmelidir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Eko-fiziksel planlama boyutunda ulusal hesap sistemleri yalnızca nominal GSYİH verilerini takip eden klasik körlükten kurtarılmalı, Net Enerji ve Emerji Bilanço Cetvelleri zorunlu kılınmalıdır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Tüketilen yenilenemeyen hidrokarbon kaynaklarının ve yaratılan çevre tahribatının yarattığı termodinamik amortisman, Marjinal Sosyal Maliyet (</w:t>
      </w:r>
      <w:r w:rsidDel="00000000" w:rsidR="00000000" w:rsidRPr="00000000">
        <w:rPr>
          <w:rFonts w:ascii="Google Sans" w:cs="Google Sans" w:eastAsia="Google Sans" w:hAnsi="Google Sans"/>
          <w:color w:val="1f1f1f"/>
        </w:rPr>
        <w:drawing>
          <wp:inline distB="19050" distT="19050" distL="19050" distR="19050">
            <wp:extent cx="464344" cy="246386"/>
            <wp:effectExtent b="0" l="0" r="0" t="0"/>
            <wp:docPr id="13" name="image14.png"/>
            <a:graphic>
              <a:graphicData uri="http://schemas.openxmlformats.org/drawingml/2006/picture">
                <pic:pic>
                  <pic:nvPicPr>
                    <pic:cNvPr id="0" name="image14.png"/>
                    <pic:cNvPicPr preferRelativeResize="0"/>
                  </pic:nvPicPr>
                  <pic:blipFill>
                    <a:blip r:embed="rId93"/>
                    <a:srcRect b="0" l="0" r="0" t="0"/>
                    <a:stretch>
                      <a:fillRect/>
                    </a:stretch>
                  </pic:blipFill>
                  <pic:spPr>
                    <a:xfrm>
                      <a:off x="0" y="0"/>
                      <a:ext cx="464344" cy="246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denklemlerine dahil edilerek Pigou tipi vergilerle fiyat mekanizmasına yansıtılmalı ve piyasadaki Ölü Kayıp (</w:t>
      </w:r>
      <w:r w:rsidDel="00000000" w:rsidR="00000000" w:rsidRPr="00000000">
        <w:rPr>
          <w:rFonts w:ascii="Google Sans" w:cs="Google Sans" w:eastAsia="Google Sans" w:hAnsi="Google Sans"/>
          <w:color w:val="1f1f1f"/>
        </w:rPr>
        <w:drawing>
          <wp:inline distB="19050" distT="19050" distL="19050" distR="19050">
            <wp:extent cx="513308" cy="247148"/>
            <wp:effectExtent b="0" l="0" r="0" t="0"/>
            <wp:docPr id="16"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513308" cy="247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sıfırlanmalıdır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Küresel </w:t>
      </w:r>
      <w:r w:rsidDel="00000000" w:rsidR="00000000" w:rsidRPr="00000000">
        <w:rPr>
          <w:rFonts w:ascii="Google Sans" w:cs="Google Sans" w:eastAsia="Google Sans" w:hAnsi="Google Sans"/>
          <w:color w:val="1f1f1f"/>
        </w:rPr>
        <w:drawing>
          <wp:inline distB="19050" distT="19050" distL="19050" distR="19050">
            <wp:extent cx="634306" cy="236681"/>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34306" cy="236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düşüşünün getireceği enerji enflasyonuna karşı nükleer güç santralleri ve yüksek verimli jeotermal kaynaklar baz yük olarak hızla devreye alınmalıdır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asabiyyenin ve toplumsal sözleşmenin restorasyonu adına Dünya Bankası WGI Hukukun Üstünlüğü ve Yolsuzluk Kontrolü göstergelerinde negatif bölgeden pozitif bölgeye geçişi sağlayacak yapısal yargı reformları uygulanmalıdır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Yargı bağımsızlığı, liyakat esaslı bürokratik atama ve şeffaf kamu ihale sistemleri kurularak Tainter'ın işaret ettiği bürokratik karmaşıklık maliyetleri azaltılmalıdır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Moral ekonomi tabanını korumak amacıyla serbest piyasa dengesini bozan ve kıtlık üreten tavan/taban fiyat müdahaleleri tamamen terk edilmeli; alt gelir gruplarının asgari geçim güvencesi doğrudan, şeffaf ve nakdi gelir transferleriyle güvenceye alınmalıdır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Kognitif sermaye tabanını güçlendirmek amacıyla kamusal bütçe tahsislerinde 3:1 Bütçe Dengesi Kuralı tesis edilmelidir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Ar-Ge, bilimsel araştırma ve teknolojik geliştirme harcamalarının dini ve dogmatik kurumlara ayrılan bütçeye oranı en az üçe bir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2" name="image9.png"/>
            <a:graphic>
              <a:graphicData uri="http://schemas.openxmlformats.org/drawingml/2006/picture">
                <pic:pic>
                  <pic:nvPicPr>
                    <pic:cNvPr id="0" name="image9.png"/>
                    <pic:cNvPicPr preferRelativeResize="0"/>
                  </pic:nvPicPr>
                  <pic:blipFill>
                    <a:blip r:embed="rId95"/>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seviyesine çıkarılmalıdır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Eğitim müfredatı ezberci ve itaatkâr kalıplardan arındırılarak mantık, felsefe, algoritmik kodlama ve Sokratik sorgulama ilkelerine göre yapılandırılmalı; PISA Seviye 5 ve 6 kritik akıl havuzunun oranını 2035'e kadar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1" name="image5.png"/>
            <a:graphic>
              <a:graphicData uri="http://schemas.openxmlformats.org/drawingml/2006/picture">
                <pic:pic>
                  <pic:nvPicPr>
                    <pic:cNvPr id="0" name="image5.png"/>
                    <pic:cNvPicPr preferRelativeResize="0"/>
                  </pic:nvPicPr>
                  <pic:blipFill>
                    <a:blip r:embed="rId96"/>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'ye çıkarma hedefi stratejik beka doktrini haline getirilmelidir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Üniversite ve enstitü fonlamaları ise doğrudan WIPO PCT uluslararası tescil başarısına endekslenmelidir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Finansal oynaklık ve biyo-kognitif risk yönetimi kapsamında, kur volatilitesinin </w:t>
      </w:r>
      <w:r w:rsidDel="00000000" w:rsidR="00000000" w:rsidRPr="00000000">
        <w:rPr>
          <w:rFonts w:ascii="Google Sans" w:cs="Google Sans" w:eastAsia="Google Sans" w:hAnsi="Google Sans"/>
          <w:color w:val="1f1f1f"/>
        </w:rPr>
        <w:drawing>
          <wp:inline distB="19050" distT="19050" distL="19050" distR="19050">
            <wp:extent cx="261194" cy="241846"/>
            <wp:effectExtent b="0" l="0" r="0" t="0"/>
            <wp:docPr id="79" name="image67.png"/>
            <a:graphic>
              <a:graphicData uri="http://schemas.openxmlformats.org/drawingml/2006/picture">
                <pic:pic>
                  <pic:nvPicPr>
                    <pic:cNvPr id="0" name="image67.png"/>
                    <pic:cNvPicPr preferRelativeResize="0"/>
                  </pic:nvPicPr>
                  <pic:blipFill>
                    <a:blip r:embed="rId97"/>
                    <a:srcRect b="0" l="0" r="0" t="0"/>
                    <a:stretch>
                      <a:fillRect/>
                    </a:stretch>
                  </pic:blipFill>
                  <pic:spPr>
                    <a:xfrm>
                      <a:off x="0" y="0"/>
                      <a:ext cx="261194" cy="24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'ün altına indiği yapay istikrar dönemlerinde piyasa yapıcıların kapıldığı testosteron öforisi ve risk körlüğüne karşı dinamik karşı-döngüsel sermaye tamponları artırılmalıdır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Oynaklığın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75"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'ı aşması durumunda Stoa Devre Kesici Protokolünün tavizsiz uygulanması teminat altına alınmalıdır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Oligopolistik temel sektörlerde firmaların yüksek fiyat/düşük üretim ekseninde kilitlendiği Mahkûmlar İkilemi durumlarını kırmak adına rekabet hukuku işletilmeli, antitröst mekanizmalarıyla piyasa aksaklıkları giderilerek toplumsal refah kaybı minimize edilmelidir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01-ekonomik antropoloji.md</w:t>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01-Küresel Enerji Krizleri ve EROEI Termodinamik Simülasyon Raporu.md</w:t>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02-Küresel Enerji Krizleri ve EROEI Termodinamik Simülasyon Raporu.md</w:t>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02-ekonomik antropoloji.md</w:t>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03-ekonomik antropoloji.md</w:t>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03-T2SAIM_Master_Rapor_Termodinamik_ve_Antropoloji.md</w:t>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00_T2SAIM_GRAND_UNIFIED_EWS_MASTER_REPORT.md</w:t>
      </w:r>
    </w:p>
    <w:p w:rsidR="00000000" w:rsidDel="00000000" w:rsidP="00000000" w:rsidRDefault="00000000" w:rsidRPr="00000000" w14:paraId="000001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04-T2SAIM_Stage2_Antropoloji_ve_Moral_Ekonomi.md</w:t>
      </w:r>
    </w:p>
    <w:p w:rsidR="00000000" w:rsidDel="00000000" w:rsidP="00000000" w:rsidRDefault="00000000" w:rsidRPr="00000000" w14:paraId="000001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05-T2SAIM_Stage3_Biyo_Kognitif_ve_Mimetik_Gerilim.md</w:t>
      </w:r>
    </w:p>
    <w:p w:rsidR="00000000" w:rsidDel="00000000" w:rsidP="00000000" w:rsidRDefault="00000000" w:rsidRPr="00000000" w14:paraId="000001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06_T2SAIM_TURKEY_COGNITIVE_INTELLIGENCE_REPORT.md</w:t>
      </w:r>
    </w:p>
    <w:p>
      <w:pPr>
        <w:pStyle w:val="Heading1"/>
      </w:pPr>
      <w:r>
        <w:t>EK-A: T2SAIM Core-20 Anayasal Veri Ambarı Denetimi</w:t>
      </w:r>
    </w:p>
    <w:p>
      <w:r>
        <w:t>Bu ek, T2SAIM Core-20 ülkeleri için 1996–2026 yılları arasında World Bank, Eurostat ve FRED birincil sunucularından çekilen 5.612 satırlık bitemporal veri setinin Daubert Tier-1 adli kanıt kütüğüdür.</w:t>
      </w:r>
    </w:p>
    <w:tbl>
      <w:tblPr>
        <w:tblW w:type="auto" w:w="0"/>
        <w:tblLook w:firstColumn="1" w:firstRow="1" w:lastColumn="0" w:lastRow="0" w:noHBand="0" w:noVBand="1" w:val="04A0"/>
      </w:tblPr>
      <w:tblGrid>
        <w:gridCol w:w="2340"/>
        <w:gridCol w:w="2340"/>
        <w:gridCol w:w="2340"/>
        <w:gridCol w:w="2340"/>
      </w:tblGrid>
      <w:tr>
        <w:tc>
          <w:tcPr>
            <w:tcW w:type="dxa" w:w="2340"/>
          </w:tcPr>
          <w:p>
            <w:r>
              <w:t>Veri Seti (Dataset)</w:t>
            </w:r>
          </w:p>
        </w:tc>
        <w:tc>
          <w:tcPr>
            <w:tcW w:type="dxa" w:w="2340"/>
          </w:tcPr>
          <w:p>
            <w:r>
              <w:t>Core-20 Satır</w:t>
            </w:r>
          </w:p>
        </w:tc>
        <w:tc>
          <w:tcPr>
            <w:tcW w:type="dxa" w:w="2340"/>
          </w:tcPr>
          <w:p>
            <w:r>
              <w:t>Ülke Kapsamı</w:t>
            </w:r>
          </w:p>
        </w:tc>
        <w:tc>
          <w:tcPr>
            <w:tcW w:type="dxa" w:w="2340"/>
          </w:tcPr>
          <w:p>
            <w:r>
              <w:t>Zaman Aralığı</w:t>
            </w:r>
          </w:p>
        </w:tc>
      </w:tr>
      <w:tr>
        <w:tc>
          <w:tcPr>
            <w:tcW w:type="dxa" w:w="2340"/>
          </w:tcPr>
          <w:p>
            <w:r>
              <w:t>MIG_NET_MIGRATION_canonical_silver.parquet</w:t>
            </w:r>
          </w:p>
        </w:tc>
        <w:tc>
          <w:tcPr>
            <w:tcW w:type="dxa" w:w="2340"/>
          </w:tcPr>
          <w:p>
            <w:r>
              <w:t>600</w:t>
            </w:r>
          </w:p>
        </w:tc>
        <w:tc>
          <w:tcPr>
            <w:tcW w:type="dxa" w:w="2340"/>
          </w:tcPr>
          <w:p>
            <w:r>
              <w:t>20/20</w:t>
            </w:r>
          </w:p>
        </w:tc>
        <w:tc>
          <w:tcPr>
            <w:tcW w:type="dxa" w:w="2340"/>
          </w:tcPr>
          <w:p>
            <w:r>
              <w:t>1996-2025</w:t>
            </w:r>
          </w:p>
        </w:tc>
      </w:tr>
      <w:tr>
        <w:tc>
          <w:tcPr>
            <w:tcW w:type="dxa" w:w="2340"/>
          </w:tcPr>
          <w:p>
            <w:r>
              <w:t>MIG_REMIT_IN_USD_canonical_silver.parquet</w:t>
            </w:r>
          </w:p>
        </w:tc>
        <w:tc>
          <w:tcPr>
            <w:tcW w:type="dxa" w:w="2340"/>
          </w:tcPr>
          <w:p>
            <w:r>
              <w:t>592</w:t>
            </w:r>
          </w:p>
        </w:tc>
        <w:tc>
          <w:tcPr>
            <w:tcW w:type="dxa" w:w="2340"/>
          </w:tcPr>
          <w:p>
            <w:r>
              <w:t>20/20</w:t>
            </w:r>
          </w:p>
        </w:tc>
        <w:tc>
          <w:tcPr>
            <w:tcW w:type="dxa" w:w="2340"/>
          </w:tcPr>
          <w:p>
            <w:r>
              <w:t>1996-2025</w:t>
            </w:r>
          </w:p>
        </w:tc>
      </w:tr>
      <w:tr>
        <w:tc>
          <w:tcPr>
            <w:tcW w:type="dxa" w:w="2340"/>
          </w:tcPr>
          <w:p>
            <w:r>
              <w:t>TUR_ARR_TOTAL_canonical_silver.parquet</w:t>
            </w:r>
          </w:p>
        </w:tc>
        <w:tc>
          <w:tcPr>
            <w:tcW w:type="dxa" w:w="2340"/>
          </w:tcPr>
          <w:p>
            <w:r>
              <w:t>483</w:t>
            </w:r>
          </w:p>
        </w:tc>
        <w:tc>
          <w:tcPr>
            <w:tcW w:type="dxa" w:w="2340"/>
          </w:tcPr>
          <w:p>
            <w:r>
              <w:t>20/20</w:t>
            </w:r>
          </w:p>
        </w:tc>
        <w:tc>
          <w:tcPr>
            <w:tcW w:type="dxa" w:w="2340"/>
          </w:tcPr>
          <w:p>
            <w:r>
              <w:t>1996-2020</w:t>
            </w:r>
          </w:p>
        </w:tc>
      </w:tr>
      <w:tr>
        <w:tc>
          <w:tcPr>
            <w:tcW w:type="dxa" w:w="2340"/>
          </w:tcPr>
          <w:p>
            <w:r>
              <w:t>TUR_RECEIPTS_USD_canonical_silver.parquet</w:t>
            </w:r>
          </w:p>
        </w:tc>
        <w:tc>
          <w:tcPr>
            <w:tcW w:type="dxa" w:w="2340"/>
          </w:tcPr>
          <w:p>
            <w:r>
              <w:t>407</w:t>
            </w:r>
          </w:p>
        </w:tc>
        <w:tc>
          <w:tcPr>
            <w:tcW w:type="dxa" w:w="2340"/>
          </w:tcPr>
          <w:p>
            <w:r>
              <w:t>20/20</w:t>
            </w:r>
          </w:p>
        </w:tc>
        <w:tc>
          <w:tcPr>
            <w:tcW w:type="dxa" w:w="2340"/>
          </w:tcPr>
          <w:p>
            <w:r>
              <w:t>1996-2020</w:t>
            </w:r>
          </w:p>
        </w:tc>
      </w:tr>
      <w:tr>
        <w:tc>
          <w:tcPr>
            <w:tcW w:type="dxa" w:w="2340"/>
          </w:tcPr>
          <w:p>
            <w:r>
              <w:t>GOV_DEBT_GDP_canonical_silver.parquet</w:t>
            </w:r>
          </w:p>
        </w:tc>
        <w:tc>
          <w:tcPr>
            <w:tcW w:type="dxa" w:w="2340"/>
          </w:tcPr>
          <w:p>
            <w:r>
              <w:t>279</w:t>
            </w:r>
          </w:p>
        </w:tc>
        <w:tc>
          <w:tcPr>
            <w:tcW w:type="dxa" w:w="2340"/>
          </w:tcPr>
          <w:p>
            <w:r>
              <w:t>13/20</w:t>
            </w:r>
          </w:p>
        </w:tc>
        <w:tc>
          <w:tcPr>
            <w:tcW w:type="dxa" w:w="2340"/>
          </w:tcPr>
          <w:p>
            <w:r>
              <w:t>1996-2024</w:t>
            </w:r>
          </w:p>
        </w:tc>
      </w:tr>
      <w:tr>
        <w:tc>
          <w:tcPr>
            <w:tcW w:type="dxa" w:w="2340"/>
          </w:tcPr>
          <w:p>
            <w:r>
              <w:t>GOV_EXPENSE_GDP_canonical_silver.parquet</w:t>
            </w:r>
          </w:p>
        </w:tc>
        <w:tc>
          <w:tcPr>
            <w:tcW w:type="dxa" w:w="2340"/>
          </w:tcPr>
          <w:p>
            <w:r>
              <w:t>494</w:t>
            </w:r>
          </w:p>
        </w:tc>
        <w:tc>
          <w:tcPr>
            <w:tcW w:type="dxa" w:w="2340"/>
          </w:tcPr>
          <w:p>
            <w:r>
              <w:t>20/20</w:t>
            </w:r>
          </w:p>
        </w:tc>
        <w:tc>
          <w:tcPr>
            <w:tcW w:type="dxa" w:w="2340"/>
          </w:tcPr>
          <w:p>
            <w:r>
              <w:t>1996-2023</w:t>
            </w:r>
          </w:p>
        </w:tc>
      </w:tr>
      <w:tr>
        <w:tc>
          <w:tcPr>
            <w:tcW w:type="dxa" w:w="2340"/>
          </w:tcPr>
          <w:p>
            <w:r>
              <w:t>TAX_REV_GDP_canonical_silver.parquet</w:t>
            </w:r>
          </w:p>
        </w:tc>
        <w:tc>
          <w:tcPr>
            <w:tcW w:type="dxa" w:w="2340"/>
          </w:tcPr>
          <w:p>
            <w:r>
              <w:t>495</w:t>
            </w:r>
          </w:p>
        </w:tc>
        <w:tc>
          <w:tcPr>
            <w:tcW w:type="dxa" w:w="2340"/>
          </w:tcPr>
          <w:p>
            <w:r>
              <w:t>19/20</w:t>
            </w:r>
          </w:p>
        </w:tc>
        <w:tc>
          <w:tcPr>
            <w:tcW w:type="dxa" w:w="2340"/>
          </w:tcPr>
          <w:p>
            <w:r>
              <w:t>1996-2024</w:t>
            </w:r>
          </w:p>
        </w:tc>
      </w:tr>
      <w:tr>
        <w:tc>
          <w:tcPr>
            <w:tcW w:type="dxa" w:w="2340"/>
          </w:tcPr>
          <w:p>
            <w:r>
              <w:t>EDU_EXPENSE_GOV_ZS_canonical_silver.parquet</w:t>
            </w:r>
          </w:p>
        </w:tc>
        <w:tc>
          <w:tcPr>
            <w:tcW w:type="dxa" w:w="2340"/>
          </w:tcPr>
          <w:p>
            <w:r>
              <w:t>359</w:t>
            </w:r>
          </w:p>
        </w:tc>
        <w:tc>
          <w:tcPr>
            <w:tcW w:type="dxa" w:w="2340"/>
          </w:tcPr>
          <w:p>
            <w:r>
              <w:t>19/20</w:t>
            </w:r>
          </w:p>
        </w:tc>
        <w:tc>
          <w:tcPr>
            <w:tcW w:type="dxa" w:w="2340"/>
          </w:tcPr>
          <w:p>
            <w:r>
              <w:t>1996-2025</w:t>
            </w:r>
          </w:p>
        </w:tc>
      </w:tr>
      <w:tr>
        <w:tc>
          <w:tcPr>
            <w:tcW w:type="dxa" w:w="2340"/>
          </w:tcPr>
          <w:p>
            <w:r>
              <w:t>TRANS_AIR_DEPARTURES_canonical_silver.parquet</w:t>
            </w:r>
          </w:p>
        </w:tc>
        <w:tc>
          <w:tcPr>
            <w:tcW w:type="dxa" w:w="2340"/>
          </w:tcPr>
          <w:p>
            <w:r>
              <w:t>541</w:t>
            </w:r>
          </w:p>
        </w:tc>
        <w:tc>
          <w:tcPr>
            <w:tcW w:type="dxa" w:w="2340"/>
          </w:tcPr>
          <w:p>
            <w:r>
              <w:t>20/20</w:t>
            </w:r>
          </w:p>
        </w:tc>
        <w:tc>
          <w:tcPr>
            <w:tcW w:type="dxa" w:w="2340"/>
          </w:tcPr>
          <w:p>
            <w:r>
              <w:t>1996-2023</w:t>
            </w:r>
          </w:p>
        </w:tc>
      </w:tr>
      <w:tr>
        <w:tc>
          <w:tcPr>
            <w:tcW w:type="dxa" w:w="2340"/>
          </w:tcPr>
          <w:p>
            <w:r>
              <w:t>TRANS_AIR_FREIGHT_canonical_silver.parquet</w:t>
            </w:r>
          </w:p>
        </w:tc>
        <w:tc>
          <w:tcPr>
            <w:tcW w:type="dxa" w:w="2340"/>
          </w:tcPr>
          <w:p>
            <w:r>
              <w:t>541</w:t>
            </w:r>
          </w:p>
        </w:tc>
        <w:tc>
          <w:tcPr>
            <w:tcW w:type="dxa" w:w="2340"/>
          </w:tcPr>
          <w:p>
            <w:r>
              <w:t>20/20</w:t>
            </w:r>
          </w:p>
        </w:tc>
        <w:tc>
          <w:tcPr>
            <w:tcW w:type="dxa" w:w="2340"/>
          </w:tcPr>
          <w:p>
            <w:r>
              <w:t>1996-2023</w:t>
            </w:r>
          </w:p>
        </w:tc>
      </w:tr>
      <w:tr>
        <w:tc>
          <w:tcPr>
            <w:tcW w:type="dxa" w:w="2340"/>
          </w:tcPr>
          <w:p>
            <w:r>
              <w:t>TRANS_AIR_PASSENGER_canonical_silver.parquet</w:t>
            </w:r>
          </w:p>
        </w:tc>
        <w:tc>
          <w:tcPr>
            <w:tcW w:type="dxa" w:w="2340"/>
          </w:tcPr>
          <w:p>
            <w:r>
              <w:t>541</w:t>
            </w:r>
          </w:p>
        </w:tc>
        <w:tc>
          <w:tcPr>
            <w:tcW w:type="dxa" w:w="2340"/>
          </w:tcPr>
          <w:p>
            <w:r>
              <w:t>20/20</w:t>
            </w:r>
          </w:p>
        </w:tc>
        <w:tc>
          <w:tcPr>
            <w:tcW w:type="dxa" w:w="2340"/>
          </w:tcPr>
          <w:p>
            <w:r>
              <w:t>1996-2023</w:t>
            </w:r>
          </w:p>
        </w:tc>
      </w:tr>
      <w:tr>
        <w:tc>
          <w:tcPr>
            <w:tcW w:type="dxa" w:w="2340"/>
          </w:tcPr>
          <w:p>
            <w:r>
              <w:t>TRANS_LPI_INFRA_canonical_silver.parquet</w:t>
            </w:r>
          </w:p>
        </w:tc>
        <w:tc>
          <w:tcPr>
            <w:tcW w:type="dxa" w:w="2340"/>
          </w:tcPr>
          <w:p>
            <w:r>
              <w:t>140</w:t>
            </w:r>
          </w:p>
        </w:tc>
        <w:tc>
          <w:tcPr>
            <w:tcW w:type="dxa" w:w="2340"/>
          </w:tcPr>
          <w:p>
            <w:r>
              <w:t>20/20</w:t>
            </w:r>
          </w:p>
        </w:tc>
        <w:tc>
          <w:tcPr>
            <w:tcW w:type="dxa" w:w="2340"/>
          </w:tcPr>
          <w:p>
            <w:r>
              <w:t>2007-2022</w:t>
            </w:r>
          </w:p>
        </w:tc>
      </w:tr>
      <w:tr>
        <w:tc>
          <w:tcPr>
            <w:tcW w:type="dxa" w:w="2340"/>
          </w:tcPr>
          <w:p>
            <w:r>
              <w:t>TRANS_LPI_LOGS_canonical_silver.parquet</w:t>
            </w:r>
          </w:p>
        </w:tc>
        <w:tc>
          <w:tcPr>
            <w:tcW w:type="dxa" w:w="2340"/>
          </w:tcPr>
          <w:p>
            <w:r>
              <w:t>140</w:t>
            </w:r>
          </w:p>
        </w:tc>
        <w:tc>
          <w:tcPr>
            <w:tcW w:type="dxa" w:w="2340"/>
          </w:tcPr>
          <w:p>
            <w:r>
              <w:t>20/20</w:t>
            </w:r>
          </w:p>
        </w:tc>
        <w:tc>
          <w:tcPr>
            <w:tcW w:type="dxa" w:w="2340"/>
          </w:tcPr>
          <w:p>
            <w:r>
              <w:t>2007-2022</w:t>
            </w:r>
          </w:p>
        </w:tc>
      </w:tr>
    </w:tbl>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6.png"/><Relationship Id="rId41" Type="http://schemas.openxmlformats.org/officeDocument/2006/relationships/image" Target="media/image17.png"/><Relationship Id="rId44" Type="http://schemas.openxmlformats.org/officeDocument/2006/relationships/image" Target="media/image3.png"/><Relationship Id="rId43" Type="http://schemas.openxmlformats.org/officeDocument/2006/relationships/image" Target="media/image8.png"/><Relationship Id="rId46" Type="http://schemas.openxmlformats.org/officeDocument/2006/relationships/image" Target="media/image1.png"/><Relationship Id="rId45" Type="http://schemas.openxmlformats.org/officeDocument/2006/relationships/image" Target="media/image10.png"/><Relationship Id="rId48" Type="http://schemas.openxmlformats.org/officeDocument/2006/relationships/image" Target="media/image13.png"/><Relationship Id="rId47" Type="http://schemas.openxmlformats.org/officeDocument/2006/relationships/image" Target="media/image16.png"/><Relationship Id="rId49" Type="http://schemas.openxmlformats.org/officeDocument/2006/relationships/image" Target="media/image40.png"/><Relationship Id="rId31" Type="http://schemas.openxmlformats.org/officeDocument/2006/relationships/image" Target="media/image15.png"/><Relationship Id="rId30" Type="http://schemas.openxmlformats.org/officeDocument/2006/relationships/image" Target="media/image65.png"/><Relationship Id="rId33" Type="http://schemas.openxmlformats.org/officeDocument/2006/relationships/image" Target="media/image18.png"/><Relationship Id="rId32" Type="http://schemas.openxmlformats.org/officeDocument/2006/relationships/image" Target="media/image23.png"/><Relationship Id="rId35" Type="http://schemas.openxmlformats.org/officeDocument/2006/relationships/image" Target="media/image19.png"/><Relationship Id="rId34" Type="http://schemas.openxmlformats.org/officeDocument/2006/relationships/image" Target="media/image25.png"/><Relationship Id="rId37" Type="http://schemas.openxmlformats.org/officeDocument/2006/relationships/image" Target="media/image27.png"/><Relationship Id="rId36" Type="http://schemas.openxmlformats.org/officeDocument/2006/relationships/image" Target="media/image55.png"/><Relationship Id="rId39" Type="http://schemas.openxmlformats.org/officeDocument/2006/relationships/image" Target="media/image20.png"/><Relationship Id="rId38" Type="http://schemas.openxmlformats.org/officeDocument/2006/relationships/image" Target="media/image49.png"/><Relationship Id="rId20" Type="http://schemas.openxmlformats.org/officeDocument/2006/relationships/image" Target="media/image86.png"/><Relationship Id="rId22" Type="http://schemas.openxmlformats.org/officeDocument/2006/relationships/image" Target="media/image2.png"/><Relationship Id="rId21" Type="http://schemas.openxmlformats.org/officeDocument/2006/relationships/image" Target="media/image92.png"/><Relationship Id="rId24" Type="http://schemas.openxmlformats.org/officeDocument/2006/relationships/image" Target="media/image73.png"/><Relationship Id="rId23" Type="http://schemas.openxmlformats.org/officeDocument/2006/relationships/image" Target="media/image56.png"/><Relationship Id="rId26" Type="http://schemas.openxmlformats.org/officeDocument/2006/relationships/image" Target="media/image74.png"/><Relationship Id="rId25" Type="http://schemas.openxmlformats.org/officeDocument/2006/relationships/image" Target="media/image68.png"/><Relationship Id="rId28" Type="http://schemas.openxmlformats.org/officeDocument/2006/relationships/image" Target="media/image77.png"/><Relationship Id="rId27" Type="http://schemas.openxmlformats.org/officeDocument/2006/relationships/image" Target="media/image81.png"/><Relationship Id="rId29" Type="http://schemas.openxmlformats.org/officeDocument/2006/relationships/image" Target="media/image85.png"/><Relationship Id="rId95" Type="http://schemas.openxmlformats.org/officeDocument/2006/relationships/image" Target="media/image9.png"/><Relationship Id="rId94" Type="http://schemas.openxmlformats.org/officeDocument/2006/relationships/image" Target="media/image66.png"/><Relationship Id="rId97" Type="http://schemas.openxmlformats.org/officeDocument/2006/relationships/image" Target="media/image67.png"/><Relationship Id="rId96" Type="http://schemas.openxmlformats.org/officeDocument/2006/relationships/image" Target="media/image5.png"/><Relationship Id="rId11" Type="http://schemas.openxmlformats.org/officeDocument/2006/relationships/image" Target="media/image22.png"/><Relationship Id="rId10" Type="http://schemas.openxmlformats.org/officeDocument/2006/relationships/image" Target="media/image52.png"/><Relationship Id="rId13" Type="http://schemas.openxmlformats.org/officeDocument/2006/relationships/image" Target="media/image71.png"/><Relationship Id="rId12" Type="http://schemas.openxmlformats.org/officeDocument/2006/relationships/image" Target="media/image83.png"/><Relationship Id="rId91" Type="http://schemas.openxmlformats.org/officeDocument/2006/relationships/image" Target="media/image4.png"/><Relationship Id="rId90" Type="http://schemas.openxmlformats.org/officeDocument/2006/relationships/image" Target="media/image7.png"/><Relationship Id="rId93" Type="http://schemas.openxmlformats.org/officeDocument/2006/relationships/image" Target="media/image14.png"/><Relationship Id="rId92" Type="http://schemas.openxmlformats.org/officeDocument/2006/relationships/image" Target="media/image11.png"/><Relationship Id="rId15" Type="http://schemas.openxmlformats.org/officeDocument/2006/relationships/image" Target="media/image32.png"/><Relationship Id="rId14" Type="http://schemas.openxmlformats.org/officeDocument/2006/relationships/image" Target="media/image76.png"/><Relationship Id="rId17" Type="http://schemas.openxmlformats.org/officeDocument/2006/relationships/image" Target="media/image79.png"/><Relationship Id="rId16" Type="http://schemas.openxmlformats.org/officeDocument/2006/relationships/image" Target="media/image80.png"/><Relationship Id="rId19" Type="http://schemas.openxmlformats.org/officeDocument/2006/relationships/image" Target="media/image84.png"/><Relationship Id="rId18" Type="http://schemas.openxmlformats.org/officeDocument/2006/relationships/image" Target="media/image88.png"/><Relationship Id="rId84" Type="http://schemas.openxmlformats.org/officeDocument/2006/relationships/image" Target="media/image87.png"/><Relationship Id="rId83" Type="http://schemas.openxmlformats.org/officeDocument/2006/relationships/image" Target="media/image59.png"/><Relationship Id="rId86" Type="http://schemas.openxmlformats.org/officeDocument/2006/relationships/image" Target="media/image44.png"/><Relationship Id="rId85" Type="http://schemas.openxmlformats.org/officeDocument/2006/relationships/image" Target="media/image46.png"/><Relationship Id="rId88" Type="http://schemas.openxmlformats.org/officeDocument/2006/relationships/image" Target="media/image78.png"/><Relationship Id="rId87" Type="http://schemas.openxmlformats.org/officeDocument/2006/relationships/image" Target="media/image82.png"/><Relationship Id="rId89" Type="http://schemas.openxmlformats.org/officeDocument/2006/relationships/image" Target="media/image36.png"/><Relationship Id="rId80" Type="http://schemas.openxmlformats.org/officeDocument/2006/relationships/image" Target="media/image50.png"/><Relationship Id="rId82" Type="http://schemas.openxmlformats.org/officeDocument/2006/relationships/image" Target="media/image75.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5" Type="http://schemas.openxmlformats.org/officeDocument/2006/relationships/styles" Target="styles.xml"/><Relationship Id="rId6" Type="http://schemas.openxmlformats.org/officeDocument/2006/relationships/image" Target="media/image72.png"/><Relationship Id="rId7" Type="http://schemas.openxmlformats.org/officeDocument/2006/relationships/image" Target="media/image69.png"/><Relationship Id="rId8" Type="http://schemas.openxmlformats.org/officeDocument/2006/relationships/image" Target="media/image24.png"/><Relationship Id="rId73" Type="http://schemas.openxmlformats.org/officeDocument/2006/relationships/image" Target="media/image57.png"/><Relationship Id="rId72" Type="http://schemas.openxmlformats.org/officeDocument/2006/relationships/image" Target="media/image54.png"/><Relationship Id="rId75" Type="http://schemas.openxmlformats.org/officeDocument/2006/relationships/image" Target="media/image62.png"/><Relationship Id="rId74" Type="http://schemas.openxmlformats.org/officeDocument/2006/relationships/image" Target="media/image61.png"/><Relationship Id="rId77" Type="http://schemas.openxmlformats.org/officeDocument/2006/relationships/image" Target="media/image60.png"/><Relationship Id="rId76" Type="http://schemas.openxmlformats.org/officeDocument/2006/relationships/image" Target="media/image63.png"/><Relationship Id="rId79" Type="http://schemas.openxmlformats.org/officeDocument/2006/relationships/image" Target="media/image42.png"/><Relationship Id="rId78" Type="http://schemas.openxmlformats.org/officeDocument/2006/relationships/image" Target="media/image89.png"/><Relationship Id="rId71" Type="http://schemas.openxmlformats.org/officeDocument/2006/relationships/image" Target="media/image64.png"/><Relationship Id="rId70" Type="http://schemas.openxmlformats.org/officeDocument/2006/relationships/image" Target="media/image51.png"/><Relationship Id="rId62" Type="http://schemas.openxmlformats.org/officeDocument/2006/relationships/image" Target="media/image33.png"/><Relationship Id="rId61" Type="http://schemas.openxmlformats.org/officeDocument/2006/relationships/image" Target="media/image37.png"/><Relationship Id="rId64" Type="http://schemas.openxmlformats.org/officeDocument/2006/relationships/image" Target="media/image31.png"/><Relationship Id="rId63" Type="http://schemas.openxmlformats.org/officeDocument/2006/relationships/image" Target="media/image29.png"/><Relationship Id="rId66" Type="http://schemas.openxmlformats.org/officeDocument/2006/relationships/image" Target="media/image30.png"/><Relationship Id="rId65" Type="http://schemas.openxmlformats.org/officeDocument/2006/relationships/image" Target="media/image35.png"/><Relationship Id="rId68" Type="http://schemas.openxmlformats.org/officeDocument/2006/relationships/image" Target="media/image48.png"/><Relationship Id="rId67" Type="http://schemas.openxmlformats.org/officeDocument/2006/relationships/image" Target="media/image21.png"/><Relationship Id="rId60" Type="http://schemas.openxmlformats.org/officeDocument/2006/relationships/image" Target="media/image26.png"/><Relationship Id="rId69" Type="http://schemas.openxmlformats.org/officeDocument/2006/relationships/image" Target="media/image58.png"/><Relationship Id="rId51" Type="http://schemas.openxmlformats.org/officeDocument/2006/relationships/image" Target="media/image38.png"/><Relationship Id="rId50" Type="http://schemas.openxmlformats.org/officeDocument/2006/relationships/image" Target="media/image43.png"/><Relationship Id="rId53" Type="http://schemas.openxmlformats.org/officeDocument/2006/relationships/image" Target="media/image45.png"/><Relationship Id="rId52" Type="http://schemas.openxmlformats.org/officeDocument/2006/relationships/image" Target="media/image39.png"/><Relationship Id="rId55" Type="http://schemas.openxmlformats.org/officeDocument/2006/relationships/image" Target="media/image12.png"/><Relationship Id="rId54" Type="http://schemas.openxmlformats.org/officeDocument/2006/relationships/image" Target="media/image41.png"/><Relationship Id="rId57" Type="http://schemas.openxmlformats.org/officeDocument/2006/relationships/image" Target="media/image91.png"/><Relationship Id="rId56" Type="http://schemas.openxmlformats.org/officeDocument/2006/relationships/image" Target="media/image90.png"/><Relationship Id="rId59" Type="http://schemas.openxmlformats.org/officeDocument/2006/relationships/image" Target="media/image28.png"/><Relationship Id="rId5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