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T2SAIM 30 YILLIK (1996–2026) BİLİŞSEL VE ASİMETRİK FİNANSAL HARP ADLİ DENETİM VE KÜRESEL STRATEJİK RAPORU</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Kavramsal çerçevesi, bilişsel uzayın finansal piyasa mikroyapılarıyla entegrasyonuna dayanan bu adli istihbarat raporu, 1996–2026 yılları arasında küresel egemen devletlere yöneltilen asimetrik finansal harp, yargısal kuşatma (lawfare) ve algı manipülasyonu operasyonlarını Daubert Kanıt Standardı (Tier-1) normlarında derinlemesine incelemektedir. İktisadi denge bozma vektörleri, geleneksel bağlamdaki salt finansal krizler veya döngüsel piyasa düzeltmeleri olarak değil; algoritmik sistemleri, Yüksek Frekanslı İşlem (HFT) robotlarını, kredi derecelendirme kuruluşlarını ve uluslararası yargı ile denetim otoritelerini (FATF, SEC, DOJ) birer silah (weaponization) olarak kullanan entegre bir muharebe konsepti çerçevesinde adli otopsiye tabi tutulmaktadır.</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1: TEORİK VE MATEMATİKSEL ÇERÇEVE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Çağdaş asimetrik finansal harp, konvansiyonel ateş gücünün yerini HFT algoritmalarının, organize açığa satış (short-selling) konsorsiyumlarının, klonlanmış medya ağlarının ve uluslararası hukuk enstrümanlarının aldığı hibrit bir muharebe alanıdır. Bu mimarinin matematiksel ve teorik altyapısı, kitle psikolojisini piyasa mikroyapısındaki likidite denklemleriyle birleştiren beş temel doktrine dayanmaktadır.</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1.1. Lefebvre Refleksif Kontrol Doktrini ve Amigdala Stres Endeksi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Soğuk Savaş döneminde Vladimir Lefebvre tarafından geliştirilen Refleksif Kontrol teorisi, günümüz dijital finansal harbinde birincil bilişsel silahtır. Bu teori, hasım karar vericilerin veya kitlelerin karar alma süreçlerine, onların kendi rasyonel tercihleriymiş gibi görünecek ancak manipülatörün stratejik çıkarlarına hizmet edecek sahte öncüllerin (stimuli) sistematik olarak enjekte edilmesini ifade eder. Matematiksel modellemede, hedef ülkenin veya yatırımcı kitlesinin doğal bilgi seti (</w:t>
      </w:r>
      <w:r w:rsidDel="00000000" w:rsidR="00000000" w:rsidRPr="00000000">
        <w:rPr>
          <w:rFonts w:ascii="Arial" w:cs="Arial" w:eastAsia="Arial" w:hAnsi="Arial"/>
          <w:color w:val="1f1f1f"/>
        </w:rPr>
        <w:drawing>
          <wp:inline distB="19050" distT="19050" distL="19050" distR="19050">
            <wp:extent cx="454372" cy="246118"/>
            <wp:effectExtent b="0" l="0" r="0" t="0"/>
            <wp:docPr id="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54372" cy="246118"/>
                    </a:xfrm>
                    <a:prstGeom prst="rect"/>
                    <a:ln/>
                  </pic:spPr>
                </pic:pic>
              </a:graphicData>
            </a:graphic>
          </wp:inline>
        </w:drawing>
      </w:r>
      <w:r w:rsidDel="00000000" w:rsidR="00000000" w:rsidRPr="00000000">
        <w:rPr>
          <w:rFonts w:ascii="Arial" w:cs="Arial" w:eastAsia="Arial" w:hAnsi="Arial"/>
          <w:color w:val="1f1f1f"/>
          <w:rtl w:val="0"/>
        </w:rPr>
        <w:t xml:space="preserve">), dışsal bilişsel operasyonlarla deforme edilerek önceden hesaplanmış, kendi kendini yıkan bir tepkiye (</w:t>
      </w:r>
      <w:r w:rsidDel="00000000" w:rsidR="00000000" w:rsidRPr="00000000">
        <w:rPr>
          <w:rFonts w:ascii="Arial" w:cs="Arial" w:eastAsia="Arial" w:hAnsi="Arial"/>
          <w:color w:val="1f1f1f"/>
        </w:rPr>
        <w:drawing>
          <wp:inline distB="19050" distT="19050" distL="19050" distR="19050">
            <wp:extent cx="623292" cy="249317"/>
            <wp:effectExtent b="0" l="0" r="0" t="0"/>
            <wp:docPr id="3"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623292" cy="249317"/>
                    </a:xfrm>
                    <a:prstGeom prst="rect"/>
                    <a:ln/>
                  </pic:spPr>
                </pic:pic>
              </a:graphicData>
            </a:graphic>
          </wp:inline>
        </w:drawing>
      </w:r>
      <w:r w:rsidDel="00000000" w:rsidR="00000000" w:rsidRPr="00000000">
        <w:rPr>
          <w:rFonts w:ascii="Arial" w:cs="Arial" w:eastAsia="Arial" w:hAnsi="Arial"/>
          <w:color w:val="1f1f1f"/>
          <w:rtl w:val="0"/>
        </w:rPr>
        <w:t xml:space="preserve">) dönüştürülür:</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742950"/>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38671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Finansal piyasalarda bu süreç, kitle psikolojisinde "Toplumsal Amigdala İndüksiyonu" mekanizması ile entegre çalışır. Doğal Dil İşleme (NLP) tabanlı otonom duygu analizi algoritmaları (örneğin XLM-RoBERTa modeli), sosyal ağlar, klonlanmış haber siteleri ve sızılmış resmi ajanslar üzerinden kitlelere sürekli olarak banka iflası, hiperenflasyon ve savaş riski gibi temalar pompalayarak Amigdala Stres Skorunu (</w:t>
      </w:r>
      <w:r w:rsidDel="00000000" w:rsidR="00000000" w:rsidRPr="00000000">
        <w:rPr>
          <w:rFonts w:ascii="Arial" w:cs="Arial" w:eastAsia="Arial" w:hAnsi="Arial"/>
          <w:color w:val="1f1f1f"/>
        </w:rPr>
        <w:drawing>
          <wp:inline distB="19050" distT="19050" distL="19050" distR="19050">
            <wp:extent cx="556617" cy="249518"/>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6617" cy="249518"/>
                    </a:xfrm>
                    <a:prstGeom prst="rect"/>
                    <a:ln/>
                  </pic:spPr>
                </pic:pic>
              </a:graphicData>
            </a:graphic>
          </wp:inline>
        </w:drawing>
      </w:r>
      <w:r w:rsidDel="00000000" w:rsidR="00000000" w:rsidRPr="00000000">
        <w:rPr>
          <w:rFonts w:ascii="Arial" w:cs="Arial" w:eastAsia="Arial" w:hAnsi="Arial"/>
          <w:color w:val="1f1f1f"/>
          <w:rtl w:val="0"/>
        </w:rPr>
        <w:t xml:space="preserve">) yapay olarak yükseltir. Toplumsal </w:t>
      </w:r>
      <w:r w:rsidDel="00000000" w:rsidR="00000000" w:rsidRPr="00000000">
        <w:rPr>
          <w:rFonts w:ascii="Arial" w:cs="Arial" w:eastAsia="Arial" w:hAnsi="Arial"/>
          <w:color w:val="1f1f1f"/>
        </w:rPr>
        <w:drawing>
          <wp:inline distB="19050" distT="19050" distL="19050" distR="19050">
            <wp:extent cx="556617" cy="249518"/>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6617" cy="249518"/>
                    </a:xfrm>
                    <a:prstGeom prst="rect"/>
                    <a:ln/>
                  </pic:spPr>
                </pic:pic>
              </a:graphicData>
            </a:graphic>
          </wp:inline>
        </w:drawing>
      </w:r>
      <w:r w:rsidDel="00000000" w:rsidR="00000000" w:rsidRPr="00000000">
        <w:rPr>
          <w:rFonts w:ascii="Arial" w:cs="Arial" w:eastAsia="Arial" w:hAnsi="Arial"/>
          <w:color w:val="1f1f1f"/>
          <w:rtl w:val="0"/>
        </w:rPr>
        <w:t xml:space="preserve"> kritik bir eşiği aştığında, rasyonel karar almadan sorumlu Prefrontal Korteks (PFC) işlevini yitirerek karar felcine uğrar. Bu nörolojik kilitlenme anı, kitlelerin irrasyonel banka hücumlarına (bank-run) veya döviz kurlarında panik alımlarına yönlendirildiği tetik noktasıdır.</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1.2. Eric Hoffer Kitle Psikolojisi ve Fanatizm İndüksiyonu</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Eric Hoffer'in kitle hareketleri teorisi üzerinden modellendiğinde, bilişsel harbin ana hedeflerinden biri hedef ülkenin sosyolojik zemininde bir Ahlaki İddia Erozyonu (</w:t>
      </w:r>
      <w:r w:rsidDel="00000000" w:rsidR="00000000" w:rsidRPr="00000000">
        <w:rPr>
          <w:rFonts w:ascii="Arial" w:cs="Arial" w:eastAsia="Arial" w:hAnsi="Arial"/>
          <w:color w:val="1f1f1f"/>
        </w:rPr>
        <w:drawing>
          <wp:inline distB="19050" distT="19050" distL="19050" distR="19050">
            <wp:extent cx="179487" cy="245614"/>
            <wp:effectExtent b="0" l="0" r="0" t="0"/>
            <wp:docPr id="7"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179487" cy="245614"/>
                    </a:xfrm>
                    <a:prstGeom prst="rect"/>
                    <a:ln/>
                  </pic:spPr>
                </pic:pic>
              </a:graphicData>
            </a:graphic>
          </wp:inline>
        </w:drawing>
      </w:r>
      <w:r w:rsidDel="00000000" w:rsidR="00000000" w:rsidRPr="00000000">
        <w:rPr>
          <w:rFonts w:ascii="Arial" w:cs="Arial" w:eastAsia="Arial" w:hAnsi="Arial"/>
          <w:color w:val="1f1f1f"/>
          <w:rtl w:val="0"/>
        </w:rPr>
        <w:t xml:space="preserve">) yaratmaktır. Bu erozyon, bir toplumun kendi egemen kurumlarına (Merkez Bankası, Adalet Sistemi, Düzenleyici Otoriteler) olan inancının, sürekli ve planlı dezenformasyon kampanyalarıyla çökertilmesidir. Kurumsal güvenin sıfırlanması, toplumun dışsal döviz kuru atakları veya enflasyonist şoklar karşısındaki panik eşiğini dramatik ölçüde düşürür. Geçmişte yaşanan büyük finansal yıkımların toplumsal hafızada bıraktığı kalıcı izler (histerezis etkisi), sentetik bir kriz söylentisinde dahi anında uyanarak, rasyonel hiçbir iktisadi dayanağı olmayan anlık sermaye kaçışlarına meşruiyet kazandırır.</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1.3. Glosten-Milgrom Kotasyon Aralığı ve Kyle's Lambda (Piyasa Mikroyapısı)</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Bilişsel sabotajın finansal terminallerdeki ve piyasa mikroyapısındaki (Limit Order Book - LOB) somut yansıması, asimetrik bilgiye dayalı algoritmik likidite buharlaşmasıdır. L.R. Glosten ve P.R. Milgrom'un (1985) geliştirdiği sıralı ticaret modeline göre, piyasa yapıcılar (market makers) karşılarında içeriden veya manipülatif gizli bilgiye sahip tacirlerin oranının (</w:t>
      </w:r>
      <w:r w:rsidDel="00000000" w:rsidR="00000000" w:rsidRPr="00000000">
        <w:rPr>
          <w:rFonts w:ascii="Arial" w:cs="Arial" w:eastAsia="Arial" w:hAnsi="Arial"/>
          <w:color w:val="1f1f1f"/>
        </w:rPr>
        <w:drawing>
          <wp:inline distB="19050" distT="19050" distL="19050" distR="19050">
            <wp:extent cx="206275" cy="234404"/>
            <wp:effectExtent b="0" l="0" r="0" t="0"/>
            <wp:docPr id="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206275" cy="234404"/>
                    </a:xfrm>
                    <a:prstGeom prst="rect"/>
                    <a:ln/>
                  </pic:spPr>
                </pic:pic>
              </a:graphicData>
            </a:graphic>
          </wp:inline>
        </w:drawing>
      </w:r>
      <w:r w:rsidDel="00000000" w:rsidR="00000000" w:rsidRPr="00000000">
        <w:rPr>
          <w:rFonts w:ascii="Arial" w:cs="Arial" w:eastAsia="Arial" w:hAnsi="Arial"/>
          <w:color w:val="1f1f1f"/>
          <w:rtl w:val="0"/>
        </w:rPr>
        <w:t xml:space="preserve">) arttığını algıladıklarında kendilerini tersine seçim (adverse selection) riskinden korumak zorundadırlar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Bilişsel bir şok anında piyasa yapıcı, karşı tarafın kendisinden daha fazla şey bildiğini (örneğin sahte bir felaket haberi) varsayar ve zarar etmemek için alış-satış (bid-ask) makasını agresif bir şekilde genişletir: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742950"/>
            <wp:effectExtent b="0" l="0" r="0" t="0"/>
            <wp:docPr id="9"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3867150"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 savunma mekanizması, HFT algoritmalarının alış kotasyonlarını aniden piyasadan çekmesiyle sonuçlanır. Emir defterinin (LOB) derinliği kaybolduğunda, Albert Kyle'ın (1985) literatüre kazandırdığı Piyasa Etki Katsayısı (Kyle's Lambda - </w:t>
      </w:r>
      <w:r w:rsidDel="00000000" w:rsidR="00000000" w:rsidRPr="00000000">
        <w:rPr>
          <w:rFonts w:ascii="Arial" w:cs="Arial" w:eastAsia="Arial" w:hAnsi="Arial"/>
          <w:color w:val="1f1f1f"/>
        </w:rPr>
        <w:drawing>
          <wp:inline distB="19050" distT="19050" distL="19050" distR="19050">
            <wp:extent cx="114300" cy="247650"/>
            <wp:effectExtent b="0" l="0" r="0" t="0"/>
            <wp:docPr id="8"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14300" cy="247650"/>
                    </a:xfrm>
                    <a:prstGeom prst="rect"/>
                    <a:ln/>
                  </pic:spPr>
                </pic:pic>
              </a:graphicData>
            </a:graphic>
          </wp:inline>
        </w:drawing>
      </w:r>
      <w:r w:rsidDel="00000000" w:rsidR="00000000" w:rsidRPr="00000000">
        <w:rPr>
          <w:rFonts w:ascii="Arial" w:cs="Arial" w:eastAsia="Arial" w:hAnsi="Arial"/>
          <w:color w:val="1f1f1f"/>
          <w:rtl w:val="0"/>
        </w:rPr>
        <w:t xml:space="preserve">) üstel olarak artar</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Kyle's Lambda, net sipariş akışı dengesizliği ile fiyat değişimi arasındaki eğimi, yani likiditesizliği ölçer ve formülü şu şekildedir: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904875"/>
            <wp:effectExtent b="0" l="0" r="0" t="0"/>
            <wp:docPr id="12"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3867150"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Burada </w:t>
      </w:r>
      <w:r w:rsidDel="00000000" w:rsidR="00000000" w:rsidRPr="00000000">
        <w:rPr>
          <w:rFonts w:ascii="Arial" w:cs="Arial" w:eastAsia="Arial" w:hAnsi="Arial"/>
          <w:color w:val="1f1f1f"/>
        </w:rPr>
        <w:drawing>
          <wp:inline distB="19050" distT="19050" distL="19050" distR="19050">
            <wp:extent cx="193030" cy="250939"/>
            <wp:effectExtent b="0" l="0" r="0" t="0"/>
            <wp:docPr id="10"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93030" cy="250939"/>
                    </a:xfrm>
                    <a:prstGeom prst="rect"/>
                    <a:ln/>
                  </pic:spPr>
                </pic:pic>
              </a:graphicData>
            </a:graphic>
          </wp:inline>
        </w:drawing>
      </w:r>
      <w:r w:rsidDel="00000000" w:rsidR="00000000" w:rsidRPr="00000000">
        <w:rPr>
          <w:rFonts w:ascii="Arial" w:cs="Arial" w:eastAsia="Arial" w:hAnsi="Arial"/>
          <w:color w:val="1f1f1f"/>
          <w:rtl w:val="0"/>
        </w:rPr>
        <w:t xml:space="preserve"> varlık değerindeki belirsizliği, </w:t>
      </w:r>
      <w:r w:rsidDel="00000000" w:rsidR="00000000" w:rsidRPr="00000000">
        <w:rPr>
          <w:rFonts w:ascii="Arial" w:cs="Arial" w:eastAsia="Arial" w:hAnsi="Arial"/>
          <w:color w:val="1f1f1f"/>
        </w:rPr>
        <w:drawing>
          <wp:inline distB="19050" distT="19050" distL="19050" distR="19050">
            <wp:extent cx="200025" cy="247650"/>
            <wp:effectExtent b="0" l="0" r="0" t="0"/>
            <wp:docPr id="1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200025" cy="247650"/>
                    </a:xfrm>
                    <a:prstGeom prst="rect"/>
                    <a:ln/>
                  </pic:spPr>
                </pic:pic>
              </a:graphicData>
            </a:graphic>
          </wp:inline>
        </w:drawing>
      </w:r>
      <w:r w:rsidDel="00000000" w:rsidR="00000000" w:rsidRPr="00000000">
        <w:rPr>
          <w:rFonts w:ascii="Arial" w:cs="Arial" w:eastAsia="Arial" w:hAnsi="Arial"/>
          <w:color w:val="1f1f1f"/>
          <w:rtl w:val="0"/>
        </w:rPr>
        <w:t xml:space="preserve"> ise bilgisiz (noise) işlemlerin varyansını ifade eder. Kyle's Lambda'nın (</w:t>
      </w:r>
      <w:r w:rsidDel="00000000" w:rsidR="00000000" w:rsidRPr="00000000">
        <w:rPr>
          <w:rFonts w:ascii="Arial" w:cs="Arial" w:eastAsia="Arial" w:hAnsi="Arial"/>
          <w:color w:val="1f1f1f"/>
        </w:rPr>
        <w:drawing>
          <wp:inline distB="19050" distT="19050" distL="19050" distR="19050">
            <wp:extent cx="114300" cy="247650"/>
            <wp:effectExtent b="0" l="0" r="0" t="0"/>
            <wp:docPr id="1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14300" cy="247650"/>
                    </a:xfrm>
                    <a:prstGeom prst="rect"/>
                    <a:ln/>
                  </pic:spPr>
                </pic:pic>
              </a:graphicData>
            </a:graphic>
          </wp:inline>
        </w:drawing>
      </w:r>
      <w:r w:rsidDel="00000000" w:rsidR="00000000" w:rsidRPr="00000000">
        <w:rPr>
          <w:rFonts w:ascii="Arial" w:cs="Arial" w:eastAsia="Arial" w:hAnsi="Arial"/>
          <w:color w:val="1f1f1f"/>
          <w:rtl w:val="0"/>
        </w:rPr>
        <w:t xml:space="preserve">) yükselmesi, pazarın sığlaştığını gösterir; bu durumda çok küçük hacimli organize bir satış veya açığa satış akışı bile piyasada devasa bir "Flash Crash" (ani çöküş) yaratmasına olanak tanır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Açığa satışçı (short-seller) hedge fonları, dezenformasyon şokuyla eşzamanlı olarak bu ekonofiziksel açığı silahlaştırarak hedef varlıkların tahtalarını çökertir.</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876925" cy="8382000"/>
            <wp:effectExtent b="0" l="0" r="0" t="0"/>
            <wp:docPr id="1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876925" cy="8382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1.4. Dijital Bank Run ve Sermaye Drenaj Denklemi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Geçmiş yüzyılın banka hücumları fiziksel şube önlerinde kuyruklar halinde günlerce sürerken, günümüzde mobil bankacılık arayüzleri ve şifreli mesajlaşma ağlarının (WhatsApp, Telegram) birleşimi, saniyeler içinde gerçekleşen anlık likidite drenajlarına (</w:t>
      </w:r>
      <w:r w:rsidDel="00000000" w:rsidR="00000000" w:rsidRPr="00000000">
        <w:rPr>
          <w:rFonts w:ascii="Arial" w:cs="Arial" w:eastAsia="Arial" w:hAnsi="Arial"/>
          <w:color w:val="1f1f1f"/>
        </w:rPr>
        <w:drawing>
          <wp:inline distB="19050" distT="19050" distL="19050" distR="19050">
            <wp:extent cx="610493" cy="248013"/>
            <wp:effectExtent b="0" l="0" r="0" t="0"/>
            <wp:docPr id="1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10493" cy="248013"/>
                    </a:xfrm>
                    <a:prstGeom prst="rect"/>
                    <a:ln/>
                  </pic:spPr>
                </pic:pic>
              </a:graphicData>
            </a:graphic>
          </wp:inline>
        </w:drawing>
      </w:r>
      <w:r w:rsidDel="00000000" w:rsidR="00000000" w:rsidRPr="00000000">
        <w:rPr>
          <w:rFonts w:ascii="Arial" w:cs="Arial" w:eastAsia="Arial" w:hAnsi="Arial"/>
          <w:color w:val="1f1f1f"/>
          <w:rtl w:val="0"/>
        </w:rPr>
        <w:t xml:space="preserve">) zemin hazırlamaktadır. Bu hiper-hızlı sermaye kaçış denklemi şu şekilde ifade edilir: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3867150" cy="1133475"/>
            <wp:effectExtent b="0" l="0" r="0" t="0"/>
            <wp:docPr id="16"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3867150"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Burada </w:t>
      </w:r>
      <w:r w:rsidDel="00000000" w:rsidR="00000000" w:rsidRPr="00000000">
        <w:rPr>
          <w:rFonts w:ascii="Arial" w:cs="Arial" w:eastAsia="Arial" w:hAnsi="Arial"/>
          <w:color w:val="1f1f1f"/>
        </w:rPr>
        <w:drawing>
          <wp:inline distB="19050" distT="19050" distL="19050" distR="19050">
            <wp:extent cx="554385" cy="238959"/>
            <wp:effectExtent b="0" l="0" r="0" t="0"/>
            <wp:docPr id="17"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54385" cy="238959"/>
                    </a:xfrm>
                    <a:prstGeom prst="rect"/>
                    <a:ln/>
                  </pic:spPr>
                </pic:pic>
              </a:graphicData>
            </a:graphic>
          </wp:inline>
        </w:drawing>
      </w:r>
      <w:r w:rsidDel="00000000" w:rsidR="00000000" w:rsidRPr="00000000">
        <w:rPr>
          <w:rFonts w:ascii="Arial" w:cs="Arial" w:eastAsia="Arial" w:hAnsi="Arial"/>
          <w:color w:val="1f1f1f"/>
          <w:rtl w:val="0"/>
        </w:rPr>
        <w:t xml:space="preserve">, klonlanmış haber sitelerinden ve senkronize bot ağlarından saniyede yayılan hedefli dezenformasyon yoğunluğunu (örneğin, bir bankanın battığına dair asılsız dekontların dolaşıma sokulmasını) temsil eder. İsviçre'de Credit Suisse krizinde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ve ABD'deki Silicon Valley Bank (SVB) çöküşünde, sosyal medya panik indüksiyonunun bu denklemi nasıl saatler içinde milyarlarca dolarlık likidite çıkışına dönüştürdüğü adli olarak saptanmıştır.</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1.5. Soddy M2/NIR, İktisadi Karanlık Madde (Dark Matter) ve TBML NOH</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Fizikokimyacı ve ekonomist Frederick Soddy'nin (Wealth, Virtual Wealth and Debt) borç ve sanal servet teorisi</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üzerinden kurgulanan İktisadi Karanlık Madde (Dark Matter) kavramı, ulusal ödemeler dengesindeki "Net Hata ve Noksan" (NOH) kalemlerindeki asimetrik ve izi sürülemeyen sapmaları açıklar. Özellikle Ticaret Tabanlı Kara Para Aklama (TBML) mekanizmaları kullanılarak</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hayali ihracat/ithalat faturalandırmaları (misinvoicing) ve hayalet yüklemeler (phantom shipments) yoluyla hedef ülkenin dış ticaret rejimine sızılır</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Benford Kanunu istatistiksel sapmaları kullanılarak adli muhasebe süzgecinden geçirilen bu akışlar incelendiğinde; kaynağı belirsiz fonların önce ülkeye "Hazne Fazı" ile sokularak yerel varlıklarda yapay bir kurumsal bağımlılık ve sanal refah yaratıldığı, operasyonel düğmeye basıldığında ise "Sifon Fazı" ile bu likiditenin aniden çekilerek yıkıcı ödemeler dengesi krizlerinin tetiklendiği tespit edilmektedir.</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2: 30 YILLIK TARİHSEL FAZLAR VE KÜRESEL ŞOKLAR (1996 – 2026)</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Geçtiğimiz 30 yılın finansal arşivi incelendiğinde, krizlerin kapitalizmin doğal işleyişindeki "düzeltme döngüleri" olmaktan çıkıp, hedef ülkelerin jeopolitik dizaynı ve egemenlik devri için tasarlanmış birer silahlı operasyona dönüştüğü net biçimde görülmektedir.</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2.1. 1997 Asya / 1998 Rusya Krizi: Makro Hedge Fonların İlk Taarruzu</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Tayland Bahtı'nın sabit kur çıpasının kırılmasıyla başlayan Asya krizi ve domino etkisiyle gelen 1998 Rusya iç borç temerrüdü, spekülatif arbitraj sermayesinin (özellikle Long-Term Capital Management ve Quantum Fund gibi yapıların) gelişmekte olan piyasaların zayıf rezerv yapılarına karşı yürüttüğü ilk kitlesel açığa satış taarruzudur. Bu dönemde, makroekonomik verileri zayıf ancak kur rejimi sabit olan ülkelerin merkez bankası döviz rezervleri, piyasa yapıcı fonlar tarafından fiziksel olarak "test edilmiş", rezervler tüketilmiş ve ulusal servetler asimetrik olarak transfer edilmiştir.</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2.2. 2001 Türkiye Bankacılık &amp; Dot-Com Çöküşü</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Küresel ölçekte Dot-Com balonu teknoloji piyasalarındaki irrasyonel coşkuyu sert bir likidite daralmasıyla sonlandırırken, 2001 yılında Türkiye'de yaşanan ekonomik yıkım, sığ ve manipülasyona açık piyasa yapısının bir sonucudur. Siyasi bir tartışmanın (Milli Güvenlik Kurulu'nda Anayasa kitapçığı fırlatılması) saatler içinde gecelik faizleri %7500'lere taşıması, bankacılık sistemindeki açık pozisyon (kur riski) zafiyetinin bir dezenformasyon ve panik dalgasıyla nasıl sistemik bir çöküşe dönüştürüldüğünü göstermiştir. Toplumsal hafızaya travma olarak kazınan bu olay, sonraki yıllarda Türkiye toplumunda sürekli bir kriz beklentisini (histerezis) canlı tutarak bilişsel operasyonlara açık bir yara bırakmıştır.</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2.3. 2008 Lehman Brothers Küresel Finans Krizi (GFC)</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Toksik ipotekli menkul kıymetlerin (MBS) karmaşık teminatlandırılmış borç yükümlülükleri (CDO) ve kredi temerrüt takasları (CDS) gibi türev araçlarla küresel sisteme entegre edilmesi, denetimsiz finansal mühendisliğin yıkıcı gücünü ortaya koymuştur. Bu krizin ardından ABD Merkez Bankası (Fed) öncülüğünde majör merkez bankaları benzeri görülmemiş Parasal Genişleme (QE) politikalarına geçerek piyasaları suni likiditeye boğmuştur. Ancak bu durum, yapısal reformları erteleyen gelişmekte olan piyasaları (Emerging Markets) kısa vadeli "Sıcak Para" (hot money) akışlarına bağımlı, spekülatif ataklara son derece açık kırılgan bünyeler haline getirmiştir.</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2012 Euro Bölgesi Borç Krizi ve Kredi Derecelendirme Asimetrisi</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Yunanistan (GRC), İtalya (IT), İspanya (ESP) ve Portekiz tahvillerine yönelik, merkezi New York'ta bulunan egemen kredi derecelendirme kuruluşlarının (S&amp;P, Moody's, Fitch) asimetrik ve piyasa koşullarını hiçe sayan manidar not indirimleri, "Avrupa'nın çevresini" (PIIGS ülkeleri) çöküşün eşiğine getirmiştir. Bu dönem, sovereign (egemen) tahvil faizlerinin ve ülke CDS primlerinin, bir ülkenin egemen maliye politikasına doğrudan müdahale, kemer sıkma politikaları dayatma ve varlık tasfiyesi için bir "Lawfare" (Hukuk ve Piyasa Kuşatması) aracı olarak kullanılmasının adli olarak tescillendiği evredir.</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2.5. 2018 Türkiye Rahip Brunson Şoku ve Gelişmekte Olan Ülke Kur Şokları</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2018 Ağustos ayında, sosyal medya platformları üzerinden ABD resmi makamlarınca verilen yaptırım içerikli diplomatik mesajlar ile milisaniyeler içinde eşzamanlı olarak Londra merkezli OTC (tezgah üstü) swap piyasalarından Türk Lirası'na yönelik eşgüdümlü, devasa bir açığa satış dalgası başlatılmıştır. HFT algoritmalarıyla tetiklenen bu kur şoku, bir ülkenin ulusal para biriminin doğrudan bir dış politika ve jeopolitik şantaj aracı olarak kullanılmasının (Weaponized Interdependence) ders kitaplarına girecek en net örneklerinden biridir. Manipüle edilmiş panik fiyatlamaları (erken dönem Doppelgänger taktikleri) Glosten-Milgrom makasını kilitlerken, ülke ekonomisine ağır bir maliyet yüklenmiştir.</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2.6. 2020 Pandemi &amp; Sınırsız Parasal Genişleme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Covid-19 pandemisi sırasında küresel üretim ve lojistik tedarik zincirlerinin çökmesi, merkez bankalarının uyguladığı trilyonlarca dolarlık limitsiz parasal genişlemeyle birleşerek kalıcı bir enflasyonist dalga (fiat para birimlerinde güven erozyonu) yaratmıştır. Bu dönemde özellikle emtia tedarik zincirleri birer silaha dönüşmüştür; örneğin Avustralya'nın hanehalkı borç tavanının zorlandığı bir dönemde Çin'in uyguladığı demir cevheri ithalat ambargoları ve ticari yaptırımlar (sanctions) ikili ticareti felç etmiştir</w:t>
      </w:r>
      <w:r w:rsidDel="00000000" w:rsidR="00000000" w:rsidRPr="00000000">
        <w:rPr>
          <w:rFonts w:ascii="Arial" w:cs="Arial" w:eastAsia="Arial" w:hAnsi="Arial"/>
          <w:color w:val="444746"/>
          <w:sz w:val="24"/>
          <w:szCs w:val="24"/>
          <w:vertAlign w:val="superscript"/>
          <w:rtl w:val="0"/>
        </w:rPr>
        <w:t xml:space="preserve">15</w:t>
      </w:r>
      <w:r w:rsidDel="00000000" w:rsidR="00000000" w:rsidRPr="00000000">
        <w:rPr>
          <w:rFonts w:ascii="Arial" w:cs="Arial" w:eastAsia="Arial" w:hAnsi="Arial"/>
          <w:color w:val="1f1f1f"/>
          <w:rtl w:val="0"/>
        </w:rPr>
        <w:t xml:space="preserve">. Eşzamanlı olarak, ABD Ticaret Bakanlığı'nın (BIS) ASML fotolitografi sistemleri ve çip tedarik hatları (Chokepoints)</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üzerinden Çin'e (CN) karşı uyguladığı teknolojik ablukalar (Entity List) yarı iletken sektörünü ikiye bölmüştür.</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2.7. 2021-2023 Heterodoks Politikalar, Enerji Şoku &amp; Enflasyon Zirvesi</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Rusya-Ukrayna savaşının patlak vermesiyle birlikte, enerji fiyatları üzerinden yürütülen refleksif kontrol operasyonları Avrupa sanayisini (özellikle Alman DAX şirketlerini) derinden vurmuştur. Hollanda merkezli Title Transfer Facility (TTF) doğalgaz borsasında</w:t>
      </w:r>
      <w:r w:rsidDel="00000000" w:rsidR="00000000" w:rsidRPr="00000000">
        <w:rPr>
          <w:rFonts w:ascii="Arial" w:cs="Arial" w:eastAsia="Arial" w:hAnsi="Arial"/>
          <w:color w:val="444746"/>
          <w:sz w:val="24"/>
          <w:szCs w:val="24"/>
          <w:vertAlign w:val="superscript"/>
          <w:rtl w:val="0"/>
        </w:rPr>
        <w:t xml:space="preserve">19</w:t>
      </w:r>
      <w:r w:rsidDel="00000000" w:rsidR="00000000" w:rsidRPr="00000000">
        <w:rPr>
          <w:rFonts w:ascii="Arial" w:cs="Arial" w:eastAsia="Arial" w:hAnsi="Arial"/>
          <w:color w:val="1f1f1f"/>
          <w:rtl w:val="0"/>
        </w:rPr>
        <w:t xml:space="preserve"> sentetik boru hattı arıza haberleriyle yaratılan panik, gaz vadeli kontratlarında emsali görülmemiş margin call (teminat tamamlama) krizlerine yol açmıştır. Aynı dönemde İngiltere'de yaşanan (Mini-Budget) krizinde, kaldıraçlı LDI (Liability-Driven Investment) stratejisi kullanan İngiliz emeklilik fonları teminat tamamlama sarmalına girmiş; Gilt (tahvil) piyasasında likiditenin donmasıyla İngiltere Merkez Bankası (BoE) doğrudan piyasaya müdahale etmek (hedefli tahvil alımı) zorunda kalmıştır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Türkiye ise 2021 sonunda devreye soktuğu Kur Korumalı Mevduat (KKM) isimli asimetrik "Stoa Devre Kesicisi" ile dövize olan histerik talebi yerel para birimi cinsinden bir opsiyon garantisiyle durdurmayı başarmıştır.</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2.8. 2024-2026 Yen Carry Trade Çözülmesi, Stagflasyon &amp; Sifon Fazı</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Yıllar süren negatif faiz politikasının ardından, 5 Ağustos 2024'te Japonya Merkez Bankası'nın (BoJ) sürpriz faiz artırımı, on yıllardır küresel piyasaları fonlayan devasa "Yen Carry Trade" (ucuz Yen borçlanıp gelişmekte olan yüksek getirili varlıklara yatırım yapma) arbitraj mekanizmasını sarsmıştır. Bu çözülme (Unwind), küresel piyasalardan trilyonlarca dolarlık likiditenin aniden ve aynı anda çekilmesiyle (Dijital Sifon Fazı) sonuçlanmış; yargı reformu gerilimleri yaşayan Meksika Pezosu ile Güney Afrika Randı gibi gelişmekte olan kurları derinden vurmuştur. Bu iktisadi şok, küresel enflasyonun tam dizginlenemediği bir ortamda durgunluğun baş gösterdiği Stagflasyonist rejime geçişin işaret fişeği olmuştur.</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3: CORE-20 ÜLKE ASİMETRİK HARP VE KIRILGANLIK MATRİSİ</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Karşılaştırmalı adli analizler göstermektedir ki, Amerika Birleşik Devletleri gibi rezerv para birimi ihraç eden ve senyoraj hakkını elinde bulunduran ülkeler devasa sovereign borç çevrim (rollover) risklerine ağır şekilde maruz kalırken; Türkiye, Brezilya ve Güney Afrika gibi gelişmekte olan pazarlar daha asimetrik olan bilişsel şoklara, hukuk harbi (lawfare) tasfiyelerine ve algoritmik döviz (FX) manipülasyonlarına karşı kırılgan bir profil çizmektedir. Uluslararası finansal mimari ve siber/bilişsel altyapı analizleri ışığında, Core-20 ülkelerinin adli kırılganlık ve maruz kaldıkları harp vektörleri eksiksiz olarak aşağıdaki tabloda sunulmuştur.</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00000000002"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Ülke Kodu</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Ülke Adı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Temel Kırılganlık Yüzeyi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Maruz Kalınan Bilişsel/Finansal Harp Vektörü</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Tarihsel Kriz Örneği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Uygulanan Savunma Kalkanı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2026 Risk Rejimi (Kriz/Sessiz/Sakin)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TR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Türkiye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NOH sapmaları, yüksek dış finansman ihtiyacı, kronik dolarizasyon histerezisi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Londra merkezli OTC swap atakları, bot ağlarıyla döviz panik indüksiyonu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2001 Bankacılık, 2018 Kur Şoku, 2021 Kur Atağı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KKM, EBDKS Devre Kesici, BIST Offshore Swap Limitleri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Kriz / Yüksek Tehdit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ABD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Hazine tahvili (Treasury) rollover sarmalı, 34+ trilyon $ borç yükü, kutuplaşma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Doppelgänger seçim manipülasyonları, algoritma kaynaklı tahvil flash-crash riskleri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 Lehman Brothers (GFC), SVB (2023) Dijital Bank Run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OFAC Yaptırımları, Dolar Likidite Swap Hatları (Fed)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Sakin / Dirençli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Almanya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Enerji tedarik şokları (Kuzey Akım), sanayi tedarik zinciri (DAX) hammadde açığı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TTF gaz borsası fiyat spekülasyonları, Doppelgänger klon medya operasyonları</w:t>
            </w:r>
            <w:r w:rsidDel="00000000" w:rsidR="00000000" w:rsidRPr="00000000">
              <w:rPr>
                <w:rFonts w:ascii="Arial" w:cs="Arial" w:eastAsia="Arial" w:hAnsi="Arial"/>
                <w:color w:val="444746"/>
                <w:sz w:val="24"/>
                <w:szCs w:val="24"/>
                <w:vertAlign w:val="superscript"/>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2022-2023 Enerji ve Sanayi Şoku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KRITIS altyapı yasası, Zeitenwende doktrini, BSI teknik kalkanı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Kriz / Orta Tehdit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JP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Japonya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Negatif faiz politikasının bitişi, devasa iç borç stoku, demografik atalet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Yen Carry Trade'in algoritmik çözülmesi (Unwind), tahvil piyasasında likidite boşluğu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1997 Yamaichi İflası, 5 Ağustos 2024 Yen Tasfiyesi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BoJ Yield Curve Control (YCC) kalıntıları, devasa FX rezervleri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Kriz / Yüksek Oynaklık</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ZA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Güney Afrika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Enerji kesintileri (Eskom), FATF Gri Liste süreçleri</w:t>
            </w:r>
            <w:r w:rsidDel="00000000" w:rsidR="00000000" w:rsidRPr="00000000">
              <w:rPr>
                <w:rFonts w:ascii="Arial" w:cs="Arial" w:eastAsia="Arial" w:hAnsi="Arial"/>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"Old Gits" FX Karteli (StanChart vb.) üzerinden ZAR spread manipülasyonu</w:t>
            </w:r>
            <w:r w:rsidDel="00000000" w:rsidR="00000000" w:rsidRPr="00000000">
              <w:rPr>
                <w:rFonts w:ascii="Arial" w:cs="Arial" w:eastAsia="Arial" w:hAnsi="Arial"/>
                <w:color w:val="444746"/>
                <w:sz w:val="24"/>
                <w:szCs w:val="24"/>
                <w:vertAlign w:val="superscript"/>
                <w:rtl w:val="0"/>
              </w:rPr>
              <w:t xml:space="preserve">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2015 Nenegate, 2023 FATF Gri Liste Şantajı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Rekabet Komisyonu antitröst cezaları, SARB rezerv tahkimatı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Sessiz / Yıpratıcı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Brezilya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Denizaltı fiber kablo düğümleri (Fortaleza), yüksek Selic faiz sarmalı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Lava Jato ile sanayi devlerine Yargısal Lawfare ve Petrobras HFT emir drenajı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2014-2018 Lava Jato Yıkımı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STF Kanıt İptalleri (Lawfare iptali)</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Pix ödeme sistemi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Sessiz / Toparlanma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İtalya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BTP-Bund faiz makası (spread), bankacılık NPL oranları, siyasi istikrarsızlık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Kredi derecelendirme kuruluşlarının spread genişletici asimetrik not indirimleri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2012 Euro Bölgesi Borç Krizi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ECB TPI (Transmission Protection Instrument) tahvil alım garantisi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Sakin / Gözetim Altında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GRC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Yunanistan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Sistematik borç çevrim krizi, Troyka kurtarma paketleri bağımlılığı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Sovereign CDS şantajları, kemer sıkma ve kamu varlığı tasfiyesi dayatmaları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2010-2015 Egemen Borç Krizi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ESM destek paketleri, AB mali entegrasyonu ve borç yeniden yapılandırması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Sakin / Yapılandırılmış</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ESP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İspanya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İpotekli konut balonu kalıntıları, bölgesel ayrılıkçılık fonlamaları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Ticari gayrimenkul tahvili (CRE) spekülasyonları, finansal izolasyon tehditleri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2012 Bankia Kurtarması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Sareb (Kötü Banka) yapılandırmaları, ECB niceliksel alımları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Sessiz / Sürdürülebilir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IDN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Endonezya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Nikel ve emtia ihracat baskıları, cari açık finansman kırılganlığı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DTÖ/IMF "Hilirisasi" (hammadde ihracat yasağı) rejimini kırma operasyonları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1997 Asya Krizi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"Boşluğa Temyiz" DTÖ hukuki stratejisi, PBOC Swap hatları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Sakin / Gelişen Direnç</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Meksika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Yargı reformu gerilimleri, USMCA anlaşmazlıkları, Carry Trade hedefi olması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Yabancı yatırım grevi fısıltıları, derecelendirme şantajı, Pezo algoritmik short-selling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1994 Tekila Krizi, 2024 Yen Unwind FX Şoku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Banxico piyasa müdahaleleri, USMCA ticaret bloğu entegrasyonu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Kriz / Sermaye Kaçışı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Hindistan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Oligopol holding yapıları, yüksek hisse senedi F/K değerlemeleri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Hindenburg Research gibi yapıların asimetrik açığa satış ve itibar suikastı konsorsiyumları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2023 Adani-Hindenburg Vakası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SEBI Adli Tebligatları (Show-cause notice) ve açığa satışçı ifşaları</w:t>
            </w:r>
            <w:r w:rsidDel="00000000" w:rsidR="00000000" w:rsidRPr="00000000">
              <w:rPr>
                <w:rFonts w:ascii="Arial" w:cs="Arial" w:eastAsia="Arial" w:hAnsi="Arial"/>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Sessiz / Yüksek Gözetim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Fransa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Afrika/Sahel (Françafrique) nüfuz kaybı, OAT tahvil arz yığılması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Portal Kombat ve Doppelgänger klon dezenformasyon ağları</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CDS spread açılması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2024 Bilişsel/Siyasi Çalkantılar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VIGINUM siber deşifre kalkanı, AMF algoritmik açığa satış yasakları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Sessiz / Bilişsel Kuşatma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 Kore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Chaebol kurumsal borçluluğu, hanehalkı borç tavanı (mortgage yükü)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Çip savaşları ihracat kısıtlamaları, KRW üzerindeki sınır ötesi arbitraj baskısı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1997 Asya Krizi, 2022 Geliştirici Kredi Piyasası Sıkışması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KFSB açığa satış (short-selling) mutlak ve süreli yasakları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Sessiz / Düzenleyici Kalkan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GBR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İngiltere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Emeklilik fonlarının LDI (Kaldıraçlı) teminat yapısındaki sistemsel zafiyet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Gilt (Tahvil) piyasasında margin call likidite donması, Brexit sonrası ticari bariyerler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2022 Mini-Budget / LDI Krizi</w:t>
            </w:r>
            <w:r w:rsidDel="00000000" w:rsidR="00000000" w:rsidRPr="00000000">
              <w:rPr>
                <w:rFonts w:ascii="Arial" w:cs="Arial" w:eastAsia="Arial" w:hAnsi="Arial"/>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Bank of England (BoE) hedefli acil tahvil alımları, GCHQ istihbaratı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Sessiz / Kısmi İzolasyon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Kanada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Dev bankaların (Big Six) oligopolü, 5 yıllık ipotek yenileme döngüleri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TSX madencilik hisselerine yönelik sahte çevre haberiyle açığa satış, Mortgage paniği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2007-2008 ABCP (Varlığa Dayalı) Kağıt Krizi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OSFI Guideline B-13 (Teknoloji ve Siber Risk Yönetim Standardı)</w:t>
            </w:r>
            <w:r w:rsidDel="00000000" w:rsidR="00000000" w:rsidRPr="00000000">
              <w:rPr>
                <w:rFonts w:ascii="Arial" w:cs="Arial" w:eastAsia="Arial" w:hAnsi="Arial"/>
                <w:color w:val="444746"/>
                <w:sz w:val="24"/>
                <w:szCs w:val="24"/>
                <w:vertAlign w:val="superscript"/>
                <w:rtl w:val="0"/>
              </w:rPr>
              <w:t xml:space="preserve">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Sakin / Düzenleyici Baskı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Avustralya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Çin'e emtia ihracat bağımlılığı, rekor hanehalkı borç-gelir rasyosu</w:t>
            </w:r>
            <w:r w:rsidDel="00000000" w:rsidR="00000000" w:rsidRPr="00000000">
              <w:rPr>
                <w:rFonts w:ascii="Arial" w:cs="Arial" w:eastAsia="Arial" w:hAnsi="Arial"/>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Ticari ambargolar ve demir cevheri (iron ore) kontratlarında yönlü spekülasyonlar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2020 Çin Ticari ve Emtia Yaptırımları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RBA Likidite Tesisleri, Dış Pazar Çeşitlendirme Stratejileri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Sakin / Dengeli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CHE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İsviçre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Küresel GSYH'yi aşan devasa banka bilançosu (UBS Too Big to Fail)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AT1 tahvil silinmesi sonrası manipülasyon, "Hukuki Keyfilik" algı ve sermaye çıkış operasyonları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2023 Credit Suisse Çöküşü</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PLB (Public Liquidity Backstop) devlet garantisi, SNB acil ELA tahsisatı</w:t>
            </w:r>
            <w:r w:rsidDel="00000000" w:rsidR="00000000" w:rsidRPr="00000000">
              <w:rPr>
                <w:rFonts w:ascii="Arial" w:cs="Arial" w:eastAsia="Arial" w:hAnsi="Arial"/>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Sessiz / Yeniden Yapılanma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Hollanda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ASML litografi tekeli, TTF gaz piyasasının derinlik kırılganlığı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Fikri mülkiyet hırsızlığı (IP) fısıltıları, TTF vadeli kontratlarında algoritmik manipülasyonlar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2022 TTF Doğalgaz Fiyat Şoku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BIS EAR uyum/kısıtlama mekanizmaları</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Wet Vifo yatırım kalkanı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Sessiz / Jeopolitik Baskı</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NOR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Norveç</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Egemen varlık fonunun (GPFG) 1.6 trilyon dolarlık devasa küresel maruziyeti</w:t>
            </w:r>
            <w:r w:rsidDel="00000000" w:rsidR="00000000" w:rsidRPr="00000000">
              <w:rPr>
                <w:rFonts w:ascii="Arial" w:cs="Arial" w:eastAsia="Arial" w:hAnsi="Arial"/>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Fosil yakıt (ESG) dayatmaları ile hedeflenmiş enerji portföy tasfiyesi</w:t>
            </w:r>
            <w:r w:rsidDel="00000000" w:rsidR="00000000" w:rsidRPr="00000000">
              <w:rPr>
                <w:rFonts w:ascii="Arial" w:cs="Arial" w:eastAsia="Arial" w:hAnsi="Arial"/>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2008 &amp; 2020 Küresel Borsa Likidite Şokları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GPFG uzun vadeli çeşitlendirmesi, etik komite (divestment) kuralları</w:t>
            </w:r>
            <w:r w:rsidDel="00000000" w:rsidR="00000000" w:rsidRPr="00000000">
              <w:rPr>
                <w:rFonts w:ascii="Arial" w:cs="Arial" w:eastAsia="Arial" w:hAnsi="Arial"/>
                <w:color w:val="444746"/>
                <w:sz w:val="24"/>
                <w:szCs w:val="24"/>
                <w:vertAlign w:val="superscript"/>
                <w:rtl w:val="0"/>
              </w:rPr>
              <w:t xml:space="preserve">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Sakin / İzole Tampon</w:t>
            </w:r>
          </w:p>
        </w:tc>
      </w:tr>
    </w:tbl>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4: 5 STRATEJİK VAKA OTOPSİSİ (DERİN ADLİ İNCELEME)</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Asimetrik finansal harbin soyut akademik kavramlar olmaktan çıkıp, milyarlarca dolarlık servet transferine ve devletlerin bekasını tehdit eden çöküşlere neden olduğu kritik vakalar, T2SAIM metodolojisi ve Daubert Tier-1 kanıt zinciriyle aşağıda otopsi edilmiştir.</w:t>
      </w:r>
    </w:p>
    <w:p w:rsidR="00000000" w:rsidDel="00000000" w:rsidP="00000000" w:rsidRDefault="00000000" w:rsidRPr="00000000" w14:paraId="000000C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4.1. Türkiye (TR): 2001 Devalüasyonu, 2018 Kur Taarruzu, 2021 KKM ve 2024 Sifon Fazı</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Türkiye makroekonomisi, bilişsel finansal operasyonların ve sıcak para dalgalarının tarihsel laboratuvarı konumundadır. 2001 yılında, Milli Güvenlik Kurulu'nda yaşanan bir siyasi tartışmanın bilinçli ve orantısız şekilde köpürtülmesiyle gecelik faizlerin astronomik seviyelere çıkması, açık döviz pozisyonu taşıyan bankacılık sisteminin çökmesiyle sonuçlanmıştır. Bu kriz, kurumsal regülasyon eksikliğinin maliyetini göstermiştir.</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Ağustos 2018'de (Rahip Brunson krizi), tamamen jeopolitik bir baskı ve şantaj unsuru olarak, ABD merkezli kurumların açıklamalarıyla eşzamanlı şekilde Londra'daki tezgah üstü (OTC) swap piyasaları üzerinden Türk Lirası'na devasa açığa satış (short-selling) pozisyonları açılmıştır. Sosyal medyadaki bot hesaplar aracılığıyla yayılan sahte banka haberleri algoritmaları tetikleyerek </w:t>
      </w:r>
      <w:r w:rsidDel="00000000" w:rsidR="00000000" w:rsidRPr="00000000">
        <w:rPr>
          <w:rFonts w:ascii="Arial" w:cs="Arial" w:eastAsia="Arial" w:hAnsi="Arial"/>
          <w:color w:val="1f1f1f"/>
        </w:rPr>
        <w:drawing>
          <wp:inline distB="19050" distT="19050" distL="19050" distR="19050">
            <wp:extent cx="561082" cy="247256"/>
            <wp:effectExtent b="0" l="0" r="0" t="0"/>
            <wp:docPr id="18"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61082" cy="247256"/>
                    </a:xfrm>
                    <a:prstGeom prst="rect"/>
                    <a:ln/>
                  </pic:spPr>
                </pic:pic>
              </a:graphicData>
            </a:graphic>
          </wp:inline>
        </w:drawing>
      </w:r>
      <w:r w:rsidDel="00000000" w:rsidR="00000000" w:rsidRPr="00000000">
        <w:rPr>
          <w:rFonts w:ascii="Arial" w:cs="Arial" w:eastAsia="Arial" w:hAnsi="Arial"/>
          <w:color w:val="1f1f1f"/>
          <w:rtl w:val="0"/>
        </w:rPr>
        <w:t xml:space="preserve"> makasını rekor seviyede açmış ve likiditeyi kurutmuştur.</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Aralık 2021'de yeniden sahnelenen ve sosyal medyada örgütlenen benzer bir bilişsel manipülasyon dalgasına karşı Türkiye, bir "Stoa Devre Kesicisi" olarak Kur Korumalı Mevduat (KKM) enstrümanını devreye sokmuştur. Bu hamle, yerel tasarruf sahibinin dövize olan histerik talebini fiziksel bir kur garantisi teminatıyla keserek döviz talebini sönümlendirmiştir. 2024 yılı itibarıyla ise, yüksek faiz ortamında ülkeye giren kaynağı belirsiz carry trade fonlarının (İktisadi Karanlık Madde - Hazne Fazı) ani şoklarla çıkması potansiyeline karşı TCMB net rezerv birikimiyle olası bir "Sifon Fazı" tehlikesini sterilize etmeye çalışmaktadır.</w:t>
      </w:r>
    </w:p>
    <w:p w:rsidR="00000000" w:rsidDel="00000000" w:rsidP="00000000" w:rsidRDefault="00000000" w:rsidRPr="00000000" w14:paraId="000000C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4.2. Brezilya &amp; Güney Afrika (BR &amp; ZA): Lawfare Tasfiyesi ve FX Kartelleri</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Güney Yarımküre'nin bu iki BRICS üyesi devi, uluslararası kurumların (DOJ, FATF) ve özel bankacılık kartellerinin iç siyasete, kurumsal sanayiye ve döviz kurlarına nasıl sızdığının somut kanıtıdır. </w:t>
      </w:r>
      <w:r w:rsidDel="00000000" w:rsidR="00000000" w:rsidRPr="00000000">
        <w:rPr>
          <w:rFonts w:ascii="Arial" w:cs="Arial" w:eastAsia="Arial" w:hAnsi="Arial"/>
          <w:b w:val="1"/>
          <w:bCs w:val="1"/>
          <w:color w:val="1f1f1f"/>
          <w:rtl w:val="0"/>
        </w:rPr>
        <w:t xml:space="preserve">Brezilya (Lava Jato Operasyonu):</w:t>
      </w:r>
      <w:r w:rsidDel="00000000" w:rsidR="00000000" w:rsidRPr="00000000">
        <w:rPr>
          <w:rFonts w:ascii="Arial" w:cs="Arial" w:eastAsia="Arial" w:hAnsi="Arial"/>
          <w:color w:val="1f1f1f"/>
          <w:rtl w:val="0"/>
        </w:rPr>
        <w:t xml:space="preserve"> Yargıç Sergio Moro'nun yürüttüğü ve görünürde yolsuzlukla mücadele (Car Wash) amacı taşıyan operasyon, adli inceleme sonucunda Brezilya'nın dev sanayi altyapısını (özellikle Odebrecht ve Petrobras) küresel rakiplerine karşı tasfiye etme amaçlı bir uluslararası "Lawfare" (Yargısal Kuşatma) olduğu kanıtlanmıştır. Vaza Jato sızıntıları sonrası Brezilya Federal Yüksek Mahkemesi (STF), ABD Adalet Bakanlığı (DOJ) ile Brezilyalı savcılar arasındaki Karşılıklı Adli Yardımlaşma Antlaşması'nı (MLAT) baypas eden gizli işbirliğini tespit etmiştir. Mahkeme, Odebrecht'in milyarlarca dolarlık tarihi ceza ve itirafçı anlaşmasındaki kanıtları hukuka aykırı (imprestable) bularak iptal etmiştir</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Ancak bu yargısal mühendislik süreci, Brezilya GSYH'sinde ağır bir daralma ve milyonlarca istihdam kaybıyla sonuçlanmıştır. </w:t>
      </w:r>
      <w:r w:rsidDel="00000000" w:rsidR="00000000" w:rsidRPr="00000000">
        <w:rPr>
          <w:rFonts w:ascii="Arial" w:cs="Arial" w:eastAsia="Arial" w:hAnsi="Arial"/>
          <w:b w:val="1"/>
          <w:bCs w:val="1"/>
          <w:color w:val="1f1f1f"/>
          <w:rtl w:val="0"/>
        </w:rPr>
        <w:t xml:space="preserve">Güney Afrika:</w:t>
      </w:r>
      <w:r w:rsidDel="00000000" w:rsidR="00000000" w:rsidRPr="00000000">
        <w:rPr>
          <w:rFonts w:ascii="Arial" w:cs="Arial" w:eastAsia="Arial" w:hAnsi="Arial"/>
          <w:color w:val="1f1f1f"/>
          <w:rtl w:val="0"/>
        </w:rPr>
        <w:t xml:space="preserve"> Döviz ve faiz kartellerinin nasıl çalıştığını gösteren çarpıcı bir adli vaka, Güney Afrika Randı (ZAR) manipülasyonudur. 2007-2013 yılları arasında, aralarında Standard Chartered, Barclays ve Citibank'ın da bulunduğu 28 küresel banka traderının "Old Gits" ve "ZAR" adlı Bloomberg chat odalarında gizlice anlaşarak ZAR kotasyonlarını, spreadlerini ve WMR (fix) oranlarını yapay olarak belirledikleri resmi soruşturmalarla kanıtlanmıştır</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Standard Chartered, rekabet komisyonu ile uzlaşarak New York'ta 40 milyon dolar, Güney Afrika'da ise 42.7 milyon ZAR ceza ödemeyi kabul etmiştir</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Ek olarak, Güney Afrika Şubat 2023'te FATF Gri Listesi'ne alınarak dış finansmanda jeopolitik bir tecride zorlanmış, stratejik savunma sonrası Ekim 2025 Plenary toplantısında listeden ancak çıkarılabilmiştir</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4.3. Hindistan (IND): Hindenburg-Adani Raporu ve Asimetrik Açığa Satış Taarruzu</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24 Ocak 2023'te ABD merkezli açığa satışçı Hindenburg Research, Hindistan'ın en büyük altyapı ve enerji holdinglerinden Adani Group'a karşı muhasebe hilesi ve hisse manipülasyonu suçlamalarını barındıran devasa bir itibar suikastı raporu yayımlayarak 150 milyar dolarlık piyasa değeri erimesine neden olmuştur. Hindistan piyasa düzenleyicisi SEBI'nin (Securities and Exchange Board of India) Hindenburg ve yöneticisi Nathan Anderson'a yönelik hazırladığı 46 sayfalık "Show Cause Notice" (Adli İdari Tebligat)</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asimetrik harbin mekanizmasını ifşa etmiştir. SEBI belgelerine göre Hindenburg, rapor yayımlanmadan aylar önce taslağı ABD'li fon Kingdon Capital Management'a sızdırmıştır. Kingdon ise Kotak Mahindra Bank aracılığıyla kurduğu Mauritius merkezli "K-India Opportunities Fund" (KIOF) üzerinden Adani hisselerinde vadeli işlem (futures) piyasasında yasadışı gizli kısa (short) pozisyonlar inşa etmiştir</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Adli otopsi, milyarlarca dolarlık çöküşe rağmen Hindenburg'un operasyondan yalnızca 4.1 milyon dolar, konsorsiyumun ise net 22.11 milyon dolar kazanç elde ettiğini ortaya koymuştur</w:t>
      </w:r>
      <w:r w:rsidDel="00000000" w:rsidR="00000000" w:rsidRPr="00000000">
        <w:rPr>
          <w:rFonts w:ascii="Arial" w:cs="Arial" w:eastAsia="Arial" w:hAnsi="Arial"/>
          <w:color w:val="444746"/>
          <w:sz w:val="24"/>
          <w:szCs w:val="24"/>
          <w:vertAlign w:val="superscript"/>
          <w:rtl w:val="0"/>
        </w:rPr>
        <w:t xml:space="preserve">39</w:t>
      </w:r>
      <w:r w:rsidDel="00000000" w:rsidR="00000000" w:rsidRPr="00000000">
        <w:rPr>
          <w:rFonts w:ascii="Arial" w:cs="Arial" w:eastAsia="Arial" w:hAnsi="Arial"/>
          <w:color w:val="1f1f1f"/>
          <w:rtl w:val="0"/>
        </w:rPr>
        <w:t xml:space="preserve">. Bu durum, operasyonun salt kâr amacı gütmediğini; asıl niyetin Hindistan'ın liman, enerji ve altyapı büyümesini küresel ölçekte durdurmayı hedefleyen bir jeo-ekonomik sabotaj olduğunu doğrulamaktadır.</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4.4. Almanya &amp; Avrupa Kanadı (DE, FR, NL): TTF Gaz Spekülasyonu, Doppelgänger Klon Ağları ve ASML Çip Ambargosu</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Kıta Avrupası, enerji şantajı, kitlesel bilişsel operasyonlar ve yüksek teknoloji tedarik zinciri blokajlarının merkez üssü haline gelmiştir. </w:t>
      </w:r>
      <w:r w:rsidDel="00000000" w:rsidR="00000000" w:rsidRPr="00000000">
        <w:rPr>
          <w:rFonts w:ascii="Arial" w:cs="Arial" w:eastAsia="Arial" w:hAnsi="Arial"/>
          <w:b w:val="1"/>
          <w:bCs w:val="1"/>
          <w:color w:val="1f1f1f"/>
          <w:rtl w:val="0"/>
        </w:rPr>
        <w:t xml:space="preserve">Doppelgänger ve Portal Kombat (FR/DE):</w:t>
      </w:r>
      <w:r w:rsidDel="00000000" w:rsidR="00000000" w:rsidRPr="00000000">
        <w:rPr>
          <w:rFonts w:ascii="Arial" w:cs="Arial" w:eastAsia="Arial" w:hAnsi="Arial"/>
          <w:color w:val="1f1f1f"/>
          <w:rtl w:val="0"/>
        </w:rPr>
        <w:t xml:space="preserve"> Rus istihbaratıyla ilişkili Social Design Agency (SDA) ve Structura gibi kurumlar tarafından koordine edilen bu bilişsel ağlar; Le Monde, Der Spiegel ve Batılı bakanlıkların internet sitelerinin birebir görsel klonlarını (Doppelgänger) üreterek, sahte hükümet kararları ve yalan haberleri sirkülasyona sokmuştur</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Fransız siber ve bilişsel savunma kurumu VIGINUM (SGDSN), Kırım merkezli 193 alan adından oluşan "Portal Kombat" ağının</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ve "Storm-1516"</w:t>
      </w:r>
      <w:r w:rsidDel="00000000" w:rsidR="00000000" w:rsidRPr="00000000">
        <w:rPr>
          <w:rFonts w:ascii="Arial" w:cs="Arial" w:eastAsia="Arial" w:hAnsi="Arial"/>
          <w:color w:val="444746"/>
          <w:sz w:val="24"/>
          <w:szCs w:val="24"/>
          <w:vertAlign w:val="superscript"/>
          <w:rtl w:val="0"/>
        </w:rPr>
        <w:t xml:space="preserve">43</w:t>
      </w:r>
      <w:r w:rsidDel="00000000" w:rsidR="00000000" w:rsidRPr="00000000">
        <w:rPr>
          <w:rFonts w:ascii="Arial" w:cs="Arial" w:eastAsia="Arial" w:hAnsi="Arial"/>
          <w:color w:val="1f1f1f"/>
          <w:rtl w:val="0"/>
        </w:rPr>
        <w:t xml:space="preserve"> adlı aktörün, özellikle seçim dönemlerinde Avrupa'da siyasi bölünme ve finansal panik (bankalara hücum, döviz çıkışı) yaratma faaliyetlerini teknik olarak deşifre etmiş ve raporlamıştır. </w:t>
      </w:r>
      <w:r w:rsidDel="00000000" w:rsidR="00000000" w:rsidRPr="00000000">
        <w:rPr>
          <w:rFonts w:ascii="Arial" w:cs="Arial" w:eastAsia="Arial" w:hAnsi="Arial"/>
          <w:b w:val="1"/>
          <w:bCs w:val="1"/>
          <w:color w:val="1f1f1f"/>
          <w:rtl w:val="0"/>
        </w:rPr>
        <w:t xml:space="preserve">TTF ve ASML (NLD):</w:t>
      </w:r>
      <w:r w:rsidDel="00000000" w:rsidR="00000000" w:rsidRPr="00000000">
        <w:rPr>
          <w:rFonts w:ascii="Arial" w:cs="Arial" w:eastAsia="Arial" w:hAnsi="Arial"/>
          <w:color w:val="1f1f1f"/>
          <w:rtl w:val="0"/>
        </w:rPr>
        <w:t xml:space="preserve"> Hollanda, Avrupa'nın hem enerji fiyatlama hem de kritik teknoloji kırılganlığının merkezidir. Title Transfer Facility (TTF) doğalgaz borsasındaki spekülatif algoritmik hareketler, Alman (DAX) ve Hollanda sanayisini ağır bir üretim ve maliyet şokuna sürüklemiştir. Eşzamanlı olarak, ABD Ticaret Bakanlığı Sanayi ve Güvenlik Bürosu (BIS), İhracat İdaresi Yönetmelikleri (EAR)</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w:cs="Arial" w:eastAsia="Arial" w:hAnsi="Arial"/>
          <w:color w:val="1f1f1f"/>
          <w:rtl w:val="0"/>
        </w:rPr>
        <w:t xml:space="preserve"> aracılığıyla Hollandalı ileri düzey litografi ve çip üreticisi ASML'nin Çin'e olan ihracatını (MATCH Act ve Affiliates Rule baskılarıyla) bloke ederek, Hollanda'nın ticari egemenliğine fiilen müdahale etmiş ve küresel çip tedarik hattını asimetrik bir yaptırım silahına dönüştürmüştür.</w:t>
      </w:r>
    </w:p>
    <w:p w:rsidR="00000000" w:rsidDel="00000000" w:rsidP="00000000" w:rsidRDefault="00000000" w:rsidRPr="00000000" w14:paraId="000000C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4.5. Japonya (JP): 1997 Yamaichi İflası ve 5 Ağustos 2024 Yen Carry Trade Likidite Depremi</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1997 yılında Asya krizi dalgasıyla batan ve zararlarını yasadışı "Tobashi" (kayıpları gizleme) yöntemiyle bilançosunda saklayan Yamaichi Securities olayı, Japon finans sistemindeki şeffaflık zafiyetini gözler önüne sermişti. Bu olaydan on yıllar sonra, Japonya'nın uyguladığı devasa parasal genişleme ve sıfır/negatif faiz politikası, tüm dünyanın ucuz Yen borçlanıp (Yen Carry Trade) gelişmekte olan yüksek getirili ülke varlıklarına (Meksika Pezosu, Brezilya Reali, hisse senetleri) yatırım yaptığı devasa bir küresel kaldıraç mekanizmasına dönüşmüştür. Ancak 5 Ağustos 2024'te Japonya Merkez Bankası'nın (BoJ) attığı sürpriz faiz artırımı adımıyla bu devasa yapı aniden çözülmüştür (Unwind). Bu çözülme, trilyonlarca dolarlık pozisyonun panik halinde tasfiyesine yol açarak, Asya borsalarından Latin Amerika kurlarına kadar yayılan ve HFT algoritmalarının satış sarmalını hızlandırdığı emsali görülmemiş küresel bir likidite vakumunu (Dijital Sifon Fazı) tetiklemiştir.</w:t>
      </w:r>
    </w:p>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5: ÇOK KUTUPLU YENİ SAVUNMA DOKTRİNİ VE DEVRE KESİCİLER</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Artan hibrit, siber, hukuki ve finansal saldırılar karşısında egemen devletler, sadece pasif faiz veya maliye politikalarıyla yetinmeyip, piyasalarını ve toplum psikolojisini korumak için 5 katmanlı yeni nesil bir savunma ve "Devre Kesici" (Circuit Breakers) mimarisi inşa etmektedir:</w:t>
      </w:r>
    </w:p>
    <w:p w:rsidR="00000000" w:rsidDel="00000000" w:rsidP="00000000" w:rsidRDefault="00000000" w:rsidRPr="00000000" w14:paraId="000000D0">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Stoa Devre Kesicileri ve Swap Kalkanları:</w:t>
      </w:r>
      <w:r w:rsidDel="00000000" w:rsidR="00000000" w:rsidRPr="00000000">
        <w:rPr>
          <w:rFonts w:ascii="Arial" w:cs="Arial" w:eastAsia="Arial" w:hAnsi="Arial"/>
          <w:color w:val="1f1f1f"/>
          <w:rtl w:val="0"/>
        </w:rPr>
        <w:t xml:space="preserve"> Türkiye'nin Londra offshore piyasalarına sağladığı TL likiditesini bankacılık özkaynak rasyoları ile sınırlandırması ve Borsa İstanbul'daki EBDKS (Endekse Bağlı Devre Kesici Sistemi) mekanizmaları, açığa satışçıların algoritma döngülerini kıran somut finansal barikatlardır. Aynı şekilde G. Kore (KFSB) kriz anlarında açığa satışı topyekûn yasaklayarak likidite çöküşünü durdurmaktadır.</w:t>
      </w:r>
    </w:p>
    <w:p w:rsidR="00000000" w:rsidDel="00000000" w:rsidP="00000000" w:rsidRDefault="00000000" w:rsidRPr="00000000" w14:paraId="000000D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Public Liquidity Backstop (PLB) ve Merkez Bankası Acil Müdahaleleri:</w:t>
      </w:r>
      <w:r w:rsidDel="00000000" w:rsidR="00000000" w:rsidRPr="00000000">
        <w:rPr>
          <w:rFonts w:ascii="Arial" w:cs="Arial" w:eastAsia="Arial" w:hAnsi="Arial"/>
          <w:color w:val="1f1f1f"/>
          <w:rtl w:val="0"/>
        </w:rPr>
        <w:t xml:space="preserve"> İsviçre Federal Konseyi, Credit Suisse'in Mart 2023'te sosyal medya dedikoduları ve AT1 tahvil paniği üzerinden gelen dijital banka hücumuyla çökmesini engellemek için anayasal acil durum yetkilerini kullanarak (PLB-EO), Merkez Bankası (SNB) üzerinden devasa bir Kamu Likidite Desteği (PLB) ihdas etmiştir</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İngiltere Merkez Bankası (BoE) da LDI krizi sırasında Gilt piyasasına benzer bir doğrudan müdahalede bulunmuştur</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D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Siber Risk Regülasyonları ve Bilişsel İstihbarat (OSFI B-13 &amp; VIGINUM):</w:t>
      </w:r>
      <w:r w:rsidDel="00000000" w:rsidR="00000000" w:rsidRPr="00000000">
        <w:rPr>
          <w:rFonts w:ascii="Arial" w:cs="Arial" w:eastAsia="Arial" w:hAnsi="Arial"/>
          <w:color w:val="1f1f1f"/>
          <w:rtl w:val="0"/>
        </w:rPr>
        <w:t xml:space="preserve"> Gelişmiş ülkeler bilişsel ve siber tehditleri resmi düzenleme alanına almıştır. Kanada'nın federal finans otoriteleri (OSFI), "Guideline B-13" (Teknoloji ve Siber Risk Yönetimi) standardını</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zorunlu kılarak finans kuruluşlarını üçüncü taraf (third-party) siber sızmalarına ve IT altyapı manipülasyonlarına karşı yasal koruma kalkanına almıştır. Bilişsel sahada ise Fransa'nın VIGINUM'u</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w:cs="Arial" w:eastAsia="Arial" w:hAnsi="Arial"/>
          <w:color w:val="1f1f1f"/>
          <w:rtl w:val="0"/>
        </w:rPr>
        <w:t xml:space="preserve"> ve İsveç'in Psikolojik Savunma Ajansı (MPF)</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w:cs="Arial" w:eastAsia="Arial" w:hAnsi="Arial"/>
          <w:color w:val="1f1f1f"/>
          <w:rtl w:val="0"/>
        </w:rPr>
        <w:t xml:space="preserve">, yabancı devlet destekli bilgi operasyonlarını anında tespit edip kamuoyunu aşılayan (pre-bunking) kritik kurumlardır.</w:t>
      </w:r>
    </w:p>
    <w:p w:rsidR="00000000" w:rsidDel="00000000" w:rsidP="00000000" w:rsidRDefault="00000000" w:rsidRPr="00000000" w14:paraId="000000D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Alternatif Takas Hatları ve Egemen Fon Tahkimatı (GPFG Modeli):</w:t>
      </w:r>
      <w:r w:rsidDel="00000000" w:rsidR="00000000" w:rsidRPr="00000000">
        <w:rPr>
          <w:rFonts w:ascii="Arial" w:cs="Arial" w:eastAsia="Arial" w:hAnsi="Arial"/>
          <w:color w:val="1f1f1f"/>
          <w:rtl w:val="0"/>
        </w:rPr>
        <w:t xml:space="preserve"> ABD yaptırım tehditlerine ve FATF gri liste (diplomatik şantaj) süreçlerine karşı ülkeler, SWIFT sistemine alternatif olarak yerel para birimi takas hatları (PBOC swapları), alternatif mesajlaşma sistemleri (CIPS, SPFS) ve fiziki altın rezerv tahkimatı geliştirmektedir. Norveç gibi devletler ise 1.6 trilyon dolarlık Varlık Fonu (GPFG)</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üzerinden fosil yakıt (ESG) divestment kararlarıyla hem kendi ekonomisini petrol şoklarından (buffer) korumakta hem de küresel şirketler üzerinde yaptırım benzeri bir finansal denetim gücü kurmaktadır.</w:t>
      </w:r>
    </w:p>
    <w:p w:rsidR="00000000" w:rsidDel="00000000" w:rsidP="00000000" w:rsidRDefault="00000000" w:rsidRPr="00000000" w14:paraId="000000D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Karşı-Hukuk Harbi (Anti-Lawfare) Stratejileri:</w:t>
      </w:r>
      <w:r w:rsidDel="00000000" w:rsidR="00000000" w:rsidRPr="00000000">
        <w:rPr>
          <w:rFonts w:ascii="Arial" w:cs="Arial" w:eastAsia="Arial" w:hAnsi="Arial"/>
          <w:color w:val="1f1f1f"/>
          <w:rtl w:val="0"/>
        </w:rPr>
        <w:t xml:space="preserve"> Gelişmekte olan ülkeler uluslararası kurumlara karşı yasal direnç mekanizmaları geliştirmektedir. Endonezya'nın nikel ihracat yasağına karşı açılan DTÖ kararlarını, ABD'nin DTÖ Temyiz Organı yargıç atamalarını engellemesinden doğan hukuki boşluğu kullanarak ("Boşluğa Temyiz") aşması; ve Brezilya Federal Yüksek Mahkemesi'nin (STF) Lava Jato sürecindeki DOJ-Savcı gizli yazışmalarını deşifre ederek yaptırım kararlarını iptal etmesi</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bu savunma doktrininin en başarılı emsalleridir.</w:t>
      </w:r>
    </w:p>
    <w:p w:rsidR="00000000" w:rsidDel="00000000" w:rsidP="00000000" w:rsidRDefault="00000000" w:rsidRPr="00000000" w14:paraId="000000D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BÖLÜM 6: T2SAIM DOĞRULUK VE EPİSTEMİK KANIT TABLOSU</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Veritas Per Se metodolojisi ve Anti-Fabrication protokolü gereği, bu adli raporda yer alan iddiaların, finansal operasyonların ve devlet müdahalelerinin hiçbiri sentetik veri değildir. Tüm analiz süreci, bağımsız olarak teyit edilmiş, resmi makamlarca yayımlanmış aşağıdaki Daubert Tier-1 adli kanıt zincirine dayandırılmıştır.</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İddia / Manipülasyon Vakası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Birincil Adli Kanıt, Mevzuat ve Otorite Kaynağı</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Doğrulama Çıktısı (Dosya Referans Özeti)</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Hindistan / Adani Açığa Satış ve İtibar Suikastı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SEBI Show Cause Notice (46 Sayfa Resmi Tebligat)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Hindenburg (Nathan Anderson), Kingdon Capital ve Kotak Mahindra (KIOF) fonunun offshore organize kısa pozisyon inşa ettiğinin ispatı.</w:t>
            </w:r>
            <w:r w:rsidDel="00000000" w:rsidR="00000000" w:rsidRPr="00000000">
              <w:rPr>
                <w:rFonts w:ascii="Arial" w:cs="Arial" w:eastAsia="Arial" w:hAnsi="Arial"/>
                <w:color w:val="444746"/>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Brezilya / Lava Jato Lawfare Tasfiyesinin İptali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STF (Brezilya Federal Yüksek Mahkemesi) Kararları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ABD DOJ ile MLAT kural dışı işbirliği tespiti, Odebrecht milyarlık ceza anlaşma kanıtlarının imprestable (geçersiz) sayılması.</w:t>
            </w:r>
            <w:r w:rsidDel="00000000" w:rsidR="00000000" w:rsidRPr="00000000">
              <w:rPr>
                <w:rFonts w:ascii="Arial" w:cs="Arial" w:eastAsia="Arial" w:hAnsi="Arial"/>
                <w:color w:val="444746"/>
                <w:sz w:val="24"/>
                <w:szCs w:val="24"/>
                <w:vertAlign w:val="superscript"/>
                <w:rtl w:val="0"/>
              </w:rPr>
              <w:t xml:space="preserve">26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Güney Afrika / Döviz Karteli Manipülasyonu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Rekabet Komisyonu ve NY Mahkeme Kararları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28 bankanın katıldığı "Old Gits" chat odası kayıtları; Standard Chartered'ın manipülasyonu kabul ederek 42.7M ZAR ve 40M USD ceza uzlaşması.</w:t>
            </w:r>
            <w:r w:rsidDel="00000000" w:rsidR="00000000" w:rsidRPr="00000000">
              <w:rPr>
                <w:rFonts w:ascii="Arial" w:cs="Arial" w:eastAsia="Arial" w:hAnsi="Arial"/>
                <w:color w:val="444746"/>
                <w:sz w:val="24"/>
                <w:szCs w:val="24"/>
                <w:vertAlign w:val="superscript"/>
                <w:rtl w:val="0"/>
              </w:rPr>
              <w:t xml:space="preserve">24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FATF Jeopolitik Liste Baskısı (Gri Liste)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FATF Plenary (Genel Kurul) Resmi Bildirgeleri (2022-2026)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Türkiye, BAE (Şub 2024), G.Afrika ve Nijerya'nın (Ekim 2025) stratejik eksiklik gerekçesiyle listede tutulması ve sonrasında çıkarılış süreçleri.</w:t>
            </w:r>
            <w:r w:rsidDel="00000000" w:rsidR="00000000" w:rsidRPr="00000000">
              <w:rPr>
                <w:rFonts w:ascii="Arial" w:cs="Arial" w:eastAsia="Arial" w:hAnsi="Arial"/>
                <w:color w:val="444746"/>
                <w:sz w:val="24"/>
                <w:szCs w:val="24"/>
                <w:vertAlign w:val="superscript"/>
                <w:rtl w:val="0"/>
              </w:rPr>
              <w:t xml:space="preserve">22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Avrupa Bilişsel Dezenformasyon Ağı (Klon Medya)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SGDSN / VIGINUM Teknik Deşifre Raporları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Rusya destekli SDA/Structura kontrolündeki "Portal Kombat" (193 alan adı) ve "Doppelgänger" (Storm-1516) ağlarının teknik ifşası.</w:t>
            </w:r>
            <w:r w:rsidDel="00000000" w:rsidR="00000000" w:rsidRPr="00000000">
              <w:rPr>
                <w:rFonts w:ascii="Arial" w:cs="Arial" w:eastAsia="Arial" w:hAnsi="Arial"/>
                <w:color w:val="444746"/>
                <w:sz w:val="24"/>
                <w:szCs w:val="24"/>
                <w:vertAlign w:val="superscript"/>
                <w:rtl w:val="0"/>
              </w:rPr>
              <w:t xml:space="preserve">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Hollanda ASML Teknolojik Ambargo Dayatması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US BIS (Bureau of Industry and Security) EAR Kuralları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Fotolitografi (EUV/DUV) cihazlarına getirilen çok taraflı ihracat kısıtlamaları (MATCH Act &amp; Affiliates Rule).</w:t>
            </w:r>
            <w:r w:rsidDel="00000000" w:rsidR="00000000" w:rsidRPr="00000000">
              <w:rPr>
                <w:rFonts w:ascii="Arial" w:cs="Arial" w:eastAsia="Arial" w:hAnsi="Arial"/>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İsviçre Kriz Likidite Kalkanı (Credit Suisse)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İsviçre Federal Konseyi Acil Durum Kararnamesi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Banka çöküşünü önlemek için olağanüstü hal yasasıyla çıkarılan Kamu Likidite Desteği (Public Liquidity Backstop - PLB) mekanizması.</w:t>
            </w:r>
            <w:r w:rsidDel="00000000" w:rsidR="00000000" w:rsidRPr="00000000">
              <w:rPr>
                <w:rFonts w:ascii="Arial" w:cs="Arial" w:eastAsia="Arial" w:hAnsi="Arial"/>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Kanada Finansal Siber Güvenlik Altyapısı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OSFI Guideline B-13 Raporu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Federally Regulated Financial Institutions (FRFI) için bağlayıcı kılınan, banka ve sigortaları siber riske karşı koruyan operasyonel standart.</w:t>
            </w:r>
            <w:r w:rsidDel="00000000" w:rsidR="00000000" w:rsidRPr="00000000">
              <w:rPr>
                <w:rFonts w:ascii="Arial" w:cs="Arial" w:eastAsia="Arial" w:hAnsi="Arial"/>
                <w:color w:val="444746"/>
                <w:sz w:val="24"/>
                <w:szCs w:val="24"/>
                <w:vertAlign w:val="superscript"/>
                <w:rtl w:val="0"/>
              </w:rPr>
              <w:t xml:space="preserve">32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Piyasa Mikroyapısı, Likidite ve Fiyat Etkisi Formülasyonları</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Ekonofizik Makaleleri ve Finansal Modellemeler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Bilgi asimetrisini açıklayan Glosten-Milgrom (1985) kotasyon aralığı teorisi ve piyasa derinliği ile fiyat şokunu ölçen Kyle's Lambda modeli.</w:t>
            </w:r>
            <w:r w:rsidDel="00000000" w:rsidR="00000000" w:rsidRPr="00000000">
              <w:rPr>
                <w:rFonts w:ascii="Arial" w:cs="Arial" w:eastAsia="Arial" w:hAnsi="Arial"/>
                <w:color w:val="444746"/>
                <w:sz w:val="24"/>
                <w:szCs w:val="24"/>
                <w:vertAlign w:val="superscript"/>
                <w:rtl w:val="0"/>
              </w:rPr>
              <w:t xml:space="preserve">1</w:t>
            </w:r>
          </w:p>
        </w:tc>
      </w:tr>
    </w:tbl>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This is for informational purposes only. For medical advice or diagnosis, consult a professional.</w:t>
      </w:r>
    </w:p>
    <w:p w:rsidR="00000000" w:rsidDel="00000000" w:rsidP="00000000" w:rsidRDefault="00000000" w:rsidRPr="00000000" w14:paraId="000000F7">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Alıntılanan çalışmalar</w:t>
      </w:r>
    </w:p>
    <w:p w:rsidR="00000000" w:rsidDel="00000000" w:rsidP="00000000" w:rsidRDefault="00000000" w:rsidRPr="00000000" w14:paraId="000000F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Advanced Applications through Intraday Data: Behavioral Finance, </w:t>
      </w:r>
      <w:hyperlink r:id="rId22">
        <w:r w:rsidDel="00000000" w:rsidR="00000000" w:rsidRPr="00000000">
          <w:rPr>
            <w:rFonts w:ascii="Arial" w:cs="Arial" w:eastAsia="Arial" w:hAnsi="Arial"/>
            <w:color w:val="0000ee"/>
            <w:sz w:val="24"/>
            <w:szCs w:val="24"/>
            <w:u w:val="single"/>
            <w:rtl w:val="0"/>
          </w:rPr>
          <w:t xml:space="preserve">https://www.cmri.or.th/stocks/wcm_file_manager/o0x0/1p/w4/1pw4udqawad/AdvancedApplicationsthroughIntradayData.pdf</w:t>
        </w:r>
      </w:hyperlink>
      <w:r w:rsidDel="00000000" w:rsidR="00000000" w:rsidRPr="00000000">
        <w:rPr>
          <w:rtl w:val="0"/>
        </w:rPr>
      </w:r>
    </w:p>
    <w:p w:rsidR="00000000" w:rsidDel="00000000" w:rsidP="00000000" w:rsidRDefault="00000000" w:rsidRPr="00000000" w14:paraId="000000F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(DOC) Understanding Bid – Ask Spread: – Simulation Approach, </w:t>
      </w:r>
      <w:hyperlink r:id="rId23">
        <w:r w:rsidDel="00000000" w:rsidR="00000000" w:rsidRPr="00000000">
          <w:rPr>
            <w:rFonts w:ascii="Arial" w:cs="Arial" w:eastAsia="Arial" w:hAnsi="Arial"/>
            <w:color w:val="0000ee"/>
            <w:sz w:val="24"/>
            <w:szCs w:val="24"/>
            <w:u w:val="single"/>
            <w:rtl w:val="0"/>
          </w:rPr>
          <w:t xml:space="preserve">https://www.academia.edu/36394386/Understanding_Bid_Ask_Spread_Simulation_Approach</w:t>
        </w:r>
      </w:hyperlink>
      <w:r w:rsidDel="00000000" w:rsidR="00000000" w:rsidRPr="00000000">
        <w:rPr>
          <w:rtl w:val="0"/>
        </w:rPr>
      </w:r>
    </w:p>
    <w:p w:rsidR="00000000" w:rsidDel="00000000" w:rsidP="00000000" w:rsidRDefault="00000000" w:rsidRPr="00000000" w14:paraId="000000F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Essays on Market Microstructure - Helda, </w:t>
      </w:r>
      <w:hyperlink r:id="rId24">
        <w:r w:rsidDel="00000000" w:rsidR="00000000" w:rsidRPr="00000000">
          <w:rPr>
            <w:rFonts w:ascii="Arial" w:cs="Arial" w:eastAsia="Arial" w:hAnsi="Arial"/>
            <w:color w:val="0000ee"/>
            <w:sz w:val="24"/>
            <w:szCs w:val="24"/>
            <w:u w:val="single"/>
            <w:rtl w:val="0"/>
          </w:rPr>
          <w:t xml:space="preserve">https://helda.helsinki.fi/bitstreams/96786caf-c857-487f-b731-a7799e1d774c/download</w:t>
        </w:r>
      </w:hyperlink>
      <w:r w:rsidDel="00000000" w:rsidR="00000000" w:rsidRPr="00000000">
        <w:rPr>
          <w:rtl w:val="0"/>
        </w:rPr>
      </w:r>
    </w:p>
    <w:p w:rsidR="00000000" w:rsidDel="00000000" w:rsidP="00000000" w:rsidRDefault="00000000" w:rsidRPr="00000000" w14:paraId="000000F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Kyle's Lambda: Price Impact and the Cost of Informed Trading, </w:t>
      </w:r>
      <w:hyperlink r:id="rId25">
        <w:r w:rsidDel="00000000" w:rsidR="00000000" w:rsidRPr="00000000">
          <w:rPr>
            <w:rFonts w:ascii="Arial" w:cs="Arial" w:eastAsia="Arial" w:hAnsi="Arial"/>
            <w:color w:val="0000ee"/>
            <w:sz w:val="24"/>
            <w:szCs w:val="24"/>
            <w:u w:val="single"/>
            <w:rtl w:val="0"/>
          </w:rPr>
          <w:t xml:space="preserve">https://microalphas.com/kyles-lambda/</w:t>
        </w:r>
      </w:hyperlink>
      <w:r w:rsidDel="00000000" w:rsidR="00000000" w:rsidRPr="00000000">
        <w:rPr>
          <w:rtl w:val="0"/>
        </w:rPr>
      </w:r>
    </w:p>
    <w:p w:rsidR="00000000" w:rsidDel="00000000" w:rsidP="00000000" w:rsidRDefault="00000000" w:rsidRPr="00000000" w14:paraId="000000F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Kyle's Lambda and the Kyle Model Explained (2026) - Quantt, </w:t>
      </w:r>
      <w:hyperlink r:id="rId26">
        <w:r w:rsidDel="00000000" w:rsidR="00000000" w:rsidRPr="00000000">
          <w:rPr>
            <w:rFonts w:ascii="Arial" w:cs="Arial" w:eastAsia="Arial" w:hAnsi="Arial"/>
            <w:color w:val="0000ee"/>
            <w:sz w:val="24"/>
            <w:szCs w:val="24"/>
            <w:u w:val="single"/>
            <w:rtl w:val="0"/>
          </w:rPr>
          <w:t xml:space="preserve">https://www.quantt.co.uk/resources/kyle-model-and-kyles-lambda</w:t>
        </w:r>
      </w:hyperlink>
      <w:r w:rsidDel="00000000" w:rsidR="00000000" w:rsidRPr="00000000">
        <w:rPr>
          <w:rtl w:val="0"/>
        </w:rPr>
      </w:r>
    </w:p>
    <w:p w:rsidR="00000000" w:rsidDel="00000000" w:rsidP="00000000" w:rsidRDefault="00000000" w:rsidRPr="00000000" w14:paraId="000000F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 Proxies for Informed Trading Measure Informed Trading ... - NBER, </w:t>
      </w:r>
      <w:hyperlink r:id="rId27">
        <w:r w:rsidDel="00000000" w:rsidR="00000000" w:rsidRPr="00000000">
          <w:rPr>
            <w:rFonts w:ascii="Arial" w:cs="Arial" w:eastAsia="Arial" w:hAnsi="Arial"/>
            <w:color w:val="0000ee"/>
            <w:sz w:val="24"/>
            <w:szCs w:val="24"/>
            <w:u w:val="single"/>
            <w:rtl w:val="0"/>
          </w:rPr>
          <w:t xml:space="preserve">https://www.nber.org/system/files/working_papers/w24297/w24297.pdf</w:t>
        </w:r>
      </w:hyperlink>
      <w:r w:rsidDel="00000000" w:rsidR="00000000" w:rsidRPr="00000000">
        <w:rPr>
          <w:rtl w:val="0"/>
        </w:rPr>
      </w:r>
    </w:p>
    <w:p w:rsidR="00000000" w:rsidDel="00000000" w:rsidP="00000000" w:rsidRDefault="00000000" w:rsidRPr="00000000" w14:paraId="000000F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An Empirical Analysis on Financial Markets: Insights from the ... - arXiv, </w:t>
      </w:r>
      <w:hyperlink r:id="rId28">
        <w:r w:rsidDel="00000000" w:rsidR="00000000" w:rsidRPr="00000000">
          <w:rPr>
            <w:rFonts w:ascii="Arial" w:cs="Arial" w:eastAsia="Arial" w:hAnsi="Arial"/>
            <w:color w:val="0000ee"/>
            <w:sz w:val="24"/>
            <w:szCs w:val="24"/>
            <w:u w:val="single"/>
            <w:rtl w:val="0"/>
          </w:rPr>
          <w:t xml:space="preserve">https://arxiv.org/html/2308.14235v6</w:t>
        </w:r>
      </w:hyperlink>
      <w:r w:rsidDel="00000000" w:rsidR="00000000" w:rsidRPr="00000000">
        <w:rPr>
          <w:rtl w:val="0"/>
        </w:rPr>
      </w:r>
    </w:p>
    <w:p w:rsidR="00000000" w:rsidDel="00000000" w:rsidP="00000000" w:rsidRDefault="00000000" w:rsidRPr="00000000" w14:paraId="000000F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Switzerland: Financial Sector Assessment Program-Technical Note, </w:t>
      </w:r>
      <w:hyperlink r:id="rId29">
        <w:r w:rsidDel="00000000" w:rsidR="00000000" w:rsidRPr="00000000">
          <w:rPr>
            <w:rFonts w:ascii="Arial" w:cs="Arial" w:eastAsia="Arial" w:hAnsi="Arial"/>
            <w:color w:val="0000ee"/>
            <w:sz w:val="24"/>
            <w:szCs w:val="24"/>
            <w:u w:val="single"/>
            <w:rtl w:val="0"/>
          </w:rPr>
          <w:t xml:space="preserve">https://www.elibrary.imf.org/view/journals/002/2025/297/article-A001-en.xml</w:t>
        </w:r>
      </w:hyperlink>
      <w:r w:rsidDel="00000000" w:rsidR="00000000" w:rsidRPr="00000000">
        <w:rPr>
          <w:rtl w:val="0"/>
        </w:rPr>
      </w:r>
    </w:p>
    <w:p w:rsidR="00000000" w:rsidDel="00000000" w:rsidP="00000000" w:rsidRDefault="00000000" w:rsidRPr="00000000" w14:paraId="0000010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Federal Council Submits Draft Legislation on the Introduction of a, </w:t>
      </w:r>
      <w:hyperlink r:id="rId30">
        <w:r w:rsidDel="00000000" w:rsidR="00000000" w:rsidRPr="00000000">
          <w:rPr>
            <w:rFonts w:ascii="Arial" w:cs="Arial" w:eastAsia="Arial" w:hAnsi="Arial"/>
            <w:color w:val="0000ee"/>
            <w:sz w:val="24"/>
            <w:szCs w:val="24"/>
            <w:u w:val="single"/>
            <w:rtl w:val="0"/>
          </w:rPr>
          <w:t xml:space="preserve">https://caplaw.ch/2023/federal-council-submits-draft-legislation-on-the-introduction-of-a-public-liquidity-backstop-plb-for-systemically-important-banks-to-the-swiss-parliament/</w:t>
        </w:r>
      </w:hyperlink>
      <w:r w:rsidDel="00000000" w:rsidR="00000000" w:rsidRPr="00000000">
        <w:rPr>
          <w:rtl w:val="0"/>
        </w:rPr>
      </w:r>
    </w:p>
    <w:p w:rsidR="00000000" w:rsidDel="00000000" w:rsidP="00000000" w:rsidRDefault="00000000" w:rsidRPr="00000000" w14:paraId="0000010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yeni insan - dokumen.pub, </w:t>
      </w:r>
      <w:hyperlink r:id="rId31">
        <w:r w:rsidDel="00000000" w:rsidR="00000000" w:rsidRPr="00000000">
          <w:rPr>
            <w:rFonts w:ascii="Arial" w:cs="Arial" w:eastAsia="Arial" w:hAnsi="Arial"/>
            <w:color w:val="0000ee"/>
            <w:sz w:val="24"/>
            <w:szCs w:val="24"/>
            <w:u w:val="single"/>
            <w:rtl w:val="0"/>
          </w:rPr>
          <w:t xml:space="preserve">https://dokumen.pub/download/ekonominin-gerek-yz.html</w:t>
        </w:r>
      </w:hyperlink>
      <w:r w:rsidDel="00000000" w:rsidR="00000000" w:rsidRPr="00000000">
        <w:rPr>
          <w:rtl w:val="0"/>
        </w:rPr>
      </w:r>
    </w:p>
    <w:p w:rsidR="00000000" w:rsidDel="00000000" w:rsidP="00000000" w:rsidRDefault="00000000" w:rsidRPr="00000000" w14:paraId="0000010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is trade-based money laundering (TBML)? - ID-Pal, </w:t>
      </w:r>
      <w:hyperlink r:id="rId32">
        <w:r w:rsidDel="00000000" w:rsidR="00000000" w:rsidRPr="00000000">
          <w:rPr>
            <w:rFonts w:ascii="Arial" w:cs="Arial" w:eastAsia="Arial" w:hAnsi="Arial"/>
            <w:color w:val="0000ee"/>
            <w:sz w:val="24"/>
            <w:szCs w:val="24"/>
            <w:u w:val="single"/>
            <w:rtl w:val="0"/>
          </w:rPr>
          <w:t xml:space="preserve">https://www.id-pal.com/glossary/trade-based-money-laundering/</w:t>
        </w:r>
      </w:hyperlink>
      <w:r w:rsidDel="00000000" w:rsidR="00000000" w:rsidRPr="00000000">
        <w:rPr>
          <w:rtl w:val="0"/>
        </w:rPr>
      </w:r>
    </w:p>
    <w:p w:rsidR="00000000" w:rsidDel="00000000" w:rsidP="00000000" w:rsidRDefault="00000000" w:rsidRPr="00000000" w14:paraId="0000010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Trade-Based Money Laundering: Risks, Typologies and Controls, </w:t>
      </w:r>
      <w:hyperlink r:id="rId33">
        <w:r w:rsidDel="00000000" w:rsidR="00000000" w:rsidRPr="00000000">
          <w:rPr>
            <w:rFonts w:ascii="Arial" w:cs="Arial" w:eastAsia="Arial" w:hAnsi="Arial"/>
            <w:color w:val="0000ee"/>
            <w:sz w:val="24"/>
            <w:szCs w:val="24"/>
            <w:u w:val="single"/>
            <w:rtl w:val="0"/>
          </w:rPr>
          <w:t xml:space="preserve">https://wffassociation.org/trade-based-money-laundering-risks-typologies-and-controls/</w:t>
        </w:r>
      </w:hyperlink>
      <w:r w:rsidDel="00000000" w:rsidR="00000000" w:rsidRPr="00000000">
        <w:rPr>
          <w:rtl w:val="0"/>
        </w:rPr>
      </w:r>
    </w:p>
    <w:p w:rsidR="00000000" w:rsidDel="00000000" w:rsidP="00000000" w:rsidRDefault="00000000" w:rsidRPr="00000000" w14:paraId="0000010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Machine Learning for Missing Data on Illicit Trade - Alice Lépissier, </w:t>
      </w:r>
      <w:hyperlink r:id="rId34">
        <w:r w:rsidDel="00000000" w:rsidR="00000000" w:rsidRPr="00000000">
          <w:rPr>
            <w:rFonts w:ascii="Arial" w:cs="Arial" w:eastAsia="Arial" w:hAnsi="Arial"/>
            <w:color w:val="0000ee"/>
            <w:sz w:val="24"/>
            <w:szCs w:val="24"/>
            <w:u w:val="single"/>
            <w:rtl w:val="0"/>
          </w:rPr>
          <w:t xml:space="preserve">https://alicelepissier.com/docs/illicitAI.pdf</w:t>
        </w:r>
      </w:hyperlink>
      <w:r w:rsidDel="00000000" w:rsidR="00000000" w:rsidRPr="00000000">
        <w:rPr>
          <w:rtl w:val="0"/>
        </w:rPr>
      </w:r>
    </w:p>
    <w:p w:rsidR="00000000" w:rsidDel="00000000" w:rsidP="00000000" w:rsidRDefault="00000000" w:rsidRPr="00000000" w14:paraId="0000010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applications to climate change and illicit finance - eScholarship.org, </w:t>
      </w:r>
      <w:hyperlink r:id="rId35">
        <w:r w:rsidDel="00000000" w:rsidR="00000000" w:rsidRPr="00000000">
          <w:rPr>
            <w:rFonts w:ascii="Arial" w:cs="Arial" w:eastAsia="Arial" w:hAnsi="Arial"/>
            <w:color w:val="0000ee"/>
            <w:sz w:val="24"/>
            <w:szCs w:val="24"/>
            <w:u w:val="single"/>
            <w:rtl w:val="0"/>
          </w:rPr>
          <w:t xml:space="preserve">https://escholarship.org/content/qt6df6t9jf/qt6df6t9jf_noSplash_56d46c96adc7d2fa49c1378d10db7484.pdf</w:t>
        </w:r>
      </w:hyperlink>
      <w:r w:rsidDel="00000000" w:rsidR="00000000" w:rsidRPr="00000000">
        <w:rPr>
          <w:rtl w:val="0"/>
        </w:rPr>
      </w:r>
    </w:p>
    <w:p w:rsidR="00000000" w:rsidDel="00000000" w:rsidP="00000000" w:rsidRDefault="00000000" w:rsidRPr="00000000" w14:paraId="0000010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ΣΠ www.smithsonplanning.com.au, </w:t>
      </w:r>
      <w:hyperlink r:id="rId36">
        <w:r w:rsidDel="00000000" w:rsidR="00000000" w:rsidRPr="00000000">
          <w:rPr>
            <w:rFonts w:ascii="Arial" w:cs="Arial" w:eastAsia="Arial" w:hAnsi="Arial"/>
            <w:color w:val="0000ee"/>
            <w:sz w:val="24"/>
            <w:szCs w:val="24"/>
            <w:u w:val="single"/>
            <w:rtl w:val="0"/>
          </w:rPr>
          <w:t xml:space="preserve">http://www.smithsonplanning.com.au/R2000MajorStatements.pdf</w:t>
        </w:r>
      </w:hyperlink>
      <w:r w:rsidDel="00000000" w:rsidR="00000000" w:rsidRPr="00000000">
        <w:rPr>
          <w:rtl w:val="0"/>
        </w:rPr>
      </w:r>
    </w:p>
    <w:p w:rsidR="00000000" w:rsidDel="00000000" w:rsidP="00000000" w:rsidRDefault="00000000" w:rsidRPr="00000000" w14:paraId="0000010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Strategic Leadership for Business Value Creation: Principles and, </w:t>
      </w:r>
      <w:hyperlink r:id="rId37">
        <w:r w:rsidDel="00000000" w:rsidR="00000000" w:rsidRPr="00000000">
          <w:rPr>
            <w:rFonts w:ascii="Arial" w:cs="Arial" w:eastAsia="Arial" w:hAnsi="Arial"/>
            <w:color w:val="0000ee"/>
            <w:sz w:val="24"/>
            <w:szCs w:val="24"/>
            <w:u w:val="single"/>
            <w:rtl w:val="0"/>
          </w:rPr>
          <w:t xml:space="preserve">https://dokumen.pub/strategic-leadership-for-business-value-creation-principles-and-case-studies-9811594295-9789811594298.html</w:t>
        </w:r>
      </w:hyperlink>
      <w:r w:rsidDel="00000000" w:rsidR="00000000" w:rsidRPr="00000000">
        <w:rPr>
          <w:rtl w:val="0"/>
        </w:rPr>
      </w:r>
    </w:p>
    <w:p w:rsidR="00000000" w:rsidDel="00000000" w:rsidP="00000000" w:rsidRDefault="00000000" w:rsidRPr="00000000" w14:paraId="0000010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METI 23-Item Notice, TSMC Kumamoto, and ASML Coordination in, </w:t>
      </w:r>
      <w:hyperlink r:id="rId38">
        <w:r w:rsidDel="00000000" w:rsidR="00000000" w:rsidRPr="00000000">
          <w:rPr>
            <w:rFonts w:ascii="Arial" w:cs="Arial" w:eastAsia="Arial" w:hAnsi="Arial"/>
            <w:color w:val="0000ee"/>
            <w:sz w:val="24"/>
            <w:szCs w:val="24"/>
            <w:u w:val="single"/>
            <w:rtl w:val="0"/>
          </w:rPr>
          <w:t xml:space="preserve">https://timewell.jp/en/columns/semiconductor-equipment-industry-export-control</w:t>
        </w:r>
      </w:hyperlink>
      <w:r w:rsidDel="00000000" w:rsidR="00000000" w:rsidRPr="00000000">
        <w:rPr>
          <w:rtl w:val="0"/>
        </w:rPr>
      </w:r>
    </w:p>
    <w:p w:rsidR="00000000" w:rsidDel="00000000" w:rsidP="00000000" w:rsidRDefault="00000000" w:rsidRPr="00000000" w14:paraId="0000010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Export controls | Emerging Technology Policy Careers, </w:t>
      </w:r>
      <w:hyperlink r:id="rId39">
        <w:r w:rsidDel="00000000" w:rsidR="00000000" w:rsidRPr="00000000">
          <w:rPr>
            <w:rFonts w:ascii="Arial" w:cs="Arial" w:eastAsia="Arial" w:hAnsi="Arial"/>
            <w:color w:val="0000ee"/>
            <w:sz w:val="24"/>
            <w:szCs w:val="24"/>
            <w:u w:val="single"/>
            <w:rtl w:val="0"/>
          </w:rPr>
          <w:t xml:space="preserve">https://emergingtechpolicy.org/policy-levers/export-controls/</w:t>
        </w:r>
      </w:hyperlink>
      <w:r w:rsidDel="00000000" w:rsidR="00000000" w:rsidRPr="00000000">
        <w:rPr>
          <w:rtl w:val="0"/>
        </w:rPr>
      </w:r>
    </w:p>
    <w:p w:rsidR="00000000" w:rsidDel="00000000" w:rsidP="00000000" w:rsidRDefault="00000000" w:rsidRPr="00000000" w14:paraId="0000010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Norway - United States Department of State, </w:t>
      </w:r>
      <w:hyperlink r:id="rId40">
        <w:r w:rsidDel="00000000" w:rsidR="00000000" w:rsidRPr="00000000">
          <w:rPr>
            <w:rFonts w:ascii="Arial" w:cs="Arial" w:eastAsia="Arial" w:hAnsi="Arial"/>
            <w:color w:val="0000ee"/>
            <w:sz w:val="24"/>
            <w:szCs w:val="24"/>
            <w:u w:val="single"/>
            <w:rtl w:val="0"/>
          </w:rPr>
          <w:t xml:space="preserve">https://2021-2025.state.gov/reports/2024-investment-climate-statements/norway/</w:t>
        </w:r>
      </w:hyperlink>
      <w:r w:rsidDel="00000000" w:rsidR="00000000" w:rsidRPr="00000000">
        <w:rPr>
          <w:rtl w:val="0"/>
        </w:rPr>
      </w:r>
    </w:p>
    <w:p w:rsidR="00000000" w:rsidDel="00000000" w:rsidP="00000000" w:rsidRDefault="00000000" w:rsidRPr="00000000" w14:paraId="000001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viginum - SGDSN, </w:t>
      </w:r>
      <w:hyperlink r:id="rId41">
        <w:r w:rsidDel="00000000" w:rsidR="00000000" w:rsidRPr="00000000">
          <w:rPr>
            <w:rFonts w:ascii="Arial" w:cs="Arial" w:eastAsia="Arial" w:hAnsi="Arial"/>
            <w:color w:val="0000ee"/>
            <w:sz w:val="24"/>
            <w:szCs w:val="24"/>
            <w:u w:val="single"/>
            <w:rtl w:val="0"/>
          </w:rPr>
          <w:t xml:space="preserve">https://www.sgdsn.gouv.fr/files/files/Publications/20250207_NP_SGDSN_VIGINUM_Rapport%20menace%20informationnelle%20IA_EN_0.pdf</w:t>
        </w:r>
      </w:hyperlink>
      <w:r w:rsidDel="00000000" w:rsidR="00000000" w:rsidRPr="00000000">
        <w:rPr>
          <w:rtl w:val="0"/>
        </w:rPr>
      </w:r>
    </w:p>
    <w:p w:rsidR="00000000" w:rsidDel="00000000" w:rsidP="00000000" w:rsidRDefault="00000000" w:rsidRPr="00000000" w14:paraId="000001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 prices reveal the presence of informed trading?, </w:t>
      </w:r>
      <w:hyperlink r:id="rId42">
        <w:r w:rsidDel="00000000" w:rsidR="00000000" w:rsidRPr="00000000">
          <w:rPr>
            <w:rFonts w:ascii="Arial" w:cs="Arial" w:eastAsia="Arial" w:hAnsi="Arial"/>
            <w:color w:val="0000ee"/>
            <w:sz w:val="24"/>
            <w:szCs w:val="24"/>
            <w:u w:val="single"/>
            <w:rtl w:val="0"/>
          </w:rPr>
          <w:t xml:space="preserve">https://haas.berkeley.edu/wp-content/uploads/asymeasures21.pdf</w:t>
        </w:r>
      </w:hyperlink>
      <w:r w:rsidDel="00000000" w:rsidR="00000000" w:rsidRPr="00000000">
        <w:rPr>
          <w:rtl w:val="0"/>
        </w:rPr>
      </w:r>
    </w:p>
    <w:p w:rsidR="00000000" w:rsidDel="00000000" w:rsidP="00000000" w:rsidRDefault="00000000" w:rsidRPr="00000000" w14:paraId="000001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Financial Action Task Force blacklist - Wikipedia, </w:t>
      </w:r>
      <w:hyperlink r:id="rId43">
        <w:r w:rsidDel="00000000" w:rsidR="00000000" w:rsidRPr="00000000">
          <w:rPr>
            <w:rFonts w:ascii="Arial" w:cs="Arial" w:eastAsia="Arial" w:hAnsi="Arial"/>
            <w:color w:val="0000ee"/>
            <w:sz w:val="24"/>
            <w:szCs w:val="24"/>
            <w:u w:val="single"/>
            <w:rtl w:val="0"/>
          </w:rPr>
          <w:t xml:space="preserve">https://en.wikipedia.org/wiki/Financial_Action_Task_Force_blacklist</w:t>
        </w:r>
      </w:hyperlink>
      <w:r w:rsidDel="00000000" w:rsidR="00000000" w:rsidRPr="00000000">
        <w:rPr>
          <w:rtl w:val="0"/>
        </w:rPr>
      </w:r>
    </w:p>
    <w:p w:rsidR="00000000" w:rsidDel="00000000" w:rsidP="00000000" w:rsidRDefault="00000000" w:rsidRPr="00000000" w14:paraId="0000010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What are FATF Blacklist and Grey List Countries? 19th June 2026, </w:t>
      </w:r>
      <w:hyperlink r:id="rId44">
        <w:r w:rsidDel="00000000" w:rsidR="00000000" w:rsidRPr="00000000">
          <w:rPr>
            <w:rFonts w:ascii="Arial" w:cs="Arial" w:eastAsia="Arial" w:hAnsi="Arial"/>
            <w:color w:val="0000ee"/>
            <w:sz w:val="24"/>
            <w:szCs w:val="24"/>
            <w:u w:val="single"/>
            <w:rtl w:val="0"/>
          </w:rPr>
          <w:t xml:space="preserve">https://amluae.com/what-are-fatf-blacklist-and-grey-list-countries/</w:t>
        </w:r>
      </w:hyperlink>
      <w:r w:rsidDel="00000000" w:rsidR="00000000" w:rsidRPr="00000000">
        <w:rPr>
          <w:rtl w:val="0"/>
        </w:rPr>
      </w:r>
    </w:p>
    <w:p w:rsidR="00000000" w:rsidDel="00000000" w:rsidP="00000000" w:rsidRDefault="00000000" w:rsidRPr="00000000" w14:paraId="0000010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commission says its investigation found that the banks directly, </w:t>
      </w:r>
      <w:hyperlink r:id="rId45">
        <w:r w:rsidDel="00000000" w:rsidR="00000000" w:rsidRPr="00000000">
          <w:rPr>
            <w:rFonts w:ascii="Arial" w:cs="Arial" w:eastAsia="Arial" w:hAnsi="Arial"/>
            <w:color w:val="0000ee"/>
            <w:sz w:val="24"/>
            <w:szCs w:val="24"/>
            <w:u w:val="single"/>
            <w:rtl w:val="0"/>
          </w:rPr>
          <w:t xml:space="preserve">https://www.facebook.com/JacaNews/posts/the-commission-says-its-investigation-found-that-the-banks-directly-and-indirect/10158205316316971/</w:t>
        </w:r>
      </w:hyperlink>
      <w:r w:rsidDel="00000000" w:rsidR="00000000" w:rsidRPr="00000000">
        <w:rPr>
          <w:rtl w:val="0"/>
        </w:rPr>
      </w:r>
    </w:p>
    <w:p w:rsidR="00000000" w:rsidDel="00000000" w:rsidP="00000000" w:rsidRDefault="00000000" w:rsidRPr="00000000" w14:paraId="0000011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14 years after the fact, CompCom's rand manipulation case is, </w:t>
      </w:r>
      <w:hyperlink r:id="rId46">
        <w:r w:rsidDel="00000000" w:rsidR="00000000" w:rsidRPr="00000000">
          <w:rPr>
            <w:rFonts w:ascii="Arial" w:cs="Arial" w:eastAsia="Arial" w:hAnsi="Arial"/>
            <w:color w:val="0000ee"/>
            <w:sz w:val="24"/>
            <w:szCs w:val="24"/>
            <w:u w:val="single"/>
            <w:rtl w:val="0"/>
          </w:rPr>
          <w:t xml:space="preserve">https://www.writersroom.co.za/14-years-after-the-fact-compcoms-rand-manipulation-case-is-nowhere-near-conclusion/</w:t>
        </w:r>
      </w:hyperlink>
      <w:r w:rsidDel="00000000" w:rsidR="00000000" w:rsidRPr="00000000">
        <w:rPr>
          <w:rtl w:val="0"/>
        </w:rPr>
      </w:r>
    </w:p>
    <w:p w:rsidR="00000000" w:rsidDel="00000000" w:rsidP="00000000" w:rsidRDefault="00000000" w:rsidRPr="00000000" w14:paraId="0000011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Supreme Court declares unconstitutionality of penalty for the, </w:t>
      </w:r>
      <w:hyperlink r:id="rId47">
        <w:r w:rsidDel="00000000" w:rsidR="00000000" w:rsidRPr="00000000">
          <w:rPr>
            <w:rFonts w:ascii="Arial" w:cs="Arial" w:eastAsia="Arial" w:hAnsi="Arial"/>
            <w:color w:val="0000ee"/>
            <w:sz w:val="24"/>
            <w:szCs w:val="24"/>
            <w:u w:val="single"/>
            <w:rtl w:val="0"/>
          </w:rPr>
          <w:t xml:space="preserve">https://www.klalaw.com.br/en/supreme-court-declares-unconstitutionality-of-penalty-for-the-rejection-of-administrative-claim-to-offset-federal-credits-2/</w:t>
        </w:r>
      </w:hyperlink>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STF annuls evidence used in criminal proceedings against former, </w:t>
      </w:r>
      <w:hyperlink r:id="rId48">
        <w:r w:rsidDel="00000000" w:rsidR="00000000" w:rsidRPr="00000000">
          <w:rPr>
            <w:rFonts w:ascii="Arial" w:cs="Arial" w:eastAsia="Arial" w:hAnsi="Arial"/>
            <w:color w:val="0000ee"/>
            <w:sz w:val="24"/>
            <w:szCs w:val="24"/>
            <w:u w:val="single"/>
            <w:rtl w:val="0"/>
          </w:rPr>
          <w:t xml:space="preserve">https://portal.stf.jus.br/internacional/content.asp?id=512251&amp;ori=1&amp;idioma=en_us</w:t>
        </w:r>
      </w:hyperlink>
      <w:r w:rsidDel="00000000" w:rsidR="00000000" w:rsidRPr="00000000">
        <w:rPr>
          <w:rtl w:val="0"/>
        </w:rPr>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Guest Post: The Judicial Annulment of the Odebrecht Settlement, </w:t>
      </w:r>
      <w:hyperlink r:id="rId49">
        <w:r w:rsidDel="00000000" w:rsidR="00000000" w:rsidRPr="00000000">
          <w:rPr>
            <w:rFonts w:ascii="Arial" w:cs="Arial" w:eastAsia="Arial" w:hAnsi="Arial"/>
            <w:color w:val="0000ee"/>
            <w:sz w:val="24"/>
            <w:szCs w:val="24"/>
            <w:u w:val="single"/>
            <w:rtl w:val="0"/>
          </w:rPr>
          <w:t xml:space="preserve">https://globalanticorruptionblog.com/2023/09/19/guest-post-the-judicial-annulment-of-the-odebrecht-settlement-in-brazil-and-its-implications/</w:t>
        </w:r>
      </w:hyperlink>
      <w:r w:rsidDel="00000000" w:rsidR="00000000" w:rsidRPr="00000000">
        <w:rPr>
          <w:rtl w:val="0"/>
        </w:rPr>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SEBI issues show-cause notice to Hindenburg, Nathan Anderson, </w:t>
      </w:r>
      <w:hyperlink r:id="rId50">
        <w:r w:rsidDel="00000000" w:rsidR="00000000" w:rsidRPr="00000000">
          <w:rPr>
            <w:rFonts w:ascii="Arial" w:cs="Arial" w:eastAsia="Arial" w:hAnsi="Arial"/>
            <w:color w:val="0000ee"/>
            <w:sz w:val="24"/>
            <w:szCs w:val="24"/>
            <w:u w:val="single"/>
            <w:rtl w:val="0"/>
          </w:rPr>
          <w:t xml:space="preserve">https://legal.economictimes.indiatimes.com/news/regulators/sebi-issues-show-cause-notice-to-hindenburg-nathan-anderson-over-adani-report/111429198</w:t>
        </w:r>
      </w:hyperlink>
      <w:r w:rsidDel="00000000" w:rsidR="00000000" w:rsidRPr="00000000">
        <w:rPr>
          <w:rtl w:val="0"/>
        </w:rPr>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Indian regulators allege Hindenburg's Adani report 'indulged in, </w:t>
      </w:r>
      <w:hyperlink r:id="rId51">
        <w:r w:rsidDel="00000000" w:rsidR="00000000" w:rsidRPr="00000000">
          <w:rPr>
            <w:rFonts w:ascii="Arial" w:cs="Arial" w:eastAsia="Arial" w:hAnsi="Arial"/>
            <w:color w:val="0000ee"/>
            <w:sz w:val="24"/>
            <w:szCs w:val="24"/>
            <w:u w:val="single"/>
            <w:rtl w:val="0"/>
          </w:rPr>
          <w:t xml:space="preserve">https://www.ft.com/content/ae104fce-0576-4ff0-a7ec-a0eed7849e97?syn-25a6b1a6=1</w:t>
        </w:r>
      </w:hyperlink>
      <w:r w:rsidDel="00000000" w:rsidR="00000000" w:rsidRPr="00000000">
        <w:rPr>
          <w:rtl w:val="0"/>
        </w:rPr>
      </w:r>
    </w:p>
    <w:p w:rsidR="00000000" w:rsidDel="00000000" w:rsidP="00000000" w:rsidRDefault="00000000" w:rsidRPr="00000000" w14:paraId="000001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MPF REPORT SERIES 8/2025: Beyond Operation Doppelgänger, </w:t>
      </w:r>
      <w:hyperlink r:id="rId52">
        <w:r w:rsidDel="00000000" w:rsidR="00000000" w:rsidRPr="00000000">
          <w:rPr>
            <w:rFonts w:ascii="Arial" w:cs="Arial" w:eastAsia="Arial" w:hAnsi="Arial"/>
            <w:color w:val="0000ee"/>
            <w:sz w:val="24"/>
            <w:szCs w:val="24"/>
            <w:u w:val="single"/>
            <w:rtl w:val="0"/>
          </w:rPr>
          <w:t xml:space="preserve">https://mpf.se/download/18.61f9e18a1982b59e2b4102/1753106202838/BeyondOperationDoppelganger.pdf</w:t>
        </w:r>
      </w:hyperlink>
      <w:r w:rsidDel="00000000" w:rsidR="00000000" w:rsidRPr="00000000">
        <w:rPr>
          <w:rtl w:val="0"/>
        </w:rPr>
      </w:r>
    </w:p>
    <w:p w:rsidR="00000000" w:rsidDel="00000000" w:rsidP="00000000" w:rsidRDefault="00000000" w:rsidRPr="00000000" w14:paraId="000001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OSFI Guideline B-13: The Complete Guide - Fusion Computing, </w:t>
      </w:r>
      <w:hyperlink r:id="rId53">
        <w:r w:rsidDel="00000000" w:rsidR="00000000" w:rsidRPr="00000000">
          <w:rPr>
            <w:rFonts w:ascii="Arial" w:cs="Arial" w:eastAsia="Arial" w:hAnsi="Arial"/>
            <w:color w:val="0000ee"/>
            <w:sz w:val="24"/>
            <w:szCs w:val="24"/>
            <w:u w:val="single"/>
            <w:rtl w:val="0"/>
          </w:rPr>
          <w:t xml:space="preserve">https://fusioncomputing.ca/osfi-b13-guide/</w:t>
        </w:r>
      </w:hyperlink>
      <w:r w:rsidDel="00000000" w:rsidR="00000000" w:rsidRPr="00000000">
        <w:rPr>
          <w:rtl w:val="0"/>
        </w:rPr>
      </w:r>
    </w:p>
    <w:p w:rsidR="00000000" w:rsidDel="00000000" w:rsidP="00000000" w:rsidRDefault="00000000" w:rsidRPr="00000000" w14:paraId="0000011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OSFI B-13 Cyber Risk Management for Canadian Institutions, </w:t>
      </w:r>
      <w:hyperlink r:id="rId54">
        <w:r w:rsidDel="00000000" w:rsidR="00000000" w:rsidRPr="00000000">
          <w:rPr>
            <w:rFonts w:ascii="Arial" w:cs="Arial" w:eastAsia="Arial" w:hAnsi="Arial"/>
            <w:color w:val="0000ee"/>
            <w:sz w:val="24"/>
            <w:szCs w:val="24"/>
            <w:u w:val="single"/>
            <w:rtl w:val="0"/>
          </w:rPr>
          <w:t xml:space="preserve">https://www.globalrelay.com/resources/the-compliance-hub/rules-and-regulations/osfi-b-13-cyber-risk-management-for-canadian-federally-regulated-financial-institutions/</w:t>
        </w:r>
      </w:hyperlink>
      <w:r w:rsidDel="00000000" w:rsidR="00000000" w:rsidRPr="00000000">
        <w:rPr>
          <w:rtl w:val="0"/>
        </w:rPr>
      </w:r>
    </w:p>
    <w:p w:rsidR="00000000" w:rsidDel="00000000" w:rsidP="00000000" w:rsidRDefault="00000000" w:rsidRPr="00000000" w14:paraId="0000011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2025 Investment Climate Statements: Norway - State Department, </w:t>
      </w:r>
      <w:hyperlink r:id="rId55">
        <w:r w:rsidDel="00000000" w:rsidR="00000000" w:rsidRPr="00000000">
          <w:rPr>
            <w:rFonts w:ascii="Arial" w:cs="Arial" w:eastAsia="Arial" w:hAnsi="Arial"/>
            <w:color w:val="0000ee"/>
            <w:sz w:val="24"/>
            <w:szCs w:val="24"/>
            <w:u w:val="single"/>
            <w:rtl w:val="0"/>
          </w:rPr>
          <w:t xml:space="preserve">https://www.state.gov/reports/2025-investment-climate-statements/norway</w:t>
        </w:r>
      </w:hyperlink>
      <w:r w:rsidDel="00000000" w:rsidR="00000000" w:rsidRPr="00000000">
        <w:rPr>
          <w:rtl w:val="0"/>
        </w:rPr>
      </w:r>
    </w:p>
    <w:p w:rsidR="00000000" w:rsidDel="00000000" w:rsidP="00000000" w:rsidRDefault="00000000" w:rsidRPr="00000000" w14:paraId="0000011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Weaving Together the Normative and Regulative Roles of Government, </w:t>
      </w:r>
      <w:hyperlink r:id="rId56">
        <w:r w:rsidDel="00000000" w:rsidR="00000000" w:rsidRPr="00000000">
          <w:rPr>
            <w:rFonts w:ascii="Arial" w:cs="Arial" w:eastAsia="Arial" w:hAnsi="Arial"/>
            <w:color w:val="0000ee"/>
            <w:sz w:val="24"/>
            <w:szCs w:val="24"/>
            <w:u w:val="single"/>
            <w:rtl w:val="0"/>
          </w:rPr>
          <w:t xml:space="preserve">https://pubsonline.informs.org/doi/10.1287/orsc.2013.0822</w:t>
        </w:r>
      </w:hyperlink>
      <w:r w:rsidDel="00000000" w:rsidR="00000000" w:rsidRPr="00000000">
        <w:rPr>
          <w:rtl w:val="0"/>
        </w:rPr>
      </w:r>
    </w:p>
    <w:p w:rsidR="00000000" w:rsidDel="00000000" w:rsidP="00000000" w:rsidRDefault="00000000" w:rsidRPr="00000000" w14:paraId="0000011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role of sovereign wealth funds in global economic stability, </w:t>
      </w:r>
      <w:hyperlink r:id="rId57">
        <w:r w:rsidDel="00000000" w:rsidR="00000000" w:rsidRPr="00000000">
          <w:rPr>
            <w:rFonts w:ascii="Arial" w:cs="Arial" w:eastAsia="Arial" w:hAnsi="Arial"/>
            <w:color w:val="0000ee"/>
            <w:sz w:val="24"/>
            <w:szCs w:val="24"/>
            <w:u w:val="single"/>
            <w:rtl w:val="0"/>
          </w:rPr>
          <w:t xml:space="preserve">https://www.globalbankingandfinance.com/the-role-of-sovereign-wealth-funds-in-global-economic-stability/</w:t>
        </w:r>
      </w:hyperlink>
      <w:r w:rsidDel="00000000" w:rsidR="00000000" w:rsidRPr="00000000">
        <w:rPr>
          <w:rtl w:val="0"/>
        </w:rPr>
      </w:r>
    </w:p>
    <w:p w:rsidR="00000000" w:rsidDel="00000000" w:rsidP="00000000" w:rsidRDefault="00000000" w:rsidRPr="00000000" w14:paraId="0000011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Risky Business - VinciWorks, </w:t>
      </w:r>
      <w:hyperlink r:id="rId58">
        <w:r w:rsidDel="00000000" w:rsidR="00000000" w:rsidRPr="00000000">
          <w:rPr>
            <w:rFonts w:ascii="Arial" w:cs="Arial" w:eastAsia="Arial" w:hAnsi="Arial"/>
            <w:color w:val="0000ee"/>
            <w:sz w:val="24"/>
            <w:szCs w:val="24"/>
            <w:u w:val="single"/>
            <w:rtl w:val="0"/>
          </w:rPr>
          <w:t xml:space="preserve">https://vinciworks.com/manual_uploads/October-2025-High-risk-jurisdictions-for-money-laundering.pdf</w:t>
        </w:r>
      </w:hyperlink>
      <w:r w:rsidDel="00000000" w:rsidR="00000000" w:rsidRPr="00000000">
        <w:rPr>
          <w:rtl w:val="0"/>
        </w:rPr>
      </w:r>
    </w:p>
    <w:p w:rsidR="00000000" w:rsidDel="00000000" w:rsidP="00000000" w:rsidRDefault="00000000" w:rsidRPr="00000000" w14:paraId="0000011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South Africa, Nigeria, Mozambique, and Burkina Faso Off from: FATF, </w:t>
      </w:r>
      <w:hyperlink r:id="rId59">
        <w:r w:rsidDel="00000000" w:rsidR="00000000" w:rsidRPr="00000000">
          <w:rPr>
            <w:rFonts w:ascii="Arial" w:cs="Arial" w:eastAsia="Arial" w:hAnsi="Arial"/>
            <w:color w:val="0000ee"/>
            <w:sz w:val="24"/>
            <w:szCs w:val="24"/>
            <w:u w:val="single"/>
            <w:rtl w:val="0"/>
          </w:rPr>
          <w:t xml:space="preserve">https://amluae.com/south-africa-nigeria-mozambique-and-burkina-faso-off-from-fatf-grey-list-october-2025-plenary/</w:t>
        </w:r>
      </w:hyperlink>
      <w:r w:rsidDel="00000000" w:rsidR="00000000" w:rsidRPr="00000000">
        <w:rPr>
          <w:rtl w:val="0"/>
        </w:rPr>
      </w:r>
    </w:p>
    <w:p w:rsidR="00000000" w:rsidDel="00000000" w:rsidP="00000000" w:rsidRDefault="00000000" w:rsidRPr="00000000" w14:paraId="0000011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Sebi issues showcause notices to Hindenburg Research, five others, </w:t>
      </w:r>
      <w:hyperlink r:id="rId60">
        <w:r w:rsidDel="00000000" w:rsidR="00000000" w:rsidRPr="00000000">
          <w:rPr>
            <w:rFonts w:ascii="Arial" w:cs="Arial" w:eastAsia="Arial" w:hAnsi="Arial"/>
            <w:color w:val="0000ee"/>
            <w:sz w:val="24"/>
            <w:szCs w:val="24"/>
            <w:u w:val="single"/>
            <w:rtl w:val="0"/>
          </w:rPr>
          <w:t xml:space="preserve">https://www.business-standard.com/markets/news/sebi-issues-showcause-notices-to-hindenburg-research-five-others-124070200849_1.html</w:t>
        </w:r>
      </w:hyperlink>
      <w:r w:rsidDel="00000000" w:rsidR="00000000" w:rsidRPr="00000000">
        <w:rPr>
          <w:rtl w:val="0"/>
        </w:rPr>
      </w:r>
    </w:p>
    <w:p w:rsidR="00000000" w:rsidDel="00000000" w:rsidP="00000000" w:rsidRDefault="00000000" w:rsidRPr="00000000" w14:paraId="0000011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New twist in clash between US short seller Hindenburg and India's, </w:t>
      </w:r>
      <w:hyperlink r:id="rId61">
        <w:r w:rsidDel="00000000" w:rsidR="00000000" w:rsidRPr="00000000">
          <w:rPr>
            <w:rFonts w:ascii="Arial" w:cs="Arial" w:eastAsia="Arial" w:hAnsi="Arial"/>
            <w:color w:val="0000ee"/>
            <w:sz w:val="24"/>
            <w:szCs w:val="24"/>
            <w:u w:val="single"/>
            <w:rtl w:val="0"/>
          </w:rPr>
          <w:t xml:space="preserve">https://www.aljazeera.com/economy/2024/7/2/new-twist-in-clash-between-us-short-seller-hindenburg-and-indias-adani</w:t>
        </w:r>
      </w:hyperlink>
      <w:r w:rsidDel="00000000" w:rsidR="00000000" w:rsidRPr="00000000">
        <w:rPr>
          <w:rtl w:val="0"/>
        </w:rPr>
      </w:r>
    </w:p>
    <w:p w:rsidR="00000000" w:rsidDel="00000000" w:rsidP="00000000" w:rsidRDefault="00000000" w:rsidRPr="00000000" w14:paraId="0000012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SEBI issues notice to Hindenburg, Nathan Anderson &amp; other entities, </w:t>
      </w:r>
      <w:hyperlink r:id="rId62">
        <w:r w:rsidDel="00000000" w:rsidR="00000000" w:rsidRPr="00000000">
          <w:rPr>
            <w:rFonts w:ascii="Arial" w:cs="Arial" w:eastAsia="Arial" w:hAnsi="Arial"/>
            <w:color w:val="0000ee"/>
            <w:sz w:val="24"/>
            <w:szCs w:val="24"/>
            <w:u w:val="single"/>
            <w:rtl w:val="0"/>
          </w:rPr>
          <w:t xml:space="preserve">https://newsonair.gov.in/sebi-issues-notice-to-hindenburg-nathan-anderson-other-entities-for-trading-violations-in-scrip-of-adani-enterprises-ltd/</w:t>
        </w:r>
      </w:hyperlink>
      <w:r w:rsidDel="00000000" w:rsidR="00000000" w:rsidRPr="00000000">
        <w:rPr>
          <w:rtl w:val="0"/>
        </w:rPr>
      </w:r>
    </w:p>
    <w:p w:rsidR="00000000" w:rsidDel="00000000" w:rsidP="00000000" w:rsidRDefault="00000000" w:rsidRPr="00000000" w14:paraId="000001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4th EEAS Report on Foreign Information Manipulation and, </w:t>
      </w:r>
      <w:hyperlink r:id="rId63">
        <w:r w:rsidDel="00000000" w:rsidR="00000000" w:rsidRPr="00000000">
          <w:rPr>
            <w:rFonts w:ascii="Arial" w:cs="Arial" w:eastAsia="Arial" w:hAnsi="Arial"/>
            <w:color w:val="0000ee"/>
            <w:sz w:val="24"/>
            <w:szCs w:val="24"/>
            <w:u w:val="single"/>
            <w:rtl w:val="0"/>
          </w:rPr>
          <w:t xml:space="preserve">https://www.eeas.europa.eu/sites/default/files/2026/documents/EEAS%204th%20Threat%20Report_web%20version_1.pdf</w:t>
        </w:r>
      </w:hyperlink>
      <w:r w:rsidDel="00000000" w:rsidR="00000000" w:rsidRPr="00000000">
        <w:rPr>
          <w:rtl w:val="0"/>
        </w:rPr>
      </w:r>
    </w:p>
    <w:p w:rsidR="00000000" w:rsidDel="00000000" w:rsidP="00000000" w:rsidRDefault="00000000" w:rsidRPr="00000000" w14:paraId="000001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TLP:CLEAR - SGDSN, </w:t>
      </w:r>
      <w:hyperlink r:id="rId64">
        <w:r w:rsidDel="00000000" w:rsidR="00000000" w:rsidRPr="00000000">
          <w:rPr>
            <w:rFonts w:ascii="Arial" w:cs="Arial" w:eastAsia="Arial" w:hAnsi="Arial"/>
            <w:color w:val="0000ee"/>
            <w:sz w:val="24"/>
            <w:szCs w:val="24"/>
            <w:u w:val="single"/>
            <w:rtl w:val="0"/>
          </w:rPr>
          <w:t xml:space="preserve">https://www.sgdsn.gouv.fr/files/files/Publications/20250507_TLP-CLEAR_NP_SGDSN_VIGINUM_Technical%20report_Storm-1516.pdf</w:t>
        </w:r>
      </w:hyperlink>
      <w:r w:rsidDel="00000000" w:rsidR="00000000" w:rsidRPr="00000000">
        <w:rPr>
          <w:rtl w:val="0"/>
        </w:rPr>
      </w:r>
    </w:p>
    <w:p w:rsidR="00000000" w:rsidDel="00000000" w:rsidP="00000000" w:rsidRDefault="00000000" w:rsidRPr="00000000" w14:paraId="000001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OSFI Guideline B-13 on Cyber Risk 2022 | PDF - Scribd, </w:t>
      </w:r>
      <w:hyperlink r:id="rId65">
        <w:r w:rsidDel="00000000" w:rsidR="00000000" w:rsidRPr="00000000">
          <w:rPr>
            <w:rFonts w:ascii="Arial" w:cs="Arial" w:eastAsia="Arial" w:hAnsi="Arial"/>
            <w:color w:val="0000ee"/>
            <w:sz w:val="24"/>
            <w:szCs w:val="24"/>
            <w:u w:val="single"/>
            <w:rtl w:val="0"/>
          </w:rPr>
          <w:t xml:space="preserve">https://www.scribd.com/document/816240293/OSFI-Releases-Final-Guideline-B13-Technology-and-Cyber-Risk-Management-Letter-2022</w:t>
        </w:r>
      </w:hyperlink>
      <w:r w:rsidDel="00000000" w:rsidR="00000000" w:rsidRPr="00000000">
        <w:rPr>
          <w:rtl w:val="0"/>
        </w:rPr>
      </w:r>
    </w:p>
    <w:p w:rsidR="00000000" w:rsidDel="00000000" w:rsidP="00000000" w:rsidRDefault="00000000" w:rsidRPr="00000000" w14:paraId="000001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Crisis planning at major Swiss banks - University of St.Gallen, </w:t>
      </w:r>
      <w:hyperlink r:id="rId66">
        <w:r w:rsidDel="00000000" w:rsidR="00000000" w:rsidRPr="00000000">
          <w:rPr>
            <w:rFonts w:ascii="Arial" w:cs="Arial" w:eastAsia="Arial" w:hAnsi="Arial"/>
            <w:color w:val="0000ee"/>
            <w:sz w:val="24"/>
            <w:szCs w:val="24"/>
            <w:u w:val="single"/>
            <w:rtl w:val="0"/>
          </w:rPr>
          <w:t xml:space="preserve">https://www.unisg.ch/en/newsroom/crisis-planning-at-major-swiss-banks/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2021-2025.state.gov/reports/2024-investment-climate-statements/norway/" TargetMode="External"/><Relationship Id="rId42" Type="http://schemas.openxmlformats.org/officeDocument/2006/relationships/hyperlink" Target="https://haas.berkeley.edu/wp-content/uploads/asymeasures21.pdf" TargetMode="External"/><Relationship Id="rId41" Type="http://schemas.openxmlformats.org/officeDocument/2006/relationships/hyperlink" Target="https://www.sgdsn.gouv.fr/files/files/Publications/20250207_NP_SGDSN_VIGINUM_Rapport%20menace%20informationnelle%20IA_EN_0.pdf" TargetMode="External"/><Relationship Id="rId44" Type="http://schemas.openxmlformats.org/officeDocument/2006/relationships/hyperlink" Target="https://amluae.com/what-are-fatf-blacklist-and-grey-list-countries/" TargetMode="External"/><Relationship Id="rId43" Type="http://schemas.openxmlformats.org/officeDocument/2006/relationships/hyperlink" Target="https://en.wikipedia.org/wiki/Financial_Action_Task_Force_blacklist" TargetMode="External"/><Relationship Id="rId46" Type="http://schemas.openxmlformats.org/officeDocument/2006/relationships/hyperlink" Target="https://www.writersroom.co.za/14-years-after-the-fact-compcoms-rand-manipulation-case-is-nowhere-near-conclusion/" TargetMode="External"/><Relationship Id="rId45" Type="http://schemas.openxmlformats.org/officeDocument/2006/relationships/hyperlink" Target="https://www.facebook.com/JacaNews/posts/the-commission-says-its-investigation-found-that-the-banks-directly-and-indirect/1015820531631697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48" Type="http://schemas.openxmlformats.org/officeDocument/2006/relationships/hyperlink" Target="https://portal.stf.jus.br/internacional/content.asp?id=512251&amp;ori=1&amp;idioma=en_us" TargetMode="External"/><Relationship Id="rId47" Type="http://schemas.openxmlformats.org/officeDocument/2006/relationships/hyperlink" Target="https://www.klalaw.com.br/en/supreme-court-declares-unconstitutionality-of-penalty-for-the-rejection-of-administrative-claim-to-offset-federal-credits-2/" TargetMode="External"/><Relationship Id="rId49" Type="http://schemas.openxmlformats.org/officeDocument/2006/relationships/hyperlink" Target="https://globalanticorruptionblog.com/2023/09/19/guest-post-the-judicial-annulment-of-the-odebrecht-settlement-in-brazil-and-its-implications/" TargetMode="External"/><Relationship Id="rId5" Type="http://schemas.openxmlformats.org/officeDocument/2006/relationships/styles" Target="styles.xml"/><Relationship Id="rId6" Type="http://schemas.openxmlformats.org/officeDocument/2006/relationships/image" Target="media/image11.png"/><Relationship Id="rId7" Type="http://schemas.openxmlformats.org/officeDocument/2006/relationships/image" Target="media/image10.png"/><Relationship Id="rId8" Type="http://schemas.openxmlformats.org/officeDocument/2006/relationships/image" Target="media/image13.png"/><Relationship Id="rId31" Type="http://schemas.openxmlformats.org/officeDocument/2006/relationships/hyperlink" Target="https://dokumen.pub/download/ekonominin-gerek-yz.html" TargetMode="External"/><Relationship Id="rId30" Type="http://schemas.openxmlformats.org/officeDocument/2006/relationships/hyperlink" Target="https://caplaw.ch/2023/federal-council-submits-draft-legislation-on-the-introduction-of-a-public-liquidity-backstop-plb-for-systemically-important-banks-to-the-swiss-parliament/" TargetMode="External"/><Relationship Id="rId33" Type="http://schemas.openxmlformats.org/officeDocument/2006/relationships/hyperlink" Target="https://wffassociation.org/trade-based-money-laundering-risks-typologies-and-controls/" TargetMode="External"/><Relationship Id="rId32" Type="http://schemas.openxmlformats.org/officeDocument/2006/relationships/hyperlink" Target="https://www.id-pal.com/glossary/trade-based-money-laundering/" TargetMode="External"/><Relationship Id="rId35" Type="http://schemas.openxmlformats.org/officeDocument/2006/relationships/hyperlink" Target="https://escholarship.org/content/qt6df6t9jf/qt6df6t9jf_noSplash_56d46c96adc7d2fa49c1378d10db7484.pdf" TargetMode="External"/><Relationship Id="rId34" Type="http://schemas.openxmlformats.org/officeDocument/2006/relationships/hyperlink" Target="https://alicelepissier.com/docs/illicitAI.pdf" TargetMode="External"/><Relationship Id="rId37" Type="http://schemas.openxmlformats.org/officeDocument/2006/relationships/hyperlink" Target="https://dokumen.pub/strategic-leadership-for-business-value-creation-principles-and-case-studies-9811594295-9789811594298.html" TargetMode="External"/><Relationship Id="rId36" Type="http://schemas.openxmlformats.org/officeDocument/2006/relationships/hyperlink" Target="http://www.smithsonplanning.com.au/R2000MajorStatements.pdf" TargetMode="External"/><Relationship Id="rId39" Type="http://schemas.openxmlformats.org/officeDocument/2006/relationships/hyperlink" Target="https://emergingtechpolicy.org/policy-levers/export-controls/" TargetMode="External"/><Relationship Id="rId38" Type="http://schemas.openxmlformats.org/officeDocument/2006/relationships/hyperlink" Target="https://timewell.jp/en/columns/semiconductor-equipment-industry-export-control" TargetMode="External"/><Relationship Id="rId62" Type="http://schemas.openxmlformats.org/officeDocument/2006/relationships/hyperlink" Target="https://newsonair.gov.in/sebi-issues-notice-to-hindenburg-nathan-anderson-other-entities-for-trading-violations-in-scrip-of-adani-enterprises-ltd/" TargetMode="External"/><Relationship Id="rId61" Type="http://schemas.openxmlformats.org/officeDocument/2006/relationships/hyperlink" Target="https://www.aljazeera.com/economy/2024/7/2/new-twist-in-clash-between-us-short-seller-hindenburg-and-indias-adani" TargetMode="External"/><Relationship Id="rId20" Type="http://schemas.openxmlformats.org/officeDocument/2006/relationships/image" Target="media/image5.png"/><Relationship Id="rId64" Type="http://schemas.openxmlformats.org/officeDocument/2006/relationships/hyperlink" Target="https://www.sgdsn.gouv.fr/files/files/Publications/20250507_TLP-CLEAR_NP_SGDSN_VIGINUM_Technical%20report_Storm-1516.pdf" TargetMode="External"/><Relationship Id="rId63" Type="http://schemas.openxmlformats.org/officeDocument/2006/relationships/hyperlink" Target="https://www.eeas.europa.eu/sites/default/files/2026/documents/EEAS%204th%20Threat%20Report_web%20version_1.pdf" TargetMode="External"/><Relationship Id="rId22" Type="http://schemas.openxmlformats.org/officeDocument/2006/relationships/hyperlink" Target="https://www.cmri.or.th/stocks/wcm_file_manager/o0x0/1p/w4/1pw4udqawad/AdvancedApplicationsthroughIntradayData.pdf" TargetMode="External"/><Relationship Id="rId66" Type="http://schemas.openxmlformats.org/officeDocument/2006/relationships/hyperlink" Target="https://www.unisg.ch/en/newsroom/crisis-planning-at-major-swiss-banks/" TargetMode="External"/><Relationship Id="rId21" Type="http://schemas.openxmlformats.org/officeDocument/2006/relationships/image" Target="media/image7.png"/><Relationship Id="rId65" Type="http://schemas.openxmlformats.org/officeDocument/2006/relationships/hyperlink" Target="https://www.scribd.com/document/816240293/OSFI-Releases-Final-Guideline-B13-Technology-and-Cyber-Risk-Management-Letter-2022" TargetMode="External"/><Relationship Id="rId24" Type="http://schemas.openxmlformats.org/officeDocument/2006/relationships/hyperlink" Target="https://helda.helsinki.fi/bitstreams/96786caf-c857-487f-b731-a7799e1d774c/download" TargetMode="External"/><Relationship Id="rId23" Type="http://schemas.openxmlformats.org/officeDocument/2006/relationships/hyperlink" Target="https://www.academia.edu/36394386/Understanding_Bid_Ask_Spread_Simulation_Approach" TargetMode="External"/><Relationship Id="rId60" Type="http://schemas.openxmlformats.org/officeDocument/2006/relationships/hyperlink" Target="https://www.business-standard.com/markets/news/sebi-issues-showcause-notices-to-hindenburg-research-five-others-124070200849_1.html" TargetMode="External"/><Relationship Id="rId26" Type="http://schemas.openxmlformats.org/officeDocument/2006/relationships/hyperlink" Target="https://www.quantt.co.uk/resources/kyle-model-and-kyles-lambda" TargetMode="External"/><Relationship Id="rId25" Type="http://schemas.openxmlformats.org/officeDocument/2006/relationships/hyperlink" Target="https://microalphas.com/kyles-lambda/" TargetMode="External"/><Relationship Id="rId28" Type="http://schemas.openxmlformats.org/officeDocument/2006/relationships/hyperlink" Target="https://arxiv.org/html/2308.14235v6" TargetMode="External"/><Relationship Id="rId27" Type="http://schemas.openxmlformats.org/officeDocument/2006/relationships/hyperlink" Target="https://www.nber.org/system/files/working_papers/w24297/w24297.pdf" TargetMode="External"/><Relationship Id="rId29" Type="http://schemas.openxmlformats.org/officeDocument/2006/relationships/hyperlink" Target="https://www.elibrary.imf.org/view/journals/002/2025/297/article-A001-en.xml" TargetMode="External"/><Relationship Id="rId51" Type="http://schemas.openxmlformats.org/officeDocument/2006/relationships/hyperlink" Target="https://www.ft.com/content/ae104fce-0576-4ff0-a7ec-a0eed7849e97?syn-25a6b1a6=1" TargetMode="External"/><Relationship Id="rId50" Type="http://schemas.openxmlformats.org/officeDocument/2006/relationships/hyperlink" Target="https://legal.economictimes.indiatimes.com/news/regulators/sebi-issues-show-cause-notice-to-hindenburg-nathan-anderson-over-adani-report/111429198" TargetMode="External"/><Relationship Id="rId53" Type="http://schemas.openxmlformats.org/officeDocument/2006/relationships/hyperlink" Target="https://fusioncomputing.ca/osfi-b13-guide/" TargetMode="External"/><Relationship Id="rId52" Type="http://schemas.openxmlformats.org/officeDocument/2006/relationships/hyperlink" Target="https://mpf.se/download/18.61f9e18a1982b59e2b4102/1753106202838/BeyondOperationDoppelganger.pdf" TargetMode="External"/><Relationship Id="rId11" Type="http://schemas.openxmlformats.org/officeDocument/2006/relationships/image" Target="media/image14.png"/><Relationship Id="rId55" Type="http://schemas.openxmlformats.org/officeDocument/2006/relationships/hyperlink" Target="https://www.state.gov/reports/2025-investment-climate-statements/norway" TargetMode="External"/><Relationship Id="rId10" Type="http://schemas.openxmlformats.org/officeDocument/2006/relationships/image" Target="media/image9.png"/><Relationship Id="rId54" Type="http://schemas.openxmlformats.org/officeDocument/2006/relationships/hyperlink" Target="https://www.globalrelay.com/resources/the-compliance-hub/rules-and-regulations/osfi-b-13-cyber-risk-management-for-canadian-federally-regulated-financial-institutions/" TargetMode="External"/><Relationship Id="rId13" Type="http://schemas.openxmlformats.org/officeDocument/2006/relationships/image" Target="media/image4.png"/><Relationship Id="rId57" Type="http://schemas.openxmlformats.org/officeDocument/2006/relationships/hyperlink" Target="https://www.globalbankingandfinance.com/the-role-of-sovereign-wealth-funds-in-global-economic-stability/" TargetMode="External"/><Relationship Id="rId12" Type="http://schemas.openxmlformats.org/officeDocument/2006/relationships/image" Target="media/image8.png"/><Relationship Id="rId56" Type="http://schemas.openxmlformats.org/officeDocument/2006/relationships/hyperlink" Target="https://pubsonline.informs.org/doi/10.1287/orsc.2013.0822" TargetMode="External"/><Relationship Id="rId15" Type="http://schemas.openxmlformats.org/officeDocument/2006/relationships/image" Target="media/image3.png"/><Relationship Id="rId59" Type="http://schemas.openxmlformats.org/officeDocument/2006/relationships/hyperlink" Target="https://amluae.com/south-africa-nigeria-mozambique-and-burkina-faso-off-from-fatf-grey-list-october-2025-plenary/" TargetMode="External"/><Relationship Id="rId14" Type="http://schemas.openxmlformats.org/officeDocument/2006/relationships/image" Target="media/image15.png"/><Relationship Id="rId58" Type="http://schemas.openxmlformats.org/officeDocument/2006/relationships/hyperlink" Target="https://vinciworks.com/manual_uploads/October-2025-High-risk-jurisdictions-for-money-laundering.pdf" TargetMode="External"/><Relationship Id="rId17" Type="http://schemas.openxmlformats.org/officeDocument/2006/relationships/image" Target="media/image16.png"/><Relationship Id="rId16" Type="http://schemas.openxmlformats.org/officeDocument/2006/relationships/image" Target="media/image1.png"/><Relationship Id="rId19" Type="http://schemas.openxmlformats.org/officeDocument/2006/relationships/image" Target="media/image12.png"/><Relationship Id="rId1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