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Core-20 Büyük Birleşik Adli Erken Uyarı Sistemi ve Termodinamik Risk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Büyük Birleşik EWS Kokpiti ve Core-20 Çapraz Risk Radarı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Geleneksel ekonometri ve neoklasik makroekonomi doktrinleri, ekonomik sistemleri dışsal bir enerji girdisine ihtiyaç duymayan ve çevreye entropik atık bırakmayan kapalı dairesel akış modelleri üzerinden kurgulamaktadır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modeller piyasa hareketlerini doğrusal, simetrik ve Gaussyen normal dağılıma tabi varsaydığı için kriz anlarında gerçekleşen dinamik faz geçişlerini, kalın kuyruklu şokları ve karar alıcıların nöro-biyolojik çöküşünü açıklamakta yetersiz kalmaktadır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T2SAIM mimarisi, krizleri steril bir muhasebe sapması olarak değil, mikro düzeydeki endokrin uyarılmalardan makro düzeydeki denizel boğaz tıkanmalarına kadar uzanan denge-dışı dissipatif bir faz geçişi olarak ele almaktadır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kriz tespit motoru, küresel gayrisafi hasılanın ve enerji akışlarının ağırlıklı merkezini oluşturan 20 kanonik egemen devletten (Core-20) müteşekkildir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Sistem tekil göstergelerin aritmetik ortalamasını alarak kriz sinyalini perdeleyen geleneksel modellerin aksine, Leontief Süper-Katkısal Darboğaz Operatörü ile çalışır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Sistemdeki en zayıf halka koptuğunda, rezervler tükendiğinde veya kurumsal çürüme kritik eşiği aştığında, diğer kanallar sakin görünse dahi mimari tüm yapıyı otomatik olarak kırmızı alarm ve veto rejimine kilitler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Core-20 Çapraz Risk ve Rejim Matrisi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Core-20 ülkeleri; bileşik risk skorları, borsa endeksleri, rejim fazları, EROEI (Enerji Yatırımının Enerjisel Getirisi) termodinamik direnç katsayıları ve baskın kriz arketipleri çerçevesinde incelenmektedir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Adı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Borsa Endeksi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T2SAIM Risk Skoru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Rejim Fazı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EROEI Oranı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EROEI Risk İndeksi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Baskın Sistemik Kriz Arketipi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BIST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Kırmızı (Faz Geçişi / Veto)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74.8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Kronik Dış Açık, Sifon ve Rezerv Erimesi</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Güney Afrika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JSE Top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Kırmızı (Faz Geçişi / Veto)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Enerji Altyapı Çöküşü ve Kurumsal Ele Geçirme</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FTSE MIB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Kırmızı (Faz Geçişi / Veto)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71.2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Yüksek Kamu Borcu, NPL ve Banka Kırılganlığı</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Brezilya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B3 Bovespa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(Yüksek Kırılganlık)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62.1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Yüksek Mali Açık, Emtia Bağımlılığı ve Kutuplaşma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Yunanistan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ASE ATHEX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(Yüksek Kırılganlık)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65.0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Egemen Borç Mirası ve Uzatılmış Mali Kemer Sıkma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CAC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(Yüksek Kırılganlık)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Kronik Bütçe Açığı Katılığı ve Banka Kaldıracı</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Japonya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Nikkei 225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(Yüksek Kırılganlık)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Aşırı Borç Stoku, YCC Çıkmazı ve Carry Tasfiyesi</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İspanya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IBEX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(Yüksek Kırılganlık)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Yapısal İşsizlik, Dış Borç Stoku ve Mali Baskı</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Almanya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DAX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(Yüksek Kırılganlık)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36.2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Sanayi De-endüstrileşmesi ve Gaz Arzı Entropisi</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Meksika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BMV IPC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(Yüksek Kırılganlık)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58.2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ABD Sanayi Döngüsü Bağımlılığı ve Kartel Şiddeti</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Birleşik Krallık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FTSE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(Türbülans / İhtiyat)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34.8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İkiz Açık, LDI Türev Stresi ve Cari Finansman</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Güney Kore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KOSPI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(Türbülans / İhtiyat)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42.1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Chaebol Borçluluğu, Hanehalkı Kaldıracı ve Çip Döngüsü</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Endonezya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IDX Composite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(Türbülans / İhtiyat)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49.3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Yabancı Tahvil Mülkiyeti ve Kur Duyarlılığı</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Amerika Birleşik Devletleri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S&amp;P 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(Türbülans / İhtiyat)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Borç Tavanı Gerilimi, İkiz Açık ve Faiz Yükü</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Hindistan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NIFTY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(Türbülans / İhtiyat)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52.8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Enerji İthalat Açığı ve Gölge Bankacılık Riski</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TSX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(Türbülans / İhtiyat)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22.1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Hanehalkı Gayrimenkul Borcu ve Emtia Çevrimi</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Avustralya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ASX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(Laminer / Dengeli)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Çin Hammadde Talebi Dalgalanması ve Konut Borcu</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Hollanda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AEX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(Laminer / Dengeli)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Ticaret Fazlası ve Dış Lojistik Bağımlılığı</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İsviçre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(Laminer / Dengeli)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Finansal Kaldıraç Yoğunluğu ve Güvenli Liman Kuru</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Norveç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OSEBX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(Laminer / Dengeli)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14.2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Petrol Fiyat Döngüleri ve İpotek Kredisi Stoku</w:t>
            </w:r>
            <w:r w:rsidDel="00000000" w:rsidR="00000000" w:rsidRPr="00000000">
              <w:rPr>
                <w:rFonts w:ascii="Arial" w:cs="Arial" w:eastAsia="Arial" w:hAnsi="Arial"/>
                <w:color w:val="444746"/>
                <w:sz w:val="24"/>
                <w:szCs w:val="24"/>
                <w:vertAlign w:val="superscript"/>
                <w:rtl w:val="0"/>
              </w:rPr>
              <w:t xml:space="preserve">5</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Core-20 Veri Ambarı Kütüğü</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analizler, rastgele sayı üretimini ve sentetik interpolasyonu bütünüyle yasaklayan bitemporal veri hijyeni protokolüne dayanmaktadır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Zaman serilerinin tamamında </w:t>
      </w:r>
      <w:r w:rsidDel="00000000" w:rsidR="00000000" w:rsidRPr="00000000">
        <w:rPr>
          <w:rFonts w:ascii="Arial" w:cs="Arial" w:eastAsia="Arial" w:hAnsi="Arial"/>
          <w:color w:val="1f1f1f"/>
        </w:rPr>
        <w:drawing>
          <wp:inline distB="19050" distT="19050" distL="19050" distR="19050">
            <wp:extent cx="2636301" cy="250508"/>
            <wp:effectExtent b="0" l="0" r="0" t="0"/>
            <wp:docPr id="75"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2636301" cy="250508"/>
                    </a:xfrm>
                    <a:prstGeom prst="rect"/>
                    <a:ln/>
                  </pic:spPr>
                </pic:pic>
              </a:graphicData>
            </a:graphic>
          </wp:inline>
        </w:drawing>
      </w:r>
      <w:r w:rsidDel="00000000" w:rsidR="00000000" w:rsidRPr="00000000">
        <w:rPr>
          <w:rFonts w:ascii="Arial" w:cs="Arial" w:eastAsia="Arial" w:hAnsi="Arial"/>
          <w:color w:val="1f1f1f"/>
          <w:rtl w:val="0"/>
        </w:rPr>
        <w:t xml:space="preserve"> kuralı korunmuş, geriye dönük veri doldurma (bfill) engellenerek yalnızca nedensel ileri taşıma (ffill) uygulanmıştır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Dünya Bankası, Eurostat ve Federal Reserve Economic Data (FRED) birincil sunucularından derlenen 13 kanonik Silver Parquet veri setinin adli kütüğü toplam 5.612 satırdan oluşmaktadır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Kanonik Dosya Adı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Core-20 Satır Hacmi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Kapsamı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Zaman Aralığı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Birincil Veri Sağlayıcı ve Standart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MIG_NET_MIGRATION_canonical_silver.parquet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(WDI Net Migration Census)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MIG_REMIT_IN_USD_canonical_silver.parquet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 IMF BOP Statistics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TUR_ARR_TOTAL_canonical_silver.parquet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 Tourism / World Bank Development Data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TUR_RECEIPTS_USD_canonical_silver.parquet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 IMF Balance of Payments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GOV_DEBT_GDP_canonical_silver.parquet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Eurostat / FRED Sovereign Debt Monitors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GOV_EXPENSE_GDP_canonical_silver.parquet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IMF GFS / World Bank Public Expenditure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TAX_REV_GDP_canonical_silver.parquet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OECD Revenue Statistics / World Bank</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EDU_EXPENSE_GOV_ZS_canonical_silver.parquet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UNESCO Institute for Statistics / WB</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TRANS_AIR_DEPARTURES_canonical_silver.parquet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ICAO Civil Aviation Statistics / WB</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TRANS_AIR_FREIGHT_canonical_silver.parquet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ICAO Freight Ton-Km Records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TRANS_AIR_PASSENGER_canonical_silver.parquet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ICAO Air Traffic Telemetry</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TRANS_LPI_INFRA_canonical_silver.parquet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Logistics Performance Index</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TRANS_LPI_LOGS_canonical_silver.parquet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Logistics Quality &amp; Tracking</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Toplam Onaylanmış Adli Kütük Hacmi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1996–2026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Daubert Tier-1 / FRE 702 Sertifikalı</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8]</w:t>
            </w:r>
          </w:p>
        </w:tc>
      </w:tr>
    </w:tbl>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Beş Eksenli Risk Radarı Metodolojisi</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Core-20 ülkelerinin kırılganlık mimarisi, birbirini tamamlayan beş dik eksen üzerinden takip edilmektedir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açık ekseni (</w:t>
      </w:r>
      <w:r w:rsidDel="00000000" w:rsidR="00000000" w:rsidRPr="00000000">
        <w:rPr>
          <w:rFonts w:ascii="Arial" w:cs="Arial" w:eastAsia="Arial" w:hAnsi="Arial"/>
          <w:color w:val="1f1f1f"/>
        </w:rPr>
        <w:drawing>
          <wp:inline distB="19050" distT="19050" distL="19050" distR="19050">
            <wp:extent cx="343235" cy="245168"/>
            <wp:effectExtent b="0" l="0" r="0" t="0"/>
            <wp:docPr id="77"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343235" cy="245168"/>
                    </a:xfrm>
                    <a:prstGeom prst="rect"/>
                    <a:ln/>
                  </pic:spPr>
                </pic:pic>
              </a:graphicData>
            </a:graphic>
          </wp:inline>
        </w:drawing>
      </w:r>
      <w:r w:rsidDel="00000000" w:rsidR="00000000" w:rsidRPr="00000000">
        <w:rPr>
          <w:rFonts w:ascii="Arial" w:cs="Arial" w:eastAsia="Arial" w:hAnsi="Arial"/>
          <w:color w:val="1f1f1f"/>
          <w:rtl w:val="0"/>
        </w:rPr>
        <w:t xml:space="preserve">), cari açığın milli gelire oranını, Greenspan-Guidotti kısa vadeli borç kuralını ve Calvo ani duruş (sudden stop) baskısını ölçmektedir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Bankacılık ekseni (</w:t>
      </w:r>
      <w:r w:rsidDel="00000000" w:rsidR="00000000" w:rsidRPr="00000000">
        <w:rPr>
          <w:rFonts w:ascii="Arial" w:cs="Arial" w:eastAsia="Arial" w:hAnsi="Arial"/>
          <w:color w:val="1f1f1f"/>
        </w:rPr>
        <w:drawing>
          <wp:inline distB="19050" distT="19050" distL="19050" distR="19050">
            <wp:extent cx="440531" cy="244740"/>
            <wp:effectExtent b="0" l="0" r="0" t="0"/>
            <wp:docPr id="76"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440531" cy="244740"/>
                    </a:xfrm>
                    <a:prstGeom prst="rect"/>
                    <a:ln/>
                  </pic:spPr>
                </pic:pic>
              </a:graphicData>
            </a:graphic>
          </wp:inline>
        </w:drawing>
      </w:r>
      <w:r w:rsidDel="00000000" w:rsidR="00000000" w:rsidRPr="00000000">
        <w:rPr>
          <w:rFonts w:ascii="Arial" w:cs="Arial" w:eastAsia="Arial" w:hAnsi="Arial"/>
          <w:color w:val="1f1f1f"/>
          <w:rtl w:val="0"/>
        </w:rPr>
        <w:t xml:space="preserve">), kredi/mevduat makasını (</w:t>
      </w:r>
      <w:r w:rsidDel="00000000" w:rsidR="00000000" w:rsidRPr="00000000">
        <w:rPr>
          <w:rFonts w:ascii="Arial" w:cs="Arial" w:eastAsia="Arial" w:hAnsi="Arial"/>
          <w:color w:val="1f1f1f"/>
        </w:rPr>
        <w:drawing>
          <wp:inline distB="19050" distT="19050" distL="19050" distR="19050">
            <wp:extent cx="827670" cy="251900"/>
            <wp:effectExtent b="0" l="0" r="0" t="0"/>
            <wp:docPr id="79"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827670" cy="251900"/>
                    </a:xfrm>
                    <a:prstGeom prst="rect"/>
                    <a:ln/>
                  </pic:spPr>
                </pic:pic>
              </a:graphicData>
            </a:graphic>
          </wp:inline>
        </w:drawing>
      </w:r>
      <w:r w:rsidDel="00000000" w:rsidR="00000000" w:rsidRPr="00000000">
        <w:rPr>
          <w:rFonts w:ascii="Arial" w:cs="Arial" w:eastAsia="Arial" w:hAnsi="Arial"/>
          <w:color w:val="1f1f1f"/>
          <w:rtl w:val="0"/>
        </w:rPr>
        <w:t xml:space="preserve">), bilançolarda yapılandırılarak ötelenen zombi kredileri (</w:t>
      </w:r>
      <w:r w:rsidDel="00000000" w:rsidR="00000000" w:rsidRPr="00000000">
        <w:rPr>
          <w:rFonts w:ascii="Arial" w:cs="Arial" w:eastAsia="Arial" w:hAnsi="Arial"/>
          <w:color w:val="1f1f1f"/>
        </w:rPr>
        <w:drawing>
          <wp:inline distB="19050" distT="19050" distL="19050" distR="19050">
            <wp:extent cx="1249042" cy="252210"/>
            <wp:effectExtent b="0" l="0" r="0" t="0"/>
            <wp:docPr id="78"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1249042" cy="252210"/>
                    </a:xfrm>
                    <a:prstGeom prst="rect"/>
                    <a:ln/>
                  </pic:spPr>
                </pic:pic>
              </a:graphicData>
            </a:graphic>
          </wp:inline>
        </w:drawing>
      </w:r>
      <w:r w:rsidDel="00000000" w:rsidR="00000000" w:rsidRPr="00000000">
        <w:rPr>
          <w:rFonts w:ascii="Arial" w:cs="Arial" w:eastAsia="Arial" w:hAnsi="Arial"/>
          <w:color w:val="1f1f1f"/>
          <w:rtl w:val="0"/>
        </w:rPr>
        <w:t xml:space="preserve">) ve piyasa likidite sığlığını hesaplayan Amihud endeksini (</w:t>
      </w:r>
      <w:r w:rsidDel="00000000" w:rsidR="00000000" w:rsidRPr="00000000">
        <w:rPr>
          <w:rFonts w:ascii="Arial" w:cs="Arial" w:eastAsia="Arial" w:hAnsi="Arial"/>
          <w:color w:val="1f1f1f"/>
        </w:rPr>
        <w:drawing>
          <wp:inline distB="19050" distT="19050" distL="19050" distR="19050">
            <wp:extent cx="624892" cy="252360"/>
            <wp:effectExtent b="0" l="0" r="0" t="0"/>
            <wp:docPr id="82"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624892" cy="252360"/>
                    </a:xfrm>
                    <a:prstGeom prst="rect"/>
                    <a:ln/>
                  </pic:spPr>
                </pic:pic>
              </a:graphicData>
            </a:graphic>
          </wp:inline>
        </w:drawing>
      </w:r>
      <w:r w:rsidDel="00000000" w:rsidR="00000000" w:rsidRPr="00000000">
        <w:rPr>
          <w:rFonts w:ascii="Arial" w:cs="Arial" w:eastAsia="Arial" w:hAnsi="Arial"/>
          <w:color w:val="1f1f1f"/>
          <w:rtl w:val="0"/>
        </w:rPr>
        <w:t xml:space="preserve">) entegre etmektedir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Maliye ekseni (</w:t>
      </w:r>
      <w:r w:rsidDel="00000000" w:rsidR="00000000" w:rsidRPr="00000000">
        <w:rPr>
          <w:rFonts w:ascii="Arial" w:cs="Arial" w:eastAsia="Arial" w:hAnsi="Arial"/>
          <w:color w:val="1f1f1f"/>
        </w:rPr>
        <w:drawing>
          <wp:inline distB="19050" distT="19050" distL="19050" distR="19050">
            <wp:extent cx="404254" cy="245003"/>
            <wp:effectExtent b="0" l="0" r="0" t="0"/>
            <wp:docPr id="80"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404254" cy="245003"/>
                    </a:xfrm>
                    <a:prstGeom prst="rect"/>
                    <a:ln/>
                  </pic:spPr>
                </pic:pic>
              </a:graphicData>
            </a:graphic>
          </wp:inline>
        </w:drawing>
      </w:r>
      <w:r w:rsidDel="00000000" w:rsidR="00000000" w:rsidRPr="00000000">
        <w:rPr>
          <w:rFonts w:ascii="Arial" w:cs="Arial" w:eastAsia="Arial" w:hAnsi="Arial"/>
          <w:color w:val="1f1f1f"/>
          <w:rtl w:val="0"/>
        </w:rPr>
        <w:t xml:space="preserve">), kamu borcunun vergi gelirlerine oranını, faiz harcamalarının bütçe katılığını ve bürokratik bütçe sürtünmesini (</w:t>
      </w:r>
      <w:r w:rsidDel="00000000" w:rsidR="00000000" w:rsidRPr="00000000">
        <w:rPr>
          <w:rFonts w:ascii="Arial" w:cs="Arial" w:eastAsia="Arial" w:hAnsi="Arial"/>
          <w:color w:val="1f1f1f"/>
        </w:rPr>
        <w:drawing>
          <wp:inline distB="19050" distT="19050" distL="19050" distR="19050">
            <wp:extent cx="141573" cy="235955"/>
            <wp:effectExtent b="0" l="0" r="0" t="0"/>
            <wp:docPr id="86"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141573" cy="235955"/>
                    </a:xfrm>
                    <a:prstGeom prst="rect"/>
                    <a:ln/>
                  </pic:spPr>
                </pic:pic>
              </a:graphicData>
            </a:graphic>
          </wp:inline>
        </w:drawing>
      </w:r>
      <w:r w:rsidDel="00000000" w:rsidR="00000000" w:rsidRPr="00000000">
        <w:rPr>
          <w:rFonts w:ascii="Arial" w:cs="Arial" w:eastAsia="Arial" w:hAnsi="Arial"/>
          <w:color w:val="1f1f1f"/>
          <w:rtl w:val="0"/>
        </w:rPr>
        <w:t xml:space="preserve">) izlemektedir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Kognitif eksen (</w:t>
      </w:r>
      <w:r w:rsidDel="00000000" w:rsidR="00000000" w:rsidRPr="00000000">
        <w:rPr>
          <w:rFonts w:ascii="Arial" w:cs="Arial" w:eastAsia="Arial" w:hAnsi="Arial"/>
          <w:color w:val="1f1f1f"/>
        </w:rPr>
        <w:drawing>
          <wp:inline distB="19050" distT="19050" distL="19050" distR="19050">
            <wp:extent cx="429741" cy="238745"/>
            <wp:effectExtent b="0" l="0" r="0" t="0"/>
            <wp:docPr id="84"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429741" cy="238745"/>
                    </a:xfrm>
                    <a:prstGeom prst="rect"/>
                    <a:ln/>
                  </pic:spPr>
                </pic:pic>
              </a:graphicData>
            </a:graphic>
          </wp:inline>
        </w:drawing>
      </w:r>
      <w:r w:rsidDel="00000000" w:rsidR="00000000" w:rsidRPr="00000000">
        <w:rPr>
          <w:rFonts w:ascii="Arial" w:cs="Arial" w:eastAsia="Arial" w:hAnsi="Arial"/>
          <w:color w:val="1f1f1f"/>
          <w:rtl w:val="0"/>
        </w:rPr>
        <w:t xml:space="preserve">), toplumun karmaşık problemleri çözebilme kapasitesini gösteren PISA Seviye 5-6 elit havuzunu, Acemoğlu kurumsal çürüme endeksini (</w:t>
      </w:r>
      <w:r w:rsidDel="00000000" w:rsidR="00000000" w:rsidRPr="00000000">
        <w:rPr>
          <w:rFonts w:ascii="Arial" w:cs="Arial" w:eastAsia="Arial" w:hAnsi="Arial"/>
          <w:color w:val="1f1f1f"/>
        </w:rPr>
        <w:drawing>
          <wp:inline distB="19050" distT="19050" distL="19050" distR="19050">
            <wp:extent cx="424905" cy="247861"/>
            <wp:effectExtent b="0" l="0" r="0" t="0"/>
            <wp:docPr id="91" name="image86.png"/>
            <a:graphic>
              <a:graphicData uri="http://schemas.openxmlformats.org/drawingml/2006/picture">
                <pic:pic>
                  <pic:nvPicPr>
                    <pic:cNvPr id="0" name="image86.png"/>
                    <pic:cNvPicPr preferRelativeResize="0"/>
                  </pic:nvPicPr>
                  <pic:blipFill>
                    <a:blip r:embed="rId15"/>
                    <a:srcRect b="0" l="0" r="0" t="0"/>
                    <a:stretch>
                      <a:fillRect/>
                    </a:stretch>
                  </pic:blipFill>
                  <pic:spPr>
                    <a:xfrm>
                      <a:off x="0" y="0"/>
                      <a:ext cx="424905" cy="247861"/>
                    </a:xfrm>
                    <a:prstGeom prst="rect"/>
                    <a:ln/>
                  </pic:spPr>
                </pic:pic>
              </a:graphicData>
            </a:graphic>
          </wp:inline>
        </w:drawing>
      </w:r>
      <w:r w:rsidDel="00000000" w:rsidR="00000000" w:rsidRPr="00000000">
        <w:rPr>
          <w:rFonts w:ascii="Arial" w:cs="Arial" w:eastAsia="Arial" w:hAnsi="Arial"/>
          <w:color w:val="1f1f1f"/>
          <w:rtl w:val="0"/>
        </w:rPr>
        <w:t xml:space="preserve">) ve karar vericilerin biyolojik tehdit yükünü (</w:t>
      </w:r>
      <w:r w:rsidDel="00000000" w:rsidR="00000000" w:rsidRPr="00000000">
        <w:rPr>
          <w:rFonts w:ascii="Arial" w:cs="Arial" w:eastAsia="Arial" w:hAnsi="Arial"/>
          <w:color w:val="1f1f1f"/>
        </w:rPr>
        <w:drawing>
          <wp:inline distB="19050" distT="19050" distL="19050" distR="19050">
            <wp:extent cx="410766" cy="253708"/>
            <wp:effectExtent b="0" l="0" r="0" t="0"/>
            <wp:docPr id="88"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410766" cy="253708"/>
                    </a:xfrm>
                    <a:prstGeom prst="rect"/>
                    <a:ln/>
                  </pic:spPr>
                </pic:pic>
              </a:graphicData>
            </a:graphic>
          </wp:inline>
        </w:drawing>
      </w:r>
      <w:r w:rsidDel="00000000" w:rsidR="00000000" w:rsidRPr="00000000">
        <w:rPr>
          <w:rFonts w:ascii="Arial" w:cs="Arial" w:eastAsia="Arial" w:hAnsi="Arial"/>
          <w:color w:val="1f1f1f"/>
          <w:rtl w:val="0"/>
        </w:rPr>
        <w:t xml:space="preserve">) kapsamaktadır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Karanlık madde ekseni (</w:t>
      </w:r>
      <w:r w:rsidDel="00000000" w:rsidR="00000000" w:rsidRPr="00000000">
        <w:rPr>
          <w:rFonts w:ascii="Arial" w:cs="Arial" w:eastAsia="Arial" w:hAnsi="Arial"/>
          <w:color w:val="1f1f1f"/>
        </w:rPr>
        <w:drawing>
          <wp:inline distB="19050" distT="19050" distL="19050" distR="19050">
            <wp:extent cx="436624" cy="242569"/>
            <wp:effectExtent b="0" l="0" r="0" t="0"/>
            <wp:docPr id="90" name="image85.png"/>
            <a:graphic>
              <a:graphicData uri="http://schemas.openxmlformats.org/drawingml/2006/picture">
                <pic:pic>
                  <pic:nvPicPr>
                    <pic:cNvPr id="0" name="image85.png"/>
                    <pic:cNvPicPr preferRelativeResize="0"/>
                  </pic:nvPicPr>
                  <pic:blipFill>
                    <a:blip r:embed="rId17"/>
                    <a:srcRect b="0" l="0" r="0" t="0"/>
                    <a:stretch>
                      <a:fillRect/>
                    </a:stretch>
                  </pic:blipFill>
                  <pic:spPr>
                    <a:xfrm>
                      <a:off x="0" y="0"/>
                      <a:ext cx="436624" cy="242569"/>
                    </a:xfrm>
                    <a:prstGeom prst="rect"/>
                    <a:ln/>
                  </pic:spPr>
                </pic:pic>
              </a:graphicData>
            </a:graphic>
          </wp:inline>
        </w:drawing>
      </w:r>
      <w:r w:rsidDel="00000000" w:rsidR="00000000" w:rsidRPr="00000000">
        <w:rPr>
          <w:rFonts w:ascii="Arial" w:cs="Arial" w:eastAsia="Arial" w:hAnsi="Arial"/>
          <w:color w:val="1f1f1f"/>
          <w:rtl w:val="0"/>
        </w:rPr>
        <w:t xml:space="preserve">) ise ödemeler dengesindeki açıklanamayan Net Hata ve Noksan (NOH) kaçışlarını, ticaret tabanlı para aklama (TBML) manipülasyonlarını ve merkez bankalarının bilanço içi swap yabancılaşmasını adli takibe almaktadır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Dört Jeo-Ekonomik Blok Adli Otopsisi</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G7 Çekirdek Hegemonya</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G7 bloğu (USA, GBR, DEU, FRA, ITA, CAN, JPN), küresel rezerv para imtiyazına ve derin sermaye piyasalarına dayanmasına rağmen, türev piyasa kaldıraçları ve sürdürülemez egemen borç yükleri nedeniyle Minsky tipi Ponzi kırılganlıkları sergilemektedir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Amerika Birleşik Devletleri bilançosunda borç tavanı siyasi kilitlenmeleri, faiz harcamalarının federal bütçe içindeki payının savunma bütçesini geride bırakması ve Hazine Genel Hesabı (TGA) ile Ters Repo (RRP) arasındaki likidite gelgitleri yapısal bir sürtünme üretmektedir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İtalya ve Fransa kanadında, Maastricht kriterlerinin kalıcı biçimde aşılması ve borç/GSYH rasyosunun İtalya'da %140, Fransa'da %112 bandına oturması, BTP-Bund faiz makasını Avrupa Merkez Bankası'nın Transmisyon Koruma Aracına (TPI) bağımlı kılmaktadır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Birleşik Krallık, 2022 yılındaki bütçe şokunda belgelendiği üzere, Yükümlülük Güdümlü Yatırım (LDI) emeklilik fonlarının türev teminat tamamlama çağrılarıyla (margin call) Gilt tahvillerinde likidite buharlaşması yaşamış ve acil merkez bankası müdahalesine muhtaç kalmıştır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Japonya ise %260'ı aşan kamu borcu ve Getiri Eğrisi Kontrolü (YCC) politikası altında sıkışmıştır; Japon Yeni'nin küresel piyasalardaki negatif faizli fonlama aracı olarak kullanılması (Yen Carry Trade), Bank of Japan'ın faiz artırımına gittiği her fazda küresel borsa ve tahvil piyasalarında ani kaldıraç tasfiyelerini tetiklemektedir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Kırılgan Gelişmekte Olan Ülkeler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beta gelişmekte olan piyasalar (TUR, ZAF, BRA, MEX, IDN), döviz kuru sıçramalarının reel borç yükünü katladığı Orijinal Günah (Original Sin) mekanizmasının pençesindedir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Bu ülkelerde yabancı para cinsinden borç stoku, yerel paranın değer kaybı anında borç servis yükünü üssel olarak patlatan asimetrik bir katsayı ile çalışmaktadır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141103"/>
            <wp:effectExtent b="0" l="0" r="0" t="0"/>
            <wp:docPr id="92"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5905500" cy="114110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Geniş para arzının (</w:t>
      </w:r>
      <w:r w:rsidDel="00000000" w:rsidR="00000000" w:rsidRPr="00000000">
        <w:rPr>
          <w:rFonts w:ascii="Arial" w:cs="Arial" w:eastAsia="Arial" w:hAnsi="Arial"/>
          <w:color w:val="1f1f1f"/>
        </w:rPr>
        <w:drawing>
          <wp:inline distB="19050" distT="19050" distL="19050" distR="19050">
            <wp:extent cx="309377" cy="259876"/>
            <wp:effectExtent b="0" l="0" r="0" t="0"/>
            <wp:docPr id="9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09377" cy="259876"/>
                    </a:xfrm>
                    <a:prstGeom prst="rect"/>
                    <a:ln/>
                  </pic:spPr>
                </pic:pic>
              </a:graphicData>
            </a:graphic>
          </wp:inline>
        </w:drawing>
      </w:r>
      <w:r w:rsidDel="00000000" w:rsidR="00000000" w:rsidRPr="00000000">
        <w:rPr>
          <w:rFonts w:ascii="Arial" w:cs="Arial" w:eastAsia="Arial" w:hAnsi="Arial"/>
          <w:color w:val="1f1f1f"/>
          <w:rtl w:val="0"/>
        </w:rPr>
        <w:t xml:space="preserve">) net uluslararası rezervlere (</w:t>
      </w:r>
      <w:r w:rsidDel="00000000" w:rsidR="00000000" w:rsidRPr="00000000">
        <w:rPr>
          <w:rFonts w:ascii="Arial" w:cs="Arial" w:eastAsia="Arial" w:hAnsi="Arial"/>
          <w:color w:val="1f1f1f"/>
        </w:rPr>
        <w:drawing>
          <wp:inline distB="19050" distT="19050" distL="19050" distR="19050">
            <wp:extent cx="430485" cy="251116"/>
            <wp:effectExtent b="0" l="0" r="0" t="0"/>
            <wp:docPr id="9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30485" cy="251116"/>
                    </a:xfrm>
                    <a:prstGeom prst="rect"/>
                    <a:ln/>
                  </pic:spPr>
                </pic:pic>
              </a:graphicData>
            </a:graphic>
          </wp:inline>
        </w:drawing>
      </w:r>
      <w:r w:rsidDel="00000000" w:rsidR="00000000" w:rsidRPr="00000000">
        <w:rPr>
          <w:rFonts w:ascii="Arial" w:cs="Arial" w:eastAsia="Arial" w:hAnsi="Arial"/>
          <w:color w:val="1f1f1f"/>
          <w:rtl w:val="0"/>
        </w:rPr>
        <w:t xml:space="preserve">) oranı Soddy Sanal Servet Makasını aşırı gerilime sokmakta; net rezervler swaplar hariç negatif bölgeye çekildiğinde parasal çıpa tamamen imha olmaktadır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Bu kırılganlığın somut göstergelerinden biri, ödemeler dengesi istatistiklerinde Net Hata ve Noksan (NOH) kalemine yansıyan sermaye hareketleridir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 örneğinde 2021–2023 döneminde sisteme giren +26.2 milyar dolarlık kayıt dışı fon, 2024 sonrasında yüksek faiz arbitrajının ardından -18.4 milyar dolarlık sermaye kaçışı sifonuna dönüşmüştür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Güney Afrika'da Eskom devlet elektrik tekelinin yaşadığı altyapı çöküşü (Load Shedding), günlük 12 saate varan elektrik kesintileri yaratarak reel madencilik ve imalat üretiminin marjinal termodinamik verimini yok etmiştir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Brezilya ve Meksika ise yüksek bütçe açıkları, kartel güvenlik maliyetleri ve dış sermaye bağımlılığı nedeniyle benzer şekilde yüksek reel faiz ödemeye mahkûm kalmaktadır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Nordik ve Güvenli Limanlar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Nordik ve geleneksel güvenli liman ülkeleri (NOR, CHE, NLD, AUS), küresel likidite daralmalarında sermayenin sığındığı negatif entropi adalarıdır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Norveç, açık deniz petrol ve gaz gelirlerinin doğrudan sermaye piyasalarına pompalanmasını engelleyip Egemen Varlık Fonuna (Statens pensjonsfond utland - GPFG) aktaran kurumsal kural sayesinde Hollanda Hastalığı riskini bertaraf etmiştir; fon büyüklüğü 1.7 trilyon dolara ulaşarak kişi başına düşen en büyük egemen tamponu oluşturmaktadır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Norveç'in termodinamik EROEI oranı 24.0:1 ile küresel ölçekte en yüksek net enerji fazlasını temsil etmektedir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İsviçre, brüt dış borç stoku yüksek görünmesine rağmen, devasa net uluslararası varlık pozisyonu ve İsviçre Frangı'nın küresel rezerv gücüyle korunmaktadır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2023 yılında Credit Suisse'in kurumsal çöküşü dahi, SNB'nin 250 milyar franklık acil likidite hattı ve UBS birleşmesiyle sınırlandırılarak sistemik bulaşma engellenmiştir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Avustralya, kömür, demir cevheri ve sıvılaştırılmış doğal gaz (LNG) ihracatıyla Asya-Pasifik bölgesinin birincil hammadde tedarikçisi olarak pozitif cari tampon üretirken, Hollanda küresel lojistik ve tarımsal teknoloji inovasyonu ile dış şokları absorbe etmektedir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Asya Sanayi Motorları</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Asya sanayi bloku (KOR, IND, GRC); yüksek teknoloji ihracatı, demografik temettü veya ağır borç yapılandırma mirası üzerinden farklılaşan dinamiklere sahiptir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Güney Kore, küresel yarı iletken ve bellek yongası döngülerine (silicon cycle) aşırı derecede bağımlıdır; Samsung ve SK Hynix gibi konglomeraların küresel talep dalgalanmalarına açık olması, hanehalkı borcunun milli geliri aşmasıyla birleştiğinde kırılganlık üretmektedir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Hindistan, genç demografik yapısı ve yazılım ihracatına rağmen, birincil enerji tüketiminde %85 oranında dış hidrokarbonlara bağımlıdır; bu bağımlılık petrol fiyat artışlarında cari açığı hızla tırmandırmakta ve IL&amp;FS iflasında görüldüğü üzere gölge bankacılık (NBFC) sektöründe kötü kredilerin birikmesine yol açmaktadır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Yunanistan ise 2009–2015 borç krizinde milli gelirinin dörtte birini kaybetmiş, Eurozone ve IMF denetiminde tarihin en büyük özel sektör borç silinmesini (PSI - 107 milyar euro haircut) yaşamıştır; günümüzde kamu borcu/GSYH oranı %160 seviyesinde bulunmakla birlikte, borç vadelerinin ortalama 20 yıla yayılması ve ESM faizlerinin sabitlenmesi sayesinde akut bir ödeme krizinden geçici olarak korunmaktadır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Beş Katmanlı Tahrif Edilemez Toplumsal Çürüme ve Entropi Atlası</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yapıların çözülmesi ve mülkiyet sözleşmelerinin iflası, resmi istatistik kurumlarının sunduğu sanal göstergelerin aksine fiziksel ve biyolojik dünyada tahrif edilemez izler bırakmaktadır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T2SAIM mimarisi, rejimler tarafından manipüle edilemeyen beş fiziksel telemetri katmanını adli bir kesinlikle takip etmektedir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Beş Fiziksel Sensör Katmanı Göstergeleri</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Fiziksel, biyokimyasal ve mekanik göstergeler üzerinden toplumsal çürümeyi izleyen beş katmanlı mimarinin operasyonel parametreleri aşağıdaki tabloda yapılandırılmıştır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Sensör Katmanı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İncelenen Fiziksel Parametre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Operasyonel Ölçüm Metriği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 Sağlayıcı ve Ölçüm Yöntemi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Manipülasyon Engeli ve Fiziksel Kanıt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Faz Geçişi Alarm Eşiği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Somatik ve Biyolojik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Atıksu SSRI Yükü ve Kortizol Debisi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Kişi başı günlük antidepresan kütle yükü (</w:t>
            </w:r>
            <w:r w:rsidDel="00000000" w:rsidR="00000000" w:rsidRPr="00000000">
              <w:rPr>
                <w:rFonts w:ascii="Arial" w:cs="Arial" w:eastAsia="Arial" w:hAnsi="Arial"/>
                <w:color w:val="1f1f1f"/>
              </w:rPr>
              <w:drawing>
                <wp:inline distB="19050" distT="19050" distL="19050" distR="19050">
                  <wp:extent cx="480343" cy="216154"/>
                  <wp:effectExtent b="0" l="0" r="0" t="0"/>
                  <wp:docPr id="95"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480343" cy="216154"/>
                          </a:xfrm>
                          <a:prstGeom prst="rect"/>
                          <a:ln/>
                        </pic:spPr>
                      </pic:pic>
                    </a:graphicData>
                  </a:graphic>
                </wp:inline>
              </w:drawing>
            </w:r>
            <w:r w:rsidDel="00000000" w:rsidR="00000000" w:rsidRPr="00000000">
              <w:rPr>
                <w:rFonts w:ascii="Arial" w:cs="Arial" w:eastAsia="Arial" w:hAnsi="Arial"/>
                <w:color w:val="1f1f1f"/>
                <w:rtl w:val="0"/>
              </w:rPr>
              <w:t xml:space="preserve">) ve serbest kortizol debisi (</w:t>
            </w:r>
            <w:r w:rsidDel="00000000" w:rsidR="00000000" w:rsidRPr="00000000">
              <w:rPr>
                <w:rFonts w:ascii="Arial" w:cs="Arial" w:eastAsia="Arial" w:hAnsi="Arial"/>
                <w:color w:val="1f1f1f"/>
              </w:rPr>
              <w:drawing>
                <wp:inline distB="19050" distT="19050" distL="19050" distR="19050">
                  <wp:extent cx="345096" cy="221847"/>
                  <wp:effectExtent b="0" l="0" r="0" t="0"/>
                  <wp:docPr id="96" name="image89.png"/>
                  <a:graphic>
                    <a:graphicData uri="http://schemas.openxmlformats.org/drawingml/2006/picture">
                      <pic:pic>
                        <pic:nvPicPr>
                          <pic:cNvPr id="0" name="image89.png"/>
                          <pic:cNvPicPr preferRelativeResize="0"/>
                        </pic:nvPicPr>
                        <pic:blipFill>
                          <a:blip r:embed="rId22"/>
                          <a:srcRect b="0" l="0" r="0" t="0"/>
                          <a:stretch>
                            <a:fillRect/>
                          </a:stretch>
                        </pic:blipFill>
                        <pic:spPr>
                          <a:xfrm>
                            <a:off x="0" y="0"/>
                            <a:ext cx="345096" cy="22184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Merkezi AAT giriş kolektörleri LC-MS/MS laboratuvar ölçümleri; ecza deposu sevkiyatları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İnsan endokrin metabolizması sansürlenemez; biyokimyasal atılım zorunludur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Pr>
              <w:drawing>
                <wp:inline distB="19050" distT="19050" distL="19050" distR="19050">
                  <wp:extent cx="883667" cy="214946"/>
                  <wp:effectExtent b="0" l="0" r="0" t="0"/>
                  <wp:docPr id="97" name="image91.png"/>
                  <a:graphic>
                    <a:graphicData uri="http://schemas.openxmlformats.org/drawingml/2006/picture">
                      <pic:pic>
                        <pic:nvPicPr>
                          <pic:cNvPr id="0" name="image91.png"/>
                          <pic:cNvPicPr preferRelativeResize="0"/>
                        </pic:nvPicPr>
                        <pic:blipFill>
                          <a:blip r:embed="rId23"/>
                          <a:srcRect b="0" l="0" r="0" t="0"/>
                          <a:stretch>
                            <a:fillRect/>
                          </a:stretch>
                        </pic:blipFill>
                        <pic:spPr>
                          <a:xfrm>
                            <a:off x="0" y="0"/>
                            <a:ext cx="883667" cy="214946"/>
                          </a:xfrm>
                          <a:prstGeom prst="rect"/>
                          <a:ln/>
                        </pic:spPr>
                      </pic:pic>
                    </a:graphicData>
                  </a:graphic>
                </wp:inline>
              </w:drawing>
            </w:r>
            <w:r w:rsidDel="00000000" w:rsidR="00000000" w:rsidRPr="00000000">
              <w:rPr>
                <w:rFonts w:ascii="Arial" w:cs="Arial" w:eastAsia="Arial" w:hAnsi="Arial"/>
                <w:color w:val="1f1f1f"/>
                <w:rtl w:val="0"/>
              </w:rPr>
              <w:t xml:space="preserve"> (Yıllık %8 kesintisiz artış)</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Adli ve Yargısal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UYAP Açık İcra Dosyası ve Cezaevi Hacmi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Derdest icra dosya stoku (</w:t>
            </w:r>
            <w:r w:rsidDel="00000000" w:rsidR="00000000" w:rsidRPr="00000000">
              <w:rPr>
                <w:rFonts w:ascii="Arial" w:cs="Arial" w:eastAsia="Arial" w:hAnsi="Arial"/>
                <w:color w:val="1f1f1f"/>
              </w:rPr>
              <w:drawing>
                <wp:inline distB="19050" distT="19050" distL="19050" distR="19050">
                  <wp:extent cx="363699" cy="218219"/>
                  <wp:effectExtent b="0" l="0" r="0" t="0"/>
                  <wp:docPr id="98" name="image90.png"/>
                  <a:graphic>
                    <a:graphicData uri="http://schemas.openxmlformats.org/drawingml/2006/picture">
                      <pic:pic>
                        <pic:nvPicPr>
                          <pic:cNvPr id="0" name="image90.png"/>
                          <pic:cNvPicPr preferRelativeResize="0"/>
                        </pic:nvPicPr>
                        <pic:blipFill>
                          <a:blip r:embed="rId24"/>
                          <a:srcRect b="0" l="0" r="0" t="0"/>
                          <a:stretch>
                            <a:fillRect/>
                          </a:stretch>
                        </pic:blipFill>
                        <pic:spPr>
                          <a:xfrm>
                            <a:off x="0" y="0"/>
                            <a:ext cx="363699" cy="218219"/>
                          </a:xfrm>
                          <a:prstGeom prst="rect"/>
                          <a:ln/>
                        </pic:spPr>
                      </pic:pic>
                    </a:graphicData>
                  </a:graphic>
                </wp:inline>
              </w:drawing>
            </w:r>
            <w:r w:rsidDel="00000000" w:rsidR="00000000" w:rsidRPr="00000000">
              <w:rPr>
                <w:rFonts w:ascii="Arial" w:cs="Arial" w:eastAsia="Arial" w:hAnsi="Arial"/>
                <w:color w:val="1f1f1f"/>
                <w:rtl w:val="0"/>
              </w:rPr>
              <w:t xml:space="preserve">) ve cezaevi doluluk oranı (</w:t>
            </w:r>
            <w:r w:rsidDel="00000000" w:rsidR="00000000" w:rsidRPr="00000000">
              <w:rPr>
                <w:rFonts w:ascii="Arial" w:cs="Arial" w:eastAsia="Arial" w:hAnsi="Arial"/>
                <w:color w:val="1f1f1f"/>
              </w:rPr>
              <w:drawing>
                <wp:inline distB="19050" distT="19050" distL="19050" distR="19050">
                  <wp:extent cx="672331" cy="216106"/>
                  <wp:effectExtent b="0" l="0" r="0" t="0"/>
                  <wp:docPr id="99" name="image92.png"/>
                  <a:graphic>
                    <a:graphicData uri="http://schemas.openxmlformats.org/drawingml/2006/picture">
                      <pic:pic>
                        <pic:nvPicPr>
                          <pic:cNvPr id="0" name="image92.png"/>
                          <pic:cNvPicPr preferRelativeResize="0"/>
                        </pic:nvPicPr>
                        <pic:blipFill>
                          <a:blip r:embed="rId25"/>
                          <a:srcRect b="0" l="0" r="0" t="0"/>
                          <a:stretch>
                            <a:fillRect/>
                          </a:stretch>
                        </pic:blipFill>
                        <pic:spPr>
                          <a:xfrm>
                            <a:off x="0" y="0"/>
                            <a:ext cx="672331" cy="21610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Adalet Bakanlığı UYAP kayıtları; CTE bültenleri; Lozan SPACE raporları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Mülkiyet ihtilafı ve fiziksel koğuş sınırları idari kararlarla gizlenemez</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888503" cy="216122"/>
                  <wp:effectExtent b="0" l="0" r="0" t="0"/>
                  <wp:docPr id="65"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888503" cy="216122"/>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1210342" cy="215704"/>
                  <wp:effectExtent b="0" l="0" r="0" t="0"/>
                  <wp:docPr id="66" name="image62.png"/>
                  <a:graphic>
                    <a:graphicData uri="http://schemas.openxmlformats.org/drawingml/2006/picture">
                      <pic:pic>
                        <pic:nvPicPr>
                          <pic:cNvPr id="0" name="image62.png"/>
                          <pic:cNvPicPr preferRelativeResize="0"/>
                        </pic:nvPicPr>
                        <pic:blipFill>
                          <a:blip r:embed="rId27"/>
                          <a:srcRect b="0" l="0" r="0" t="0"/>
                          <a:stretch>
                            <a:fillRect/>
                          </a:stretch>
                        </pic:blipFill>
                        <pic:spPr>
                          <a:xfrm>
                            <a:off x="0" y="0"/>
                            <a:ext cx="1210342" cy="21570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Bilişsel ve Dilsel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Meclis Zabıt Sentaks Derinliği ve STEM Göçü</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Auto-IC Bütünleştirici Karmaşıklık Skoru (</w:t>
            </w:r>
            <w:r w:rsidDel="00000000" w:rsidR="00000000" w:rsidRPr="00000000">
              <w:rPr>
                <w:rFonts w:ascii="Arial" w:cs="Arial" w:eastAsia="Arial" w:hAnsi="Arial"/>
                <w:color w:val="1f1f1f"/>
              </w:rPr>
              <w:drawing>
                <wp:inline distB="19050" distT="19050" distL="19050" distR="19050">
                  <wp:extent cx="225475" cy="213608"/>
                  <wp:effectExtent b="0" l="0" r="0" t="0"/>
                  <wp:docPr id="67" name="image66.png"/>
                  <a:graphic>
                    <a:graphicData uri="http://schemas.openxmlformats.org/drawingml/2006/picture">
                      <pic:pic>
                        <pic:nvPicPr>
                          <pic:cNvPr id="0" name="image66.png"/>
                          <pic:cNvPicPr preferRelativeResize="0"/>
                        </pic:nvPicPr>
                        <pic:blipFill>
                          <a:blip r:embed="rId28"/>
                          <a:srcRect b="0" l="0" r="0" t="0"/>
                          <a:stretch>
                            <a:fillRect/>
                          </a:stretch>
                        </pic:blipFill>
                        <pic:spPr>
                          <a:xfrm>
                            <a:off x="0" y="0"/>
                            <a:ext cx="225475" cy="213608"/>
                          </a:xfrm>
                          <a:prstGeom prst="rect"/>
                          <a:ln/>
                        </pic:spPr>
                      </pic:pic>
                    </a:graphicData>
                  </a:graphic>
                </wp:inline>
              </w:drawing>
            </w:r>
            <w:r w:rsidDel="00000000" w:rsidR="00000000" w:rsidRPr="00000000">
              <w:rPr>
                <w:rFonts w:ascii="Arial" w:cs="Arial" w:eastAsia="Arial" w:hAnsi="Arial"/>
                <w:color w:val="1f1f1f"/>
                <w:rtl w:val="0"/>
              </w:rPr>
              <w:t xml:space="preserve">) ve TTB Denklik Debisi (</w:t>
            </w:r>
            <w:r w:rsidDel="00000000" w:rsidR="00000000" w:rsidRPr="00000000">
              <w:rPr>
                <w:rFonts w:ascii="Arial" w:cs="Arial" w:eastAsia="Arial" w:hAnsi="Arial"/>
                <w:color w:val="1f1f1f"/>
              </w:rPr>
              <w:drawing>
                <wp:inline distB="19050" distT="19050" distL="19050" distR="19050">
                  <wp:extent cx="397743" cy="216951"/>
                  <wp:effectExtent b="0" l="0" r="0" t="0"/>
                  <wp:docPr id="68" name="image63.png"/>
                  <a:graphic>
                    <a:graphicData uri="http://schemas.openxmlformats.org/drawingml/2006/picture">
                      <pic:pic>
                        <pic:nvPicPr>
                          <pic:cNvPr id="0" name="image63.png"/>
                          <pic:cNvPicPr preferRelativeResize="0"/>
                        </pic:nvPicPr>
                        <pic:blipFill>
                          <a:blip r:embed="rId29"/>
                          <a:srcRect b="0" l="0" r="0" t="0"/>
                          <a:stretch>
                            <a:fillRect/>
                          </a:stretch>
                        </pic:blipFill>
                        <pic:spPr>
                          <a:xfrm>
                            <a:off x="0" y="0"/>
                            <a:ext cx="397743" cy="21695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Meclis açık veri portalı NLP tutanak dökümleri; TTB/TMMOB iyi hal belgeleri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Rejimin kendi ürettiği hamaset dili incelenir; denklik vizeleri uluslararasıdır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763488" cy="214731"/>
                  <wp:effectExtent b="0" l="0" r="0" t="0"/>
                  <wp:docPr id="69"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763488" cy="214731"/>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706562" cy="215561"/>
                  <wp:effectExtent b="0" l="0" r="0" t="0"/>
                  <wp:docPr id="70"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706562" cy="21556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Mekânsal ve Lojistik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Gece Işıkları Foton Sapması ve Güvenlik Oranı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Suomi-NPP VIIRS foton emisyon açığı (</w:t>
            </w:r>
            <w:r w:rsidDel="00000000" w:rsidR="00000000" w:rsidRPr="00000000">
              <w:rPr>
                <w:rFonts w:ascii="Arial" w:cs="Arial" w:eastAsia="Arial" w:hAnsi="Arial"/>
                <w:color w:val="1f1f1f"/>
              </w:rPr>
              <w:drawing>
                <wp:inline distB="19050" distT="19050" distL="19050" distR="19050">
                  <wp:extent cx="418765" cy="215365"/>
                  <wp:effectExtent b="0" l="0" r="0" t="0"/>
                  <wp:docPr id="71"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418765" cy="215365"/>
                          </a:xfrm>
                          <a:prstGeom prst="rect"/>
                          <a:ln/>
                        </pic:spPr>
                      </pic:pic>
                    </a:graphicData>
                  </a:graphic>
                </wp:inline>
              </w:drawing>
            </w:r>
            <w:r w:rsidDel="00000000" w:rsidR="00000000" w:rsidRPr="00000000">
              <w:rPr>
                <w:rFonts w:ascii="Arial" w:cs="Arial" w:eastAsia="Arial" w:hAnsi="Arial"/>
                <w:color w:val="1f1f1f"/>
                <w:rtl w:val="0"/>
              </w:rPr>
              <w:t xml:space="preserve">) ve Özel Güvenlik/Polis rasyosu (</w:t>
            </w:r>
            <w:r w:rsidDel="00000000" w:rsidR="00000000" w:rsidRPr="00000000">
              <w:rPr>
                <w:rFonts w:ascii="Arial" w:cs="Arial" w:eastAsia="Arial" w:hAnsi="Arial"/>
                <w:color w:val="1f1f1f"/>
              </w:rPr>
              <w:drawing>
                <wp:inline distB="19050" distT="19050" distL="19050" distR="19050">
                  <wp:extent cx="305470" cy="219938"/>
                  <wp:effectExtent b="0" l="0" r="0" t="0"/>
                  <wp:docPr id="72" name="image65.png"/>
                  <a:graphic>
                    <a:graphicData uri="http://schemas.openxmlformats.org/drawingml/2006/picture">
                      <pic:pic>
                        <pic:nvPicPr>
                          <pic:cNvPr id="0" name="image65.png"/>
                          <pic:cNvPicPr preferRelativeResize="0"/>
                        </pic:nvPicPr>
                        <pic:blipFill>
                          <a:blip r:embed="rId33"/>
                          <a:srcRect b="0" l="0" r="0" t="0"/>
                          <a:stretch>
                            <a:fillRect/>
                          </a:stretch>
                        </pic:blipFill>
                        <pic:spPr>
                          <a:xfrm>
                            <a:off x="0" y="0"/>
                            <a:ext cx="305470" cy="21993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NOAA-VIIRS gece ışıkları açık katmanı; EGM Özel Güvenlik Denetleme Başkanlığı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Yörüngedeki uydu algılayıcısı tahrif edilemez; koruma harcamaları gerçektir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798649" cy="250323"/>
                  <wp:effectExtent b="0" l="0" r="0" t="0"/>
                  <wp:docPr id="7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798649" cy="250323"/>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843484" cy="213841"/>
                  <wp:effectExtent b="0" l="0" r="0" t="0"/>
                  <wp:docPr id="74"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843484" cy="21384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Mikro-Finansal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Kart Asgari Ödeme Kilitlenmesi ve RFID Alarmları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Ekstre asgari ödeme oranı (</w:t>
            </w:r>
            <w:r w:rsidDel="00000000" w:rsidR="00000000" w:rsidRPr="00000000">
              <w:rPr>
                <w:rFonts w:ascii="Arial" w:cs="Arial" w:eastAsia="Arial" w:hAnsi="Arial"/>
                <w:color w:val="1f1f1f"/>
              </w:rPr>
              <w:drawing>
                <wp:inline distB="19050" distT="19050" distL="19050" distR="19050">
                  <wp:extent cx="562385" cy="251278"/>
                  <wp:effectExtent b="0" l="0" r="0" t="0"/>
                  <wp:docPr id="1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62385" cy="251278"/>
                          </a:xfrm>
                          <a:prstGeom prst="rect"/>
                          <a:ln/>
                        </pic:spPr>
                      </pic:pic>
                    </a:graphicData>
                  </a:graphic>
                </wp:inline>
              </w:drawing>
            </w:r>
            <w:r w:rsidDel="00000000" w:rsidR="00000000" w:rsidRPr="00000000">
              <w:rPr>
                <w:rFonts w:ascii="Arial" w:cs="Arial" w:eastAsia="Arial" w:hAnsi="Arial"/>
                <w:color w:val="1f1f1f"/>
                <w:rtl w:val="0"/>
              </w:rPr>
              <w:t xml:space="preserve">), Hurda Altın Oranı (</w:t>
            </w:r>
            <w:r w:rsidDel="00000000" w:rsidR="00000000" w:rsidRPr="00000000">
              <w:rPr>
                <w:rFonts w:ascii="Arial" w:cs="Arial" w:eastAsia="Arial" w:hAnsi="Arial"/>
                <w:color w:val="1f1f1f"/>
              </w:rPr>
              <w:drawing>
                <wp:inline distB="19050" distT="19050" distL="19050" distR="19050">
                  <wp:extent cx="451321" cy="256155"/>
                  <wp:effectExtent b="0" l="0" r="0" t="0"/>
                  <wp:docPr id="1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51321" cy="256155"/>
                          </a:xfrm>
                          <a:prstGeom prst="rect"/>
                          <a:ln/>
                        </pic:spPr>
                      </pic:pic>
                    </a:graphicData>
                  </a:graphic>
                </wp:inline>
              </w:drawing>
            </w:r>
            <w:r w:rsidDel="00000000" w:rsidR="00000000" w:rsidRPr="00000000">
              <w:rPr>
                <w:rFonts w:ascii="Arial" w:cs="Arial" w:eastAsia="Arial" w:hAnsi="Arial"/>
                <w:color w:val="1f1f1f"/>
                <w:rtl w:val="0"/>
              </w:rPr>
              <w:t xml:space="preserve">) ve Gıda Kilidi (</w:t>
            </w:r>
            <w:r w:rsidDel="00000000" w:rsidR="00000000" w:rsidRPr="00000000">
              <w:rPr>
                <w:rFonts w:ascii="Arial" w:cs="Arial" w:eastAsia="Arial" w:hAnsi="Arial"/>
                <w:color w:val="1f1f1f"/>
              </w:rPr>
              <w:drawing>
                <wp:inline distB="19050" distT="19050" distL="19050" distR="19050">
                  <wp:extent cx="415044" cy="249027"/>
                  <wp:effectExtent b="0" l="0" r="0" t="0"/>
                  <wp:docPr id="13"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15044" cy="24902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BKM takas logları; Kapalıçarşı esnaf odası kayıtları; Perakende EAS siparişleri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Perakendecinin kâr-zarar refleksi ve bankalararası takas kayıtları manipüle edilemez</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34539" cy="214043"/>
                  <wp:effectExtent b="0" l="0" r="0" t="0"/>
                  <wp:docPr id="14"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1034539" cy="21404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49809" cy="215445"/>
                  <wp:effectExtent b="0" l="0" r="0" t="0"/>
                  <wp:docPr id="15"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849809" cy="215445"/>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904317" cy="214180"/>
                  <wp:effectExtent b="0" l="0" r="0" t="0"/>
                  <wp:docPr id="16"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904317" cy="21418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 10]</w:t>
            </w:r>
          </w:p>
        </w:tc>
      </w:tr>
    </w:tbl>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Katman Bazlı Adli Kanıt Dinamikleri</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Somatik katmanda kolektif çaresizlik biyokimyasal izler bırakmaktadır: Hipotalamus-hipofiz-adrenal (HPA) ekseni kronik allostatik stres altında denetlenemez biçimde kortizol salgılar; bireyler bu baskıyı hafifletmek adına antidepresanlara ve anksiyolitiklere sığınır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Türkiye genelinde yıllık antidepresan kutu tüketim hacmi 2014 yılında 39.134.225 kutu iken, 2024 yılında 65.591.252 kutuya, 2025 sonu itibarıyla ise 71.527.690 kutuya ulaşmıştır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Bu kimyasallar metabolize edilerek atıksu şebekesine karıştığından, merkezi arıtma tesislerinde LC-MS/MS spektrometrisi ile ölçülen kütle yükü resmi sağlık bültenlerinden bağımsız olarak toplumsal tükenişi kanıtlamaktadır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Adli katmanda ekonomik sözleşmelerin çözülmesi adliye binalarındaki dosya yığılmalarıyla somutlaşmaktadır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UYAP sistemindeki açık icra dosyası stoku 2008 yılında 8 milyon iken, 2022'de 23.5 milyona, 2026 yılı itibarıyla ise 27 milyon barajına dayanmıştır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Ceza infaz kurumlarının resmi kapasitesi 304.278 kişi olmasına karşın kurumlarda 433.520 kişi bulunmakta; kapasite aşım oranı %131 ile %142 arasında seyretmektedir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Bilişsel katmanda Philip Tetlock ve Peter Suedfeld'in Bütünleştirici Karmaşıklık (Auto-IC) modeli, karar vericilerin stres altında analitik muhakemeyi yitirip kabileci reflekslere savrulmasını takip etmektedir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35240"/>
            <wp:effectExtent b="0" l="0" r="0" t="0"/>
            <wp:docPr id="17"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905500" cy="83524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TBMM Zabıt Cerideleri üzerinde yürütülen hesaplamalı dilbilim analizleri, meclis dili karmaşıklığının </w:t>
      </w:r>
      <w:r w:rsidDel="00000000" w:rsidR="00000000" w:rsidRPr="00000000">
        <w:rPr>
          <w:rFonts w:ascii="Arial" w:cs="Arial" w:eastAsia="Arial" w:hAnsi="Arial"/>
          <w:color w:val="1f1f1f"/>
        </w:rPr>
        <w:drawing>
          <wp:inline distB="19050" distT="19050" distL="19050" distR="19050">
            <wp:extent cx="740420" cy="238845"/>
            <wp:effectExtent b="0" l="0" r="0" t="0"/>
            <wp:docPr id="18"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740420" cy="238845"/>
                    </a:xfrm>
                    <a:prstGeom prst="rect"/>
                    <a:ln/>
                  </pic:spPr>
                </pic:pic>
              </a:graphicData>
            </a:graphic>
          </wp:inline>
        </w:drawing>
      </w:r>
      <w:r w:rsidDel="00000000" w:rsidR="00000000" w:rsidRPr="00000000">
        <w:rPr>
          <w:rFonts w:ascii="Arial" w:cs="Arial" w:eastAsia="Arial" w:hAnsi="Arial"/>
          <w:color w:val="1f1f1f"/>
          <w:rtl w:val="0"/>
        </w:rPr>
        <w:t xml:space="preserve"> bandına çakıldığını, kelime zenginliği Guiraud indeksinin (</w:t>
      </w:r>
      <w:r w:rsidDel="00000000" w:rsidR="00000000" w:rsidRPr="00000000">
        <w:rPr>
          <w:rFonts w:ascii="Arial" w:cs="Arial" w:eastAsia="Arial" w:hAnsi="Arial"/>
          <w:color w:val="1f1f1f"/>
        </w:rPr>
        <w:drawing>
          <wp:inline distB="19050" distT="19050" distL="19050" distR="19050">
            <wp:extent cx="1124950" cy="251319"/>
            <wp:effectExtent b="0" l="0" r="0" t="0"/>
            <wp:docPr id="19"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1124950" cy="251319"/>
                    </a:xfrm>
                    <a:prstGeom prst="rect"/>
                    <a:ln/>
                  </pic:spPr>
                </pic:pic>
              </a:graphicData>
            </a:graphic>
          </wp:inline>
        </w:drawing>
      </w:r>
      <w:r w:rsidDel="00000000" w:rsidR="00000000" w:rsidRPr="00000000">
        <w:rPr>
          <w:rFonts w:ascii="Arial" w:cs="Arial" w:eastAsia="Arial" w:hAnsi="Arial"/>
          <w:color w:val="1f1f1f"/>
          <w:rtl w:val="0"/>
        </w:rPr>
        <w:t xml:space="preserve">) gerilediğini ve Türk Tabipleri Birliği'nden (TTB) yurt dışı denklik belgesi talep eden hekim ve mühendis debisinin ivmelendiğini ortaya koymaktadır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Mekânsal katmanda Luis Martínez'in uydu gece ışıkları modeli, otokratik yönetimlerin ekonomik büyüme verilerini fotonik sapmalar üzerinden nasıl tahrif ettiğini adli olarak belgelemektedir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35240"/>
            <wp:effectExtent b="0" l="0" r="0" t="0"/>
            <wp:docPr id="20"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05500" cy="83524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otokratik ülkelerde </w:t>
      </w:r>
      <w:r w:rsidDel="00000000" w:rsidR="00000000" w:rsidRPr="00000000">
        <w:rPr>
          <w:rFonts w:ascii="Arial" w:cs="Arial" w:eastAsia="Arial" w:hAnsi="Arial"/>
          <w:color w:val="1f1f1f"/>
        </w:rPr>
        <w:drawing>
          <wp:inline distB="19050" distT="19050" distL="19050" distR="19050">
            <wp:extent cx="798649" cy="250323"/>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798649" cy="250323"/>
                    </a:xfrm>
                    <a:prstGeom prst="rect"/>
                    <a:ln/>
                  </pic:spPr>
                </pic:pic>
              </a:graphicData>
            </a:graphic>
          </wp:inline>
        </w:drawing>
      </w:r>
      <w:r w:rsidDel="00000000" w:rsidR="00000000" w:rsidRPr="00000000">
        <w:rPr>
          <w:rFonts w:ascii="Arial" w:cs="Arial" w:eastAsia="Arial" w:hAnsi="Arial"/>
          <w:color w:val="1f1f1f"/>
          <w:rtl w:val="0"/>
        </w:rPr>
        <w:t xml:space="preserve"> katsayısını doğrulamaktadır; bu da rejimlerin gerçekte var olmayan yaklaşık %35'lik bir sanal büyüme bildirdiğini belgeler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Eşzamanlı olarak özel güvenlik görevlisi sayısının resmi kolluk kuvveti mevcuduna oranının </w:t>
      </w:r>
      <w:r w:rsidDel="00000000" w:rsidR="00000000" w:rsidRPr="00000000">
        <w:rPr>
          <w:rFonts w:ascii="Arial" w:cs="Arial" w:eastAsia="Arial" w:hAnsi="Arial"/>
          <w:color w:val="1f1f1f"/>
        </w:rPr>
        <w:drawing>
          <wp:inline distB="19050" distT="19050" distL="19050" distR="19050">
            <wp:extent cx="955472" cy="250811"/>
            <wp:effectExtent b="0" l="0" r="0" t="0"/>
            <wp:docPr id="2"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955472" cy="250811"/>
                    </a:xfrm>
                    <a:prstGeom prst="rect"/>
                    <a:ln/>
                  </pic:spPr>
                </pic:pic>
              </a:graphicData>
            </a:graphic>
          </wp:inline>
        </w:drawing>
      </w:r>
      <w:r w:rsidDel="00000000" w:rsidR="00000000" w:rsidRPr="00000000">
        <w:rPr>
          <w:rFonts w:ascii="Arial" w:cs="Arial" w:eastAsia="Arial" w:hAnsi="Arial"/>
          <w:color w:val="1f1f1f"/>
          <w:rtl w:val="0"/>
        </w:rPr>
        <w:t xml:space="preserve"> seviyesine çıkması, kamusal güvenlik tekelinin gettolaştığını göstermektedir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Mikro-finansal düzeyde hanehalkının tükenişi süpermarket raflarında izlenmektedir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Temel Gıda Güvenlik Kilitleme Oranı (</w:t>
      </w:r>
      <w:r w:rsidDel="00000000" w:rsidR="00000000" w:rsidRPr="00000000">
        <w:rPr>
          <w:rFonts w:ascii="Arial" w:cs="Arial" w:eastAsia="Arial" w:hAnsi="Arial"/>
          <w:color w:val="1f1f1f"/>
        </w:rPr>
        <w:drawing>
          <wp:inline distB="19050" distT="19050" distL="19050" distR="19050">
            <wp:extent cx="415044" cy="249027"/>
            <wp:effectExtent b="0" l="0" r="0" t="0"/>
            <wp:docPr id="3"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15044" cy="249027"/>
                    </a:xfrm>
                    <a:prstGeom prst="rect"/>
                    <a:ln/>
                  </pic:spPr>
                </pic:pic>
              </a:graphicData>
            </a:graphic>
          </wp:inline>
        </w:drawing>
      </w:r>
      <w:r w:rsidDel="00000000" w:rsidR="00000000" w:rsidRPr="00000000">
        <w:rPr>
          <w:rFonts w:ascii="Arial" w:cs="Arial" w:eastAsia="Arial" w:hAnsi="Arial"/>
          <w:color w:val="1f1f1f"/>
          <w:rtl w:val="0"/>
        </w:rPr>
        <w:t xml:space="preserve">), bebek maması, peynir ve teneke yağ gibi temel gıda kalemlerine takılan Elektronik Ürün Gözetleme (EAS) mekanik alarmlarının sıklığını temsil etmektedir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99935"/>
            <wp:effectExtent b="0" l="0" r="0" t="0"/>
            <wp:docPr id="4"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05500" cy="99993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oranın %25 eşiğini aşması, hırsızlık vakalarının lüks tüketimden biyolojik hayatta kalma fazına geçtiğini; kredi kartı asgari ödeme kilitlenmesinin (</w:t>
      </w:r>
      <w:r w:rsidDel="00000000" w:rsidR="00000000" w:rsidRPr="00000000">
        <w:rPr>
          <w:rFonts w:ascii="Arial" w:cs="Arial" w:eastAsia="Arial" w:hAnsi="Arial"/>
          <w:color w:val="1f1f1f"/>
        </w:rPr>
        <w:drawing>
          <wp:inline distB="19050" distT="19050" distL="19050" distR="19050">
            <wp:extent cx="562385" cy="251278"/>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62385" cy="251278"/>
                    </a:xfrm>
                    <a:prstGeom prst="rect"/>
                    <a:ln/>
                  </pic:spPr>
                </pic:pic>
              </a:graphicData>
            </a:graphic>
          </wp:inline>
        </w:drawing>
      </w:r>
      <w:r w:rsidDel="00000000" w:rsidR="00000000" w:rsidRPr="00000000">
        <w:rPr>
          <w:rFonts w:ascii="Arial" w:cs="Arial" w:eastAsia="Arial" w:hAnsi="Arial"/>
          <w:color w:val="1f1f1f"/>
          <w:rtl w:val="0"/>
        </w:rPr>
        <w:t xml:space="preserve">) %50'yi bulması ve Kapalıçarşı'da hurda altın bozdurma oranının (</w:t>
      </w:r>
      <w:r w:rsidDel="00000000" w:rsidR="00000000" w:rsidRPr="00000000">
        <w:rPr>
          <w:rFonts w:ascii="Arial" w:cs="Arial" w:eastAsia="Arial" w:hAnsi="Arial"/>
          <w:color w:val="1f1f1f"/>
        </w:rPr>
        <w:drawing>
          <wp:inline distB="19050" distT="19050" distL="19050" distR="19050">
            <wp:extent cx="451321" cy="256155"/>
            <wp:effectExtent b="0" l="0" r="0" t="0"/>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51321" cy="256155"/>
                    </a:xfrm>
                    <a:prstGeom prst="rect"/>
                    <a:ln/>
                  </pic:spPr>
                </pic:pic>
              </a:graphicData>
            </a:graphic>
          </wp:inline>
        </w:drawing>
      </w:r>
      <w:r w:rsidDel="00000000" w:rsidR="00000000" w:rsidRPr="00000000">
        <w:rPr>
          <w:rFonts w:ascii="Arial" w:cs="Arial" w:eastAsia="Arial" w:hAnsi="Arial"/>
          <w:color w:val="1f1f1f"/>
          <w:rtl w:val="0"/>
        </w:rPr>
        <w:t xml:space="preserve">) 3.0 katına fırlaması ise son varlık tasfiyesini göstermektedir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Turchin Siyasal Stres ve Bar-Yam Gıda İsyan Eşikleri</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Peter Turchin ve Jack Goldstone tarafından kurulan Yapısal-Demografik Teori (SDT), kitlelerin yoksullaşması, elit aşırı üretimi ve devletin mali iflas kapasitesinin bileşkesi üzerinden Siyasal Stres İndeksini (</w:t>
      </w:r>
      <w:r w:rsidDel="00000000" w:rsidR="00000000" w:rsidRPr="00000000">
        <w:rPr>
          <w:rFonts w:ascii="Arial" w:cs="Arial" w:eastAsia="Arial" w:hAnsi="Arial"/>
          <w:color w:val="1f1f1f"/>
        </w:rPr>
        <w:drawing>
          <wp:inline distB="19050" distT="19050" distL="19050" distR="19050">
            <wp:extent cx="1038816" cy="250749"/>
            <wp:effectExtent b="0" l="0" r="0" t="0"/>
            <wp:docPr id="7"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1038816" cy="250749"/>
                    </a:xfrm>
                    <a:prstGeom prst="rect"/>
                    <a:ln/>
                  </pic:spPr>
                </pic:pic>
              </a:graphicData>
            </a:graphic>
          </wp:inline>
        </w:drawing>
      </w:r>
      <w:r w:rsidDel="00000000" w:rsidR="00000000" w:rsidRPr="00000000">
        <w:rPr>
          <w:rFonts w:ascii="Arial" w:cs="Arial" w:eastAsia="Arial" w:hAnsi="Arial"/>
          <w:color w:val="1f1f1f"/>
          <w:rtl w:val="0"/>
        </w:rPr>
        <w:t xml:space="preserve">) hesaplamaktadır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8"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Kitlesel Seferberlik Potansiyeli (</w:t>
      </w:r>
      <w:r w:rsidDel="00000000" w:rsidR="00000000" w:rsidRPr="00000000">
        <w:rPr>
          <w:rFonts w:ascii="Arial" w:cs="Arial" w:eastAsia="Arial" w:hAnsi="Arial"/>
          <w:color w:val="1f1f1f"/>
        </w:rPr>
        <w:drawing>
          <wp:inline distB="19050" distT="19050" distL="19050" distR="19050">
            <wp:extent cx="532990" cy="254382"/>
            <wp:effectExtent b="0" l="0" r="0" t="0"/>
            <wp:docPr id="9"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32990" cy="254382"/>
                    </a:xfrm>
                    <a:prstGeom prst="rect"/>
                    <a:ln/>
                  </pic:spPr>
                </pic:pic>
              </a:graphicData>
            </a:graphic>
          </wp:inline>
        </w:drawing>
      </w:r>
      <w:r w:rsidDel="00000000" w:rsidR="00000000" w:rsidRPr="00000000">
        <w:rPr>
          <w:rFonts w:ascii="Arial" w:cs="Arial" w:eastAsia="Arial" w:hAnsi="Arial"/>
          <w:color w:val="1f1f1f"/>
          <w:rtl w:val="0"/>
        </w:rPr>
        <w:t xml:space="preserve">), genç kohort büyüklüğü (</w:t>
      </w:r>
      <w:r w:rsidDel="00000000" w:rsidR="00000000" w:rsidRPr="00000000">
        <w:rPr>
          <w:rFonts w:ascii="Arial" w:cs="Arial" w:eastAsia="Arial" w:hAnsi="Arial"/>
          <w:color w:val="1f1f1f"/>
        </w:rPr>
        <w:drawing>
          <wp:inline distB="19050" distT="19050" distL="19050" distR="19050">
            <wp:extent cx="112179" cy="261750"/>
            <wp:effectExtent b="0" l="0" r="0" t="0"/>
            <wp:docPr id="10"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112179" cy="261750"/>
                    </a:xfrm>
                    <a:prstGeom prst="rect"/>
                    <a:ln/>
                  </pic:spPr>
                </pic:pic>
              </a:graphicData>
            </a:graphic>
          </wp:inline>
        </w:drawing>
      </w:r>
      <w:r w:rsidDel="00000000" w:rsidR="00000000" w:rsidRPr="00000000">
        <w:rPr>
          <w:rFonts w:ascii="Arial" w:cs="Arial" w:eastAsia="Arial" w:hAnsi="Arial"/>
          <w:color w:val="1f1f1f"/>
          <w:rtl w:val="0"/>
        </w:rPr>
        <w:t xml:space="preserve">), kentsel yığılma katsayısı (</w:t>
      </w:r>
      <w:r w:rsidDel="00000000" w:rsidR="00000000" w:rsidRPr="00000000">
        <w:rPr>
          <w:rFonts w:ascii="Arial" w:cs="Arial" w:eastAsia="Arial" w:hAnsi="Arial"/>
          <w:color w:val="1f1f1f"/>
        </w:rPr>
        <w:drawing>
          <wp:inline distB="19050" distT="19050" distL="19050" distR="19050">
            <wp:extent cx="79623" cy="278681"/>
            <wp:effectExtent b="0" l="0" r="0" t="0"/>
            <wp:docPr id="33"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79623" cy="278681"/>
                    </a:xfrm>
                    <a:prstGeom prst="rect"/>
                    <a:ln/>
                  </pic:spPr>
                </pic:pic>
              </a:graphicData>
            </a:graphic>
          </wp:inline>
        </w:drawing>
      </w:r>
      <w:r w:rsidDel="00000000" w:rsidR="00000000" w:rsidRPr="00000000">
        <w:rPr>
          <w:rFonts w:ascii="Arial" w:cs="Arial" w:eastAsia="Arial" w:hAnsi="Arial"/>
          <w:color w:val="1f1f1f"/>
          <w:rtl w:val="0"/>
        </w:rPr>
        <w:t xml:space="preserve">) ve bağıl reel ücret (</w:t>
      </w:r>
      <w:r w:rsidDel="00000000" w:rsidR="00000000" w:rsidRPr="00000000">
        <w:rPr>
          <w:rFonts w:ascii="Arial" w:cs="Arial" w:eastAsia="Arial" w:hAnsi="Arial"/>
          <w:color w:val="1f1f1f"/>
        </w:rPr>
        <w:drawing>
          <wp:inline distB="19050" distT="19050" distL="19050" distR="19050">
            <wp:extent cx="145479" cy="254588"/>
            <wp:effectExtent b="0" l="0" r="0" t="0"/>
            <wp:docPr id="34"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145479" cy="254588"/>
                    </a:xfrm>
                    <a:prstGeom prst="rect"/>
                    <a:ln/>
                  </pic:spPr>
                </pic:pic>
              </a:graphicData>
            </a:graphic>
          </wp:inline>
        </w:drawing>
      </w:r>
      <w:r w:rsidDel="00000000" w:rsidR="00000000" w:rsidRPr="00000000">
        <w:rPr>
          <w:rFonts w:ascii="Arial" w:cs="Arial" w:eastAsia="Arial" w:hAnsi="Arial"/>
          <w:color w:val="1f1f1f"/>
          <w:rtl w:val="0"/>
        </w:rPr>
        <w:t xml:space="preserve">) üzerinden tanımlanır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47004"/>
            <wp:effectExtent b="0" l="0" r="0" t="0"/>
            <wp:docPr id="35"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5905500" cy="84700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Elit Seferberlik Potansiyeli (</w:t>
      </w:r>
      <w:r w:rsidDel="00000000" w:rsidR="00000000" w:rsidRPr="00000000">
        <w:rPr>
          <w:rFonts w:ascii="Arial" w:cs="Arial" w:eastAsia="Arial" w:hAnsi="Arial"/>
          <w:color w:val="1f1f1f"/>
        </w:rPr>
        <w:drawing>
          <wp:inline distB="19050" distT="19050" distL="19050" distR="19050">
            <wp:extent cx="487598" cy="255989"/>
            <wp:effectExtent b="0" l="0" r="0" t="0"/>
            <wp:docPr id="36"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487598" cy="255989"/>
                    </a:xfrm>
                    <a:prstGeom prst="rect"/>
                    <a:ln/>
                  </pic:spPr>
                </pic:pic>
              </a:graphicData>
            </a:graphic>
          </wp:inline>
        </w:drawing>
      </w:r>
      <w:r w:rsidDel="00000000" w:rsidR="00000000" w:rsidRPr="00000000">
        <w:rPr>
          <w:rFonts w:ascii="Arial" w:cs="Arial" w:eastAsia="Arial" w:hAnsi="Arial"/>
          <w:color w:val="1f1f1f"/>
          <w:rtl w:val="0"/>
        </w:rPr>
        <w:t xml:space="preserve">), yükseköğretim mezunu elit adayı sayısı (</w:t>
      </w:r>
      <w:r w:rsidDel="00000000" w:rsidR="00000000" w:rsidRPr="00000000">
        <w:rPr>
          <w:rFonts w:ascii="Arial" w:cs="Arial" w:eastAsia="Arial" w:hAnsi="Arial"/>
          <w:color w:val="1f1f1f"/>
        </w:rPr>
        <w:drawing>
          <wp:inline distB="19050" distT="19050" distL="19050" distR="19050">
            <wp:extent cx="155712" cy="272496"/>
            <wp:effectExtent b="0" l="0" r="0" t="0"/>
            <wp:docPr id="37"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155712" cy="272496"/>
                    </a:xfrm>
                    <a:prstGeom prst="rect"/>
                    <a:ln/>
                  </pic:spPr>
                </pic:pic>
              </a:graphicData>
            </a:graphic>
          </wp:inline>
        </w:drawing>
      </w:r>
      <w:r w:rsidDel="00000000" w:rsidR="00000000" w:rsidRPr="00000000">
        <w:rPr>
          <w:rFonts w:ascii="Arial" w:cs="Arial" w:eastAsia="Arial" w:hAnsi="Arial"/>
          <w:color w:val="1f1f1f"/>
          <w:rtl w:val="0"/>
        </w:rPr>
        <w:t xml:space="preserve">) ve en zengin dilimin servet payı (</w:t>
      </w:r>
      <w:r w:rsidDel="00000000" w:rsidR="00000000" w:rsidRPr="00000000">
        <w:rPr>
          <w:rFonts w:ascii="Arial" w:cs="Arial" w:eastAsia="Arial" w:hAnsi="Arial"/>
          <w:color w:val="1f1f1f"/>
        </w:rPr>
        <w:drawing>
          <wp:inline distB="19050" distT="19050" distL="19050" distR="19050">
            <wp:extent cx="91901" cy="241241"/>
            <wp:effectExtent b="0" l="0" r="0" t="0"/>
            <wp:docPr id="38"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91901" cy="241241"/>
                    </a:xfrm>
                    <a:prstGeom prst="rect"/>
                    <a:ln/>
                  </pic:spPr>
                </pic:pic>
              </a:graphicData>
            </a:graphic>
          </wp:inline>
        </w:drawing>
      </w:r>
      <w:r w:rsidDel="00000000" w:rsidR="00000000" w:rsidRPr="00000000">
        <w:rPr>
          <w:rFonts w:ascii="Arial" w:cs="Arial" w:eastAsia="Arial" w:hAnsi="Arial"/>
          <w:color w:val="1f1f1f"/>
          <w:rtl w:val="0"/>
        </w:rPr>
        <w:t xml:space="preserve">) ile belirlenir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39"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Devlet Mali İflas Kapasitesi (</w:t>
      </w:r>
      <w:r w:rsidDel="00000000" w:rsidR="00000000" w:rsidRPr="00000000">
        <w:rPr>
          <w:rFonts w:ascii="Arial" w:cs="Arial" w:eastAsia="Arial" w:hAnsi="Arial"/>
          <w:color w:val="1f1f1f"/>
        </w:rPr>
        <w:drawing>
          <wp:inline distB="19050" distT="19050" distL="19050" distR="19050">
            <wp:extent cx="440904" cy="257194"/>
            <wp:effectExtent b="0" l="0" r="0" t="0"/>
            <wp:docPr id="40"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440904" cy="257194"/>
                    </a:xfrm>
                    <a:prstGeom prst="rect"/>
                    <a:ln/>
                  </pic:spPr>
                </pic:pic>
              </a:graphicData>
            </a:graphic>
          </wp:inline>
        </w:drawing>
      </w:r>
      <w:r w:rsidDel="00000000" w:rsidR="00000000" w:rsidRPr="00000000">
        <w:rPr>
          <w:rFonts w:ascii="Arial" w:cs="Arial" w:eastAsia="Arial" w:hAnsi="Arial"/>
          <w:color w:val="1f1f1f"/>
          <w:rtl w:val="0"/>
        </w:rPr>
        <w:t xml:space="preserve">) ise kamu borcunun vergi gelirlerine oranı (</w:t>
      </w:r>
      <w:r w:rsidDel="00000000" w:rsidR="00000000" w:rsidRPr="00000000">
        <w:rPr>
          <w:rFonts w:ascii="Arial" w:cs="Arial" w:eastAsia="Arial" w:hAnsi="Arial"/>
          <w:color w:val="1f1f1f"/>
        </w:rPr>
        <w:drawing>
          <wp:inline distB="19050" distT="19050" distL="19050" distR="19050">
            <wp:extent cx="157385" cy="254238"/>
            <wp:effectExtent b="0" l="0" r="0" t="0"/>
            <wp:docPr id="41"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157385" cy="254238"/>
                    </a:xfrm>
                    <a:prstGeom prst="rect"/>
                    <a:ln/>
                  </pic:spPr>
                </pic:pic>
              </a:graphicData>
            </a:graphic>
          </wp:inline>
        </w:drawing>
      </w:r>
      <w:r w:rsidDel="00000000" w:rsidR="00000000" w:rsidRPr="00000000">
        <w:rPr>
          <w:rFonts w:ascii="Arial" w:cs="Arial" w:eastAsia="Arial" w:hAnsi="Arial"/>
          <w:color w:val="1f1f1f"/>
          <w:rtl w:val="0"/>
        </w:rPr>
        <w:t xml:space="preserve">) üzerinden modellenir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88171"/>
            <wp:effectExtent b="0" l="0" r="0" t="0"/>
            <wp:docPr id="42"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5905500" cy="988171"/>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Endeksin tarihsel ortalamanın 3 standart sapma üzerine çıkması (</w:t>
      </w:r>
      <w:r w:rsidDel="00000000" w:rsidR="00000000" w:rsidRPr="00000000">
        <w:rPr>
          <w:rFonts w:ascii="Arial" w:cs="Arial" w:eastAsia="Arial" w:hAnsi="Arial"/>
          <w:color w:val="1f1f1f"/>
        </w:rPr>
        <w:drawing>
          <wp:inline distB="19050" distT="19050" distL="19050" distR="19050">
            <wp:extent cx="1194530" cy="250851"/>
            <wp:effectExtent b="0" l="0" r="0" t="0"/>
            <wp:docPr id="32"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1194530" cy="250851"/>
                    </a:xfrm>
                    <a:prstGeom prst="rect"/>
                    <a:ln/>
                  </pic:spPr>
                </pic:pic>
              </a:graphicData>
            </a:graphic>
          </wp:inline>
        </w:drawing>
      </w:r>
      <w:r w:rsidDel="00000000" w:rsidR="00000000" w:rsidRPr="00000000">
        <w:rPr>
          <w:rFonts w:ascii="Arial" w:cs="Arial" w:eastAsia="Arial" w:hAnsi="Arial"/>
          <w:color w:val="1f1f1f"/>
          <w:rtl w:val="0"/>
        </w:rPr>
        <w:t xml:space="preserve">), sistemik bir faz geçişinin kaçınılmaz olduğunu belgeler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 England Complex Systems Institute (NECSI) bünyesinde Yaneer Bar-Yam tarafından geliştirilen Kentsel İsyan Modeli ise sosyal patlamaların gıda endeksinin katı bir eşiği aştığı anda deterministik olarak başladığını kanıtlar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23"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FAO endeksinin 210 sınırını aşması, 2008 küresel gıda ayaklanmalarını ve 2011 Arap Baharı patlamasını kesin bir zamanlamayla tetiklemiştir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Ekonofizik, Termodinamik ve Likidite Laboratuvarı</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Frederick Soddy Sanal Servet Makası</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Frederick Soddy'nin termodinamik iktisat kuramı, bankacılık sistemi tarafından üretilen borçların ve kaydi paranın (</w:t>
      </w:r>
      <w:r w:rsidDel="00000000" w:rsidR="00000000" w:rsidRPr="00000000">
        <w:rPr>
          <w:rFonts w:ascii="Arial" w:cs="Arial" w:eastAsia="Arial" w:hAnsi="Arial"/>
          <w:color w:val="1f1f1f"/>
        </w:rPr>
        <w:drawing>
          <wp:inline distB="19050" distT="19050" distL="19050" distR="19050">
            <wp:extent cx="309377" cy="259876"/>
            <wp:effectExtent b="0" l="0" r="0" t="0"/>
            <wp:docPr id="2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09377" cy="259876"/>
                    </a:xfrm>
                    <a:prstGeom prst="rect"/>
                    <a:ln/>
                  </pic:spPr>
                </pic:pic>
              </a:graphicData>
            </a:graphic>
          </wp:inline>
        </w:drawing>
      </w:r>
      <w:r w:rsidDel="00000000" w:rsidR="00000000" w:rsidRPr="00000000">
        <w:rPr>
          <w:rFonts w:ascii="Arial" w:cs="Arial" w:eastAsia="Arial" w:hAnsi="Arial"/>
          <w:color w:val="1f1f1f"/>
          <w:rtl w:val="0"/>
        </w:rPr>
        <w:t xml:space="preserve">) bileşik faiz nedeniyle üstel büyüdüğünü (</w:t>
      </w:r>
      <w:r w:rsidDel="00000000" w:rsidR="00000000" w:rsidRPr="00000000">
        <w:rPr>
          <w:rFonts w:ascii="Arial" w:cs="Arial" w:eastAsia="Arial" w:hAnsi="Arial"/>
          <w:color w:val="1f1f1f"/>
        </w:rPr>
        <w:drawing>
          <wp:inline distB="19050" distT="19050" distL="19050" distR="19050">
            <wp:extent cx="1180576" cy="250425"/>
            <wp:effectExtent b="0" l="0" r="0" t="0"/>
            <wp:docPr id="25"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1180576" cy="250425"/>
                    </a:xfrm>
                    <a:prstGeom prst="rect"/>
                    <a:ln/>
                  </pic:spPr>
                </pic:pic>
              </a:graphicData>
            </a:graphic>
          </wp:inline>
        </w:drawing>
      </w:r>
      <w:r w:rsidDel="00000000" w:rsidR="00000000" w:rsidRPr="00000000">
        <w:rPr>
          <w:rFonts w:ascii="Arial" w:cs="Arial" w:eastAsia="Arial" w:hAnsi="Arial"/>
          <w:color w:val="1f1f1f"/>
          <w:rtl w:val="0"/>
        </w:rPr>
        <w:t xml:space="preserve">), buna karşılık reel fiziksel zenginliğin ve bu zenginliğin dayandığı net döviz rezervlerinin (</w:t>
      </w:r>
      <w:r w:rsidDel="00000000" w:rsidR="00000000" w:rsidRPr="00000000">
        <w:rPr>
          <w:rFonts w:ascii="Arial" w:cs="Arial" w:eastAsia="Arial" w:hAnsi="Arial"/>
          <w:color w:val="1f1f1f"/>
        </w:rPr>
        <w:drawing>
          <wp:inline distB="19050" distT="19050" distL="19050" distR="19050">
            <wp:extent cx="430485" cy="251116"/>
            <wp:effectExtent b="0" l="0" r="0" t="0"/>
            <wp:docPr id="26"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30485" cy="251116"/>
                    </a:xfrm>
                    <a:prstGeom prst="rect"/>
                    <a:ln/>
                  </pic:spPr>
                </pic:pic>
              </a:graphicData>
            </a:graphic>
          </wp:inline>
        </w:drawing>
      </w:r>
      <w:r w:rsidDel="00000000" w:rsidR="00000000" w:rsidRPr="00000000">
        <w:rPr>
          <w:rFonts w:ascii="Arial" w:cs="Arial" w:eastAsia="Arial" w:hAnsi="Arial"/>
          <w:color w:val="1f1f1f"/>
          <w:rtl w:val="0"/>
        </w:rPr>
        <w:t xml:space="preserve">) Termodinamiğin İkinci Yasası gereğince entropik aşınmaya tabi olduğunu ortaya koymaktadır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Sanal Servet Makası (</w:t>
      </w:r>
      <w:r w:rsidDel="00000000" w:rsidR="00000000" w:rsidRPr="00000000">
        <w:rPr>
          <w:rFonts w:ascii="Arial" w:cs="Arial" w:eastAsia="Arial" w:hAnsi="Arial"/>
          <w:color w:val="1f1f1f"/>
        </w:rPr>
        <w:drawing>
          <wp:inline distB="19050" distT="19050" distL="19050" distR="19050">
            <wp:extent cx="837716" cy="251315"/>
            <wp:effectExtent b="0" l="0" r="0" t="0"/>
            <wp:docPr id="27"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837716" cy="251315"/>
                    </a:xfrm>
                    <a:prstGeom prst="rect"/>
                    <a:ln/>
                  </pic:spPr>
                </pic:pic>
              </a:graphicData>
            </a:graphic>
          </wp:inline>
        </w:drawing>
      </w:r>
      <w:r w:rsidDel="00000000" w:rsidR="00000000" w:rsidRPr="00000000">
        <w:rPr>
          <w:rFonts w:ascii="Arial" w:cs="Arial" w:eastAsia="Arial" w:hAnsi="Arial"/>
          <w:color w:val="1f1f1f"/>
          <w:rtl w:val="0"/>
        </w:rPr>
        <w:t xml:space="preserve">), kaydi para hacminin fiziksel rezerv çapasına oranını ölçmektedir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88171"/>
            <wp:effectExtent b="0" l="0" r="0" t="0"/>
            <wp:docPr id="28"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5905500" cy="988171"/>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Rezervlerin net olarak sıfırın altına indiği durumlarda (</w:t>
      </w:r>
      <w:r w:rsidDel="00000000" w:rsidR="00000000" w:rsidRPr="00000000">
        <w:rPr>
          <w:rFonts w:ascii="Arial" w:cs="Arial" w:eastAsia="Arial" w:hAnsi="Arial"/>
          <w:color w:val="1f1f1f"/>
        </w:rPr>
        <w:drawing>
          <wp:inline distB="19050" distT="19050" distL="19050" distR="19050">
            <wp:extent cx="789720" cy="251274"/>
            <wp:effectExtent b="0" l="0" r="0" t="0"/>
            <wp:docPr id="29"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789720" cy="251274"/>
                    </a:xfrm>
                    <a:prstGeom prst="rect"/>
                    <a:ln/>
                  </pic:spPr>
                </pic:pic>
              </a:graphicData>
            </a:graphic>
          </wp:inline>
        </w:drawing>
      </w:r>
      <w:r w:rsidDel="00000000" w:rsidR="00000000" w:rsidRPr="00000000">
        <w:rPr>
          <w:rFonts w:ascii="Arial" w:cs="Arial" w:eastAsia="Arial" w:hAnsi="Arial"/>
          <w:color w:val="1f1f1f"/>
          <w:rtl w:val="0"/>
        </w:rPr>
        <w:t xml:space="preserve">), sistem doğrudan </w:t>
      </w:r>
      <w:r w:rsidDel="00000000" w:rsidR="00000000" w:rsidRPr="00000000">
        <w:rPr>
          <w:rFonts w:ascii="Arial" w:cs="Arial" w:eastAsia="Arial" w:hAnsi="Arial"/>
          <w:b w:val="1"/>
          <w:bCs w:val="1"/>
          <w:color w:val="1f1f1f"/>
          <w:rtl w:val="0"/>
        </w:rPr>
        <w:t xml:space="preserve">"ÇAPA İMHASI (ANCHOR ANNIHILATION)"</w:t>
      </w:r>
      <w:r w:rsidDel="00000000" w:rsidR="00000000" w:rsidRPr="00000000">
        <w:rPr>
          <w:rFonts w:ascii="Arial" w:cs="Arial" w:eastAsia="Arial" w:hAnsi="Arial"/>
          <w:color w:val="1f1f1f"/>
          <w:rtl w:val="0"/>
        </w:rPr>
        <w:t xml:space="preserve"> rejimine geçmektedir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Türkiye örneğinde 2021–2023 negatif reel faiz döneminde TCMB swap hariç net rezervlerinin -$65 milyar dolara inmesi, bu oranı </w:t>
      </w:r>
      <w:r w:rsidDel="00000000" w:rsidR="00000000" w:rsidRPr="00000000">
        <w:rPr>
          <w:rFonts w:ascii="Arial" w:cs="Arial" w:eastAsia="Arial" w:hAnsi="Arial"/>
          <w:color w:val="1f1f1f"/>
        </w:rPr>
        <w:drawing>
          <wp:inline distB="19050" distT="19050" distL="19050" distR="19050">
            <wp:extent cx="500806" cy="238479"/>
            <wp:effectExtent b="0" l="0" r="0" t="0"/>
            <wp:docPr id="30"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500806" cy="238479"/>
                    </a:xfrm>
                    <a:prstGeom prst="rect"/>
                    <a:ln/>
                  </pic:spPr>
                </pic:pic>
              </a:graphicData>
            </a:graphic>
          </wp:inline>
        </w:drawing>
      </w:r>
      <w:r w:rsidDel="00000000" w:rsidR="00000000" w:rsidRPr="00000000">
        <w:rPr>
          <w:rFonts w:ascii="Arial" w:cs="Arial" w:eastAsia="Arial" w:hAnsi="Arial"/>
          <w:color w:val="1f1f1f"/>
          <w:rtl w:val="0"/>
        </w:rPr>
        <w:t xml:space="preserve"> seviyesine fırlatarak kur çıpasını buharlaştırmış ve enflasyonist sarmalı başlatmıştır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Kriz Formülü Simülasyonu</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Parasal genişleme illüzyonu ile fiziksel ve bilişsel taşıma kapasitesi arasındaki gerilimi ölçen Master </w:t>
      </w:r>
      <w:r w:rsidDel="00000000" w:rsidR="00000000" w:rsidRPr="00000000">
        <w:rPr>
          <w:rFonts w:ascii="Arial" w:cs="Arial" w:eastAsia="Arial" w:hAnsi="Arial"/>
          <w:color w:val="1f1f1f"/>
        </w:rPr>
        <w:drawing>
          <wp:inline distB="19050" distT="19050" distL="19050" distR="19050">
            <wp:extent cx="422114" cy="241208"/>
            <wp:effectExtent b="0" l="0" r="0" t="0"/>
            <wp:docPr id="31"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422114" cy="241208"/>
                    </a:xfrm>
                    <a:prstGeom prst="rect"/>
                    <a:ln/>
                  </pic:spPr>
                </pic:pic>
              </a:graphicData>
            </a:graphic>
          </wp:inline>
        </w:drawing>
      </w:r>
      <w:r w:rsidDel="00000000" w:rsidR="00000000" w:rsidRPr="00000000">
        <w:rPr>
          <w:rFonts w:ascii="Arial" w:cs="Arial" w:eastAsia="Arial" w:hAnsi="Arial"/>
          <w:color w:val="1f1f1f"/>
          <w:rtl w:val="0"/>
        </w:rPr>
        <w:t xml:space="preserve"> formülasyonu şu şekilde tanımlanmıştır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023463"/>
            <wp:effectExtent b="0" l="0" r="0" t="0"/>
            <wp:docPr id="21"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5905500" cy="1023463"/>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Denklem parametreleri adli olarak şu değişkenlere dayanır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55712" cy="272496"/>
            <wp:effectExtent b="0" l="0" r="0" t="0"/>
            <wp:docPr id="22"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155712" cy="272496"/>
                    </a:xfrm>
                    <a:prstGeom prst="rect"/>
                    <a:ln/>
                  </pic:spPr>
                </pic:pic>
              </a:graphicData>
            </a:graphic>
          </wp:inline>
        </w:drawing>
      </w:r>
      <w:r w:rsidDel="00000000" w:rsidR="00000000" w:rsidRPr="00000000">
        <w:rPr>
          <w:rFonts w:ascii="Arial" w:cs="Arial" w:eastAsia="Arial" w:hAnsi="Arial"/>
          <w:color w:val="1f1f1f"/>
          <w:rtl w:val="0"/>
        </w:rPr>
        <w:t xml:space="preserve"> (Parasal İllüzyon Katsayısı): Kredi genişlemesi, emisyon artışı ve faiz baskılama katsayısıdır (</w:t>
      </w:r>
      <w:r w:rsidDel="00000000" w:rsidR="00000000" w:rsidRPr="00000000">
        <w:rPr>
          <w:rFonts w:ascii="Arial" w:cs="Arial" w:eastAsia="Arial" w:hAnsi="Arial"/>
          <w:color w:val="1f1f1f"/>
        </w:rPr>
        <w:drawing>
          <wp:inline distB="19050" distT="19050" distL="19050" distR="19050">
            <wp:extent cx="667308" cy="250241"/>
            <wp:effectExtent b="0" l="0" r="0" t="0"/>
            <wp:docPr id="57" name="image51.png"/>
            <a:graphic>
              <a:graphicData uri="http://schemas.openxmlformats.org/drawingml/2006/picture">
                <pic:pic>
                  <pic:nvPicPr>
                    <pic:cNvPr id="0" name="image51.png"/>
                    <pic:cNvPicPr preferRelativeResize="0"/>
                  </pic:nvPicPr>
                  <pic:blipFill>
                    <a:blip r:embed="rId71"/>
                    <a:srcRect b="0" l="0" r="0" t="0"/>
                    <a:stretch>
                      <a:fillRect/>
                    </a:stretch>
                  </pic:blipFill>
                  <pic:spPr>
                    <a:xfrm>
                      <a:off x="0" y="0"/>
                      <a:ext cx="667308" cy="2502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441462" cy="257519"/>
            <wp:effectExtent b="0" l="0" r="0" t="0"/>
            <wp:docPr id="58"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441462" cy="257519"/>
                    </a:xfrm>
                    <a:prstGeom prst="rect"/>
                    <a:ln/>
                  </pic:spPr>
                </pic:pic>
              </a:graphicData>
            </a:graphic>
          </wp:inline>
        </w:drawing>
      </w:r>
      <w:r w:rsidDel="00000000" w:rsidR="00000000" w:rsidRPr="00000000">
        <w:rPr>
          <w:rFonts w:ascii="Arial" w:cs="Arial" w:eastAsia="Arial" w:hAnsi="Arial"/>
          <w:color w:val="1f1f1f"/>
          <w:rtl w:val="0"/>
        </w:rPr>
        <w:t xml:space="preserve"> (Servet / Üretken Sermaye Oranı): Gayrimenkul ve spekülatif varlık köpüklerinin reel üretken makine parkına oranıdır (</w:t>
      </w:r>
      <w:r w:rsidDel="00000000" w:rsidR="00000000" w:rsidRPr="00000000">
        <w:rPr>
          <w:rFonts w:ascii="Arial" w:cs="Arial" w:eastAsia="Arial" w:hAnsi="Arial"/>
          <w:color w:val="1f1f1f"/>
        </w:rPr>
        <w:drawing>
          <wp:inline distB="19050" distT="19050" distL="19050" distR="19050">
            <wp:extent cx="953062" cy="250179"/>
            <wp:effectExtent b="0" l="0" r="0" t="0"/>
            <wp:docPr id="59" name="image54.png"/>
            <a:graphic>
              <a:graphicData uri="http://schemas.openxmlformats.org/drawingml/2006/picture">
                <pic:pic>
                  <pic:nvPicPr>
                    <pic:cNvPr id="0" name="image54.png"/>
                    <pic:cNvPicPr preferRelativeResize="0"/>
                  </pic:nvPicPr>
                  <pic:blipFill>
                    <a:blip r:embed="rId73"/>
                    <a:srcRect b="0" l="0" r="0" t="0"/>
                    <a:stretch>
                      <a:fillRect/>
                    </a:stretch>
                  </pic:blipFill>
                  <pic:spPr>
                    <a:xfrm>
                      <a:off x="0" y="0"/>
                      <a:ext cx="953062" cy="25017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50316" cy="263053"/>
            <wp:effectExtent b="0" l="0" r="0" t="0"/>
            <wp:docPr id="60"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150316" cy="263053"/>
                    </a:xfrm>
                    <a:prstGeom prst="rect"/>
                    <a:ln/>
                  </pic:spPr>
                </pic:pic>
              </a:graphicData>
            </a:graphic>
          </wp:inline>
        </w:drawing>
      </w:r>
      <w:r w:rsidDel="00000000" w:rsidR="00000000" w:rsidRPr="00000000">
        <w:rPr>
          <w:rFonts w:ascii="Arial" w:cs="Arial" w:eastAsia="Arial" w:hAnsi="Arial"/>
          <w:color w:val="1f1f1f"/>
          <w:rtl w:val="0"/>
        </w:rPr>
        <w:t xml:space="preserve"> (EROEI Katsayısı): Sistemin birincil enerji geri dönüş oranıdır (Türkiye için 8.4:1, Norveç için 24.0:1)</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80268" cy="252376"/>
            <wp:effectExtent b="0" l="0" r="0" t="0"/>
            <wp:docPr id="61"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180268" cy="252376"/>
                    </a:xfrm>
                    <a:prstGeom prst="rect"/>
                    <a:ln/>
                  </pic:spPr>
                </pic:pic>
              </a:graphicData>
            </a:graphic>
          </wp:inline>
        </w:drawing>
      </w:r>
      <w:r w:rsidDel="00000000" w:rsidR="00000000" w:rsidRPr="00000000">
        <w:rPr>
          <w:rFonts w:ascii="Arial" w:cs="Arial" w:eastAsia="Arial" w:hAnsi="Arial"/>
          <w:color w:val="1f1f1f"/>
          <w:rtl w:val="0"/>
        </w:rPr>
        <w:t xml:space="preserve"> (PISA Kognitif Kapasite): OECD PISA Seviye 5-6 analitik problem çözebilen elit nüfus payıdır (</w:t>
      </w:r>
      <w:r w:rsidDel="00000000" w:rsidR="00000000" w:rsidRPr="00000000">
        <w:rPr>
          <w:rFonts w:ascii="Arial" w:cs="Arial" w:eastAsia="Arial" w:hAnsi="Arial"/>
          <w:color w:val="1f1f1f"/>
        </w:rPr>
        <w:drawing>
          <wp:inline distB="19050" distT="19050" distL="19050" distR="19050">
            <wp:extent cx="1312288" cy="250528"/>
            <wp:effectExtent b="0" l="0" r="0" t="0"/>
            <wp:docPr id="62" name="image55.png"/>
            <a:graphic>
              <a:graphicData uri="http://schemas.openxmlformats.org/drawingml/2006/picture">
                <pic:pic>
                  <pic:nvPicPr>
                    <pic:cNvPr id="0" name="image55.png"/>
                    <pic:cNvPicPr preferRelativeResize="0"/>
                  </pic:nvPicPr>
                  <pic:blipFill>
                    <a:blip r:embed="rId76"/>
                    <a:srcRect b="0" l="0" r="0" t="0"/>
                    <a:stretch>
                      <a:fillRect/>
                    </a:stretch>
                  </pic:blipFill>
                  <pic:spPr>
                    <a:xfrm>
                      <a:off x="0" y="0"/>
                      <a:ext cx="1312288" cy="25052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Rasyonel Durum Rozetleri şunlardır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515447" cy="238653"/>
            <wp:effectExtent b="0" l="0" r="0" t="0"/>
            <wp:docPr id="63" name="image58.png"/>
            <a:graphic>
              <a:graphicData uri="http://schemas.openxmlformats.org/drawingml/2006/picture">
                <pic:pic>
                  <pic:nvPicPr>
                    <pic:cNvPr id="0" name="image58.png"/>
                    <pic:cNvPicPr preferRelativeResize="0"/>
                  </pic:nvPicPr>
                  <pic:blipFill>
                    <a:blip r:embed="rId77"/>
                    <a:srcRect b="0" l="0" r="0" t="0"/>
                    <a:stretch>
                      <a:fillRect/>
                    </a:stretch>
                  </pic:blipFill>
                  <pic:spPr>
                    <a:xfrm>
                      <a:off x="0" y="0"/>
                      <a:ext cx="1515447" cy="23865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Normal Rejim (Laminer Akış).</w:t>
      </w:r>
      <w:r w:rsidDel="00000000" w:rsidR="00000000" w:rsidRPr="00000000">
        <w:rPr>
          <w:rFonts w:ascii="Arial" w:cs="Arial" w:eastAsia="Arial" w:hAnsi="Arial"/>
          <w:color w:val="1f1f1f"/>
          <w:rtl w:val="0"/>
        </w:rPr>
        <w:t xml:space="preserve"> Sistemik denge korunmaktadır; enerji ve kognitif kapasite parasal genişlemeyi taşımaktadır.</w:t>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124894" cy="238752"/>
            <wp:effectExtent b="0" l="0" r="0" t="0"/>
            <wp:docPr id="64" name="image60.png"/>
            <a:graphic>
              <a:graphicData uri="http://schemas.openxmlformats.org/drawingml/2006/picture">
                <pic:pic>
                  <pic:nvPicPr>
                    <pic:cNvPr id="0" name="image60.png"/>
                    <pic:cNvPicPr preferRelativeResize="0"/>
                  </pic:nvPicPr>
                  <pic:blipFill>
                    <a:blip r:embed="rId78"/>
                    <a:srcRect b="0" l="0" r="0" t="0"/>
                    <a:stretch>
                      <a:fillRect/>
                    </a:stretch>
                  </pic:blipFill>
                  <pic:spPr>
                    <a:xfrm>
                      <a:off x="0" y="0"/>
                      <a:ext cx="2124894" cy="23875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Gerilim Rejimi (Türbülans).</w:t>
      </w:r>
      <w:r w:rsidDel="00000000" w:rsidR="00000000" w:rsidRPr="00000000">
        <w:rPr>
          <w:rFonts w:ascii="Arial" w:cs="Arial" w:eastAsia="Arial" w:hAnsi="Arial"/>
          <w:color w:val="1f1f1f"/>
          <w:rtl w:val="0"/>
        </w:rPr>
        <w:t xml:space="preserve"> Parasal büyüme reel fiziksel sınırları zorlamaktadır; enflasyonist baskı birikir.</w:t>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515447" cy="238653"/>
            <wp:effectExtent b="0" l="0" r="0" t="0"/>
            <wp:docPr id="54"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1515447" cy="23865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Kırılma Rejimi (Faz Geçişi / Katastrof).</w:t>
      </w:r>
      <w:r w:rsidDel="00000000" w:rsidR="00000000" w:rsidRPr="00000000">
        <w:rPr>
          <w:rFonts w:ascii="Arial" w:cs="Arial" w:eastAsia="Arial" w:hAnsi="Arial"/>
          <w:color w:val="1f1f1f"/>
          <w:rtl w:val="0"/>
        </w:rPr>
        <w:t xml:space="preserve"> Enerji ve beyin sermayesi tükenmiştir; sistemik devalüasyon veya borç temerrüdü kaçınılmazdır.</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Likidite Şoku ve Ağ Bulaşma Modelleri</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Piyasa mikroyapısı düzeyinde likiditenin buharlaşması Albert S. Kyle'ın fiyat etkisi parametresi (</w:t>
      </w:r>
      <w:r w:rsidDel="00000000" w:rsidR="00000000" w:rsidRPr="00000000">
        <w:rPr>
          <w:rFonts w:ascii="Arial" w:cs="Arial" w:eastAsia="Arial" w:hAnsi="Arial"/>
          <w:color w:val="1f1f1f"/>
        </w:rPr>
        <w:drawing>
          <wp:inline distB="19050" distT="19050" distL="19050" distR="19050">
            <wp:extent cx="419881" cy="251929"/>
            <wp:effectExtent b="0" l="0" r="0" t="0"/>
            <wp:docPr id="55" name="image56.png"/>
            <a:graphic>
              <a:graphicData uri="http://schemas.openxmlformats.org/drawingml/2006/picture">
                <pic:pic>
                  <pic:nvPicPr>
                    <pic:cNvPr id="0" name="image56.png"/>
                    <pic:cNvPicPr preferRelativeResize="0"/>
                  </pic:nvPicPr>
                  <pic:blipFill>
                    <a:blip r:embed="rId80"/>
                    <a:srcRect b="0" l="0" r="0" t="0"/>
                    <a:stretch>
                      <a:fillRect/>
                    </a:stretch>
                  </pic:blipFill>
                  <pic:spPr>
                    <a:xfrm>
                      <a:off x="0" y="0"/>
                      <a:ext cx="419881" cy="251929"/>
                    </a:xfrm>
                    <a:prstGeom prst="rect"/>
                    <a:ln/>
                  </pic:spPr>
                </pic:pic>
              </a:graphicData>
            </a:graphic>
          </wp:inline>
        </w:drawing>
      </w:r>
      <w:r w:rsidDel="00000000" w:rsidR="00000000" w:rsidRPr="00000000">
        <w:rPr>
          <w:rFonts w:ascii="Arial" w:cs="Arial" w:eastAsia="Arial" w:hAnsi="Arial"/>
          <w:color w:val="1f1f1f"/>
          <w:rtl w:val="0"/>
        </w:rPr>
        <w:t xml:space="preserve">) ile ölçülmektedir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88171"/>
            <wp:effectExtent b="0" l="0" r="0" t="0"/>
            <wp:docPr id="56" name="image52.png"/>
            <a:graphic>
              <a:graphicData uri="http://schemas.openxmlformats.org/drawingml/2006/picture">
                <pic:pic>
                  <pic:nvPicPr>
                    <pic:cNvPr id="0" name="image52.png"/>
                    <pic:cNvPicPr preferRelativeResize="0"/>
                  </pic:nvPicPr>
                  <pic:blipFill>
                    <a:blip r:embed="rId81"/>
                    <a:srcRect b="0" l="0" r="0" t="0"/>
                    <a:stretch>
                      <a:fillRect/>
                    </a:stretch>
                  </pic:blipFill>
                  <pic:spPr>
                    <a:xfrm>
                      <a:off x="0" y="0"/>
                      <a:ext cx="5905500" cy="988171"/>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214127" cy="264510"/>
            <wp:effectExtent b="0" l="0" r="0" t="0"/>
            <wp:docPr id="47" name="image39.png"/>
            <a:graphic>
              <a:graphicData uri="http://schemas.openxmlformats.org/drawingml/2006/picture">
                <pic:pic>
                  <pic:nvPicPr>
                    <pic:cNvPr id="0" name="image39.png"/>
                    <pic:cNvPicPr preferRelativeResize="0"/>
                  </pic:nvPicPr>
                  <pic:blipFill>
                    <a:blip r:embed="rId82"/>
                    <a:srcRect b="0" l="0" r="0" t="0"/>
                    <a:stretch>
                      <a:fillRect/>
                    </a:stretch>
                  </pic:blipFill>
                  <pic:spPr>
                    <a:xfrm>
                      <a:off x="0" y="0"/>
                      <a:ext cx="214127" cy="264510"/>
                    </a:xfrm>
                    <a:prstGeom prst="rect"/>
                    <a:ln/>
                  </pic:spPr>
                </pic:pic>
              </a:graphicData>
            </a:graphic>
          </wp:inline>
        </w:drawing>
      </w:r>
      <w:r w:rsidDel="00000000" w:rsidR="00000000" w:rsidRPr="00000000">
        <w:rPr>
          <w:rFonts w:ascii="Arial" w:cs="Arial" w:eastAsia="Arial" w:hAnsi="Arial"/>
          <w:color w:val="1f1f1f"/>
          <w:rtl w:val="0"/>
        </w:rPr>
        <w:t xml:space="preserve"> net emir akışını temsil eder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Derinlik (</w:t>
      </w:r>
      <w:r w:rsidDel="00000000" w:rsidR="00000000" w:rsidRPr="00000000">
        <w:rPr>
          <w:rFonts w:ascii="Arial" w:cs="Arial" w:eastAsia="Arial" w:hAnsi="Arial"/>
          <w:color w:val="1f1f1f"/>
        </w:rPr>
        <w:drawing>
          <wp:inline distB="19050" distT="19050" distL="19050" distR="19050">
            <wp:extent cx="310121" cy="250482"/>
            <wp:effectExtent b="0" l="0" r="0" t="0"/>
            <wp:docPr id="48"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310121" cy="250482"/>
                    </a:xfrm>
                    <a:prstGeom prst="rect"/>
                    <a:ln/>
                  </pic:spPr>
                </pic:pic>
              </a:graphicData>
            </a:graphic>
          </wp:inline>
        </w:drawing>
      </w:r>
      <w:r w:rsidDel="00000000" w:rsidR="00000000" w:rsidRPr="00000000">
        <w:rPr>
          <w:rFonts w:ascii="Arial" w:cs="Arial" w:eastAsia="Arial" w:hAnsi="Arial"/>
          <w:color w:val="1f1f1f"/>
          <w:rtl w:val="0"/>
        </w:rPr>
        <w:t xml:space="preserve">) sıfıra indiğinde, piyasa yapıcılar tahtadan çekilir ve en küçük satış emri dahi fiyatı tabana sürükler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Toksik akış olasılığı (</w:t>
      </w:r>
      <w:r w:rsidDel="00000000" w:rsidR="00000000" w:rsidRPr="00000000">
        <w:rPr>
          <w:rFonts w:ascii="Arial" w:cs="Arial" w:eastAsia="Arial" w:hAnsi="Arial"/>
          <w:color w:val="1f1f1f"/>
        </w:rPr>
        <w:drawing>
          <wp:inline distB="19050" distT="19050" distL="19050" distR="19050">
            <wp:extent cx="590847" cy="253220"/>
            <wp:effectExtent b="0" l="0" r="0" t="0"/>
            <wp:docPr id="49"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590847" cy="253220"/>
                    </a:xfrm>
                    <a:prstGeom prst="rect"/>
                    <a:ln/>
                  </pic:spPr>
                </pic:pic>
              </a:graphicData>
            </a:graphic>
          </wp:inline>
        </w:drawing>
      </w:r>
      <w:r w:rsidDel="00000000" w:rsidR="00000000" w:rsidRPr="00000000">
        <w:rPr>
          <w:rFonts w:ascii="Arial" w:cs="Arial" w:eastAsia="Arial" w:hAnsi="Arial"/>
          <w:color w:val="1f1f1f"/>
          <w:rtl w:val="0"/>
        </w:rPr>
        <w:t xml:space="preserve">), hacim kovalarında içeriden öğrenenlerin piyasayı tek yönlü boşaltmasını tespit eder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88171"/>
            <wp:effectExtent b="0" l="0" r="0" t="0"/>
            <wp:docPr id="50" name="image45.png"/>
            <a:graphic>
              <a:graphicData uri="http://schemas.openxmlformats.org/drawingml/2006/picture">
                <pic:pic>
                  <pic:nvPicPr>
                    <pic:cNvPr id="0" name="image45.png"/>
                    <pic:cNvPicPr preferRelativeResize="0"/>
                  </pic:nvPicPr>
                  <pic:blipFill>
                    <a:blip r:embed="rId85"/>
                    <a:srcRect b="0" l="0" r="0" t="0"/>
                    <a:stretch>
                      <a:fillRect/>
                    </a:stretch>
                  </pic:blipFill>
                  <pic:spPr>
                    <a:xfrm>
                      <a:off x="0" y="0"/>
                      <a:ext cx="5905500" cy="988171"/>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Metriğin </w:t>
      </w:r>
      <w:r w:rsidDel="00000000" w:rsidR="00000000" w:rsidRPr="00000000">
        <w:rPr>
          <w:rFonts w:ascii="Arial" w:cs="Arial" w:eastAsia="Arial" w:hAnsi="Arial"/>
          <w:color w:val="1f1f1f"/>
        </w:rPr>
        <w:drawing>
          <wp:inline distB="19050" distT="19050" distL="19050" distR="19050">
            <wp:extent cx="1200302" cy="252064"/>
            <wp:effectExtent b="0" l="0" r="0" t="0"/>
            <wp:docPr id="51"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1200302" cy="252064"/>
                    </a:xfrm>
                    <a:prstGeom prst="rect"/>
                    <a:ln/>
                  </pic:spPr>
                </pic:pic>
              </a:graphicData>
            </a:graphic>
          </wp:inline>
        </w:drawing>
      </w:r>
      <w:r w:rsidDel="00000000" w:rsidR="00000000" w:rsidRPr="00000000">
        <w:rPr>
          <w:rFonts w:ascii="Arial" w:cs="Arial" w:eastAsia="Arial" w:hAnsi="Arial"/>
          <w:color w:val="1f1f1f"/>
          <w:rtl w:val="0"/>
        </w:rPr>
        <w:t xml:space="preserve"> seviyesine çıkması ani fiyat çöküşü (flash crash) riskini belgeler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ağlarda kurumlararası bulaşma, Stefano Battiston'ın DebtRank algoritması ile hesaplanmaktadır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364618"/>
            <wp:effectExtent b="0" l="0" r="0" t="0"/>
            <wp:docPr id="52" name="image47.png"/>
            <a:graphic>
              <a:graphicData uri="http://schemas.openxmlformats.org/drawingml/2006/picture">
                <pic:pic>
                  <pic:nvPicPr>
                    <pic:cNvPr id="0" name="image47.png"/>
                    <pic:cNvPicPr preferRelativeResize="0"/>
                  </pic:nvPicPr>
                  <pic:blipFill>
                    <a:blip r:embed="rId87"/>
                    <a:srcRect b="0" l="0" r="0" t="0"/>
                    <a:stretch>
                      <a:fillRect/>
                    </a:stretch>
                  </pic:blipFill>
                  <pic:spPr>
                    <a:xfrm>
                      <a:off x="0" y="0"/>
                      <a:ext cx="5905500" cy="1364618"/>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İkili maruziyet matrisi </w:t>
      </w:r>
      <w:r w:rsidDel="00000000" w:rsidR="00000000" w:rsidRPr="00000000">
        <w:rPr>
          <w:rFonts w:ascii="Arial" w:cs="Arial" w:eastAsia="Arial" w:hAnsi="Arial"/>
          <w:color w:val="1f1f1f"/>
        </w:rPr>
        <w:drawing>
          <wp:inline distB="19050" distT="19050" distL="19050" distR="19050">
            <wp:extent cx="1784080" cy="251448"/>
            <wp:effectExtent b="0" l="0" r="0" t="0"/>
            <wp:docPr id="53"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1784080" cy="251448"/>
                    </a:xfrm>
                    <a:prstGeom prst="rect"/>
                    <a:ln/>
                  </pic:spPr>
                </pic:pic>
              </a:graphicData>
            </a:graphic>
          </wp:inline>
        </w:drawing>
      </w:r>
      <w:r w:rsidDel="00000000" w:rsidR="00000000" w:rsidRPr="00000000">
        <w:rPr>
          <w:rFonts w:ascii="Arial" w:cs="Arial" w:eastAsia="Arial" w:hAnsi="Arial"/>
          <w:color w:val="1f1f1f"/>
          <w:rtl w:val="0"/>
        </w:rPr>
        <w:t xml:space="preserve"> üzerinden hesaplanan spektral yarıçap </w:t>
      </w:r>
      <w:r w:rsidDel="00000000" w:rsidR="00000000" w:rsidRPr="00000000">
        <w:rPr>
          <w:rFonts w:ascii="Arial" w:cs="Arial" w:eastAsia="Arial" w:hAnsi="Arial"/>
          <w:color w:val="1f1f1f"/>
        </w:rPr>
        <w:drawing>
          <wp:inline distB="19050" distT="19050" distL="19050" distR="19050">
            <wp:extent cx="1075468" cy="250942"/>
            <wp:effectExtent b="0" l="0" r="0" t="0"/>
            <wp:docPr id="43"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1075468" cy="250942"/>
                    </a:xfrm>
                    <a:prstGeom prst="rect"/>
                    <a:ln/>
                  </pic:spPr>
                </pic:pic>
              </a:graphicData>
            </a:graphic>
          </wp:inline>
        </w:drawing>
      </w:r>
      <w:r w:rsidDel="00000000" w:rsidR="00000000" w:rsidRPr="00000000">
        <w:rPr>
          <w:rFonts w:ascii="Arial" w:cs="Arial" w:eastAsia="Arial" w:hAnsi="Arial"/>
          <w:color w:val="1f1f1f"/>
          <w:rtl w:val="0"/>
        </w:rPr>
        <w:t xml:space="preserve"> sınırını aştığında, ağ kendi kendini besleyen bir iflas dalgası iletmeye başlar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katastrof, René Thom Cusp potansiyel fonksiyonunun Cardano diskriminantı ile kesinleşir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94060"/>
            <wp:effectExtent b="0" l="0" r="0" t="0"/>
            <wp:docPr id="44"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5905500" cy="89406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Diskriminantın </w:t>
      </w:r>
      <w:r w:rsidDel="00000000" w:rsidR="00000000" w:rsidRPr="00000000">
        <w:rPr>
          <w:rFonts w:ascii="Arial" w:cs="Arial" w:eastAsia="Arial" w:hAnsi="Arial"/>
          <w:color w:val="1f1f1f"/>
        </w:rPr>
        <w:drawing>
          <wp:inline distB="19050" distT="19050" distL="19050" distR="19050">
            <wp:extent cx="522387" cy="237449"/>
            <wp:effectExtent b="0" l="0" r="0" t="0"/>
            <wp:docPr id="45" name="image38.png"/>
            <a:graphic>
              <a:graphicData uri="http://schemas.openxmlformats.org/drawingml/2006/picture">
                <pic:pic>
                  <pic:nvPicPr>
                    <pic:cNvPr id="0" name="image38.png"/>
                    <pic:cNvPicPr preferRelativeResize="0"/>
                  </pic:nvPicPr>
                  <pic:blipFill>
                    <a:blip r:embed="rId91"/>
                    <a:srcRect b="0" l="0" r="0" t="0"/>
                    <a:stretch>
                      <a:fillRect/>
                    </a:stretch>
                  </pic:blipFill>
                  <pic:spPr>
                    <a:xfrm>
                      <a:off x="0" y="0"/>
                      <a:ext cx="522387" cy="237449"/>
                    </a:xfrm>
                    <a:prstGeom prst="rect"/>
                    <a:ln/>
                  </pic:spPr>
                </pic:pic>
              </a:graphicData>
            </a:graphic>
          </wp:inline>
        </w:drawing>
      </w:r>
      <w:r w:rsidDel="00000000" w:rsidR="00000000" w:rsidRPr="00000000">
        <w:rPr>
          <w:rFonts w:ascii="Arial" w:cs="Arial" w:eastAsia="Arial" w:hAnsi="Arial"/>
          <w:color w:val="1f1f1f"/>
          <w:rtl w:val="0"/>
        </w:rPr>
        <w:t xml:space="preserve"> olması durumunda sistem bistable bölgeye girer; histerezis etkisi başlar ve piyasa geri dönüşü olmayan dikey bir çöküşe kilitlenir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Kuramoto faz senkronizasyonu (</w:t>
      </w:r>
      <w:r w:rsidDel="00000000" w:rsidR="00000000" w:rsidRPr="00000000">
        <w:rPr>
          <w:rFonts w:ascii="Arial" w:cs="Arial" w:eastAsia="Arial" w:hAnsi="Arial"/>
          <w:color w:val="1f1f1f"/>
        </w:rPr>
        <w:drawing>
          <wp:inline distB="19050" distT="19050" distL="19050" distR="19050">
            <wp:extent cx="926642" cy="252720"/>
            <wp:effectExtent b="0" l="0" r="0" t="0"/>
            <wp:docPr id="46" name="image41.png"/>
            <a:graphic>
              <a:graphicData uri="http://schemas.openxmlformats.org/drawingml/2006/picture">
                <pic:pic>
                  <pic:nvPicPr>
                    <pic:cNvPr id="0" name="image41.png"/>
                    <pic:cNvPicPr preferRelativeResize="0"/>
                  </pic:nvPicPr>
                  <pic:blipFill>
                    <a:blip r:embed="rId92"/>
                    <a:srcRect b="0" l="0" r="0" t="0"/>
                    <a:stretch>
                      <a:fillRect/>
                    </a:stretch>
                  </pic:blipFill>
                  <pic:spPr>
                    <a:xfrm>
                      <a:off x="0" y="0"/>
                      <a:ext cx="926642" cy="252720"/>
                    </a:xfrm>
                    <a:prstGeom prst="rect"/>
                    <a:ln/>
                  </pic:spPr>
                </pic:pic>
              </a:graphicData>
            </a:graphic>
          </wp:inline>
        </w:drawing>
      </w:r>
      <w:r w:rsidDel="00000000" w:rsidR="00000000" w:rsidRPr="00000000">
        <w:rPr>
          <w:rFonts w:ascii="Arial" w:cs="Arial" w:eastAsia="Arial" w:hAnsi="Arial"/>
          <w:color w:val="1f1f1f"/>
          <w:rtl w:val="0"/>
        </w:rPr>
        <w:t xml:space="preserve">) tüm varlık sınıflarının aynı panik frekansına bağlandığını, Hawkes dallanma oranı ise (</w:t>
      </w:r>
      <w:r w:rsidDel="00000000" w:rsidR="00000000" w:rsidRPr="00000000">
        <w:rPr>
          <w:rFonts w:ascii="Arial" w:cs="Arial" w:eastAsia="Arial" w:hAnsi="Arial"/>
          <w:color w:val="1f1f1f"/>
        </w:rPr>
        <w:drawing>
          <wp:inline distB="19050" distT="19050" distL="19050" distR="19050">
            <wp:extent cx="1222248" cy="251639"/>
            <wp:effectExtent b="0" l="0" r="0" t="0"/>
            <wp:docPr id="81" name="image74.png"/>
            <a:graphic>
              <a:graphicData uri="http://schemas.openxmlformats.org/drawingml/2006/picture">
                <pic:pic>
                  <pic:nvPicPr>
                    <pic:cNvPr id="0" name="image74.png"/>
                    <pic:cNvPicPr preferRelativeResize="0"/>
                  </pic:nvPicPr>
                  <pic:blipFill>
                    <a:blip r:embed="rId93"/>
                    <a:srcRect b="0" l="0" r="0" t="0"/>
                    <a:stretch>
                      <a:fillRect/>
                    </a:stretch>
                  </pic:blipFill>
                  <pic:spPr>
                    <a:xfrm>
                      <a:off x="0" y="0"/>
                      <a:ext cx="1222248" cy="251639"/>
                    </a:xfrm>
                    <a:prstGeom prst="rect"/>
                    <a:ln/>
                  </pic:spPr>
                </pic:pic>
              </a:graphicData>
            </a:graphic>
          </wp:inline>
        </w:drawing>
      </w:r>
      <w:r w:rsidDel="00000000" w:rsidR="00000000" w:rsidRPr="00000000">
        <w:rPr>
          <w:rFonts w:ascii="Arial" w:cs="Arial" w:eastAsia="Arial" w:hAnsi="Arial"/>
          <w:color w:val="1f1f1f"/>
          <w:rtl w:val="0"/>
        </w:rPr>
        <w:t xml:space="preserve">) panik satışlarının süperkritik zincirleme reaksiyona dönüştüğünü gösterir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Nihai kriz kararı Leontief Süper-Katkısal Copula (</w:t>
      </w:r>
      <w:r w:rsidDel="00000000" w:rsidR="00000000" w:rsidRPr="00000000">
        <w:rPr>
          <w:rFonts w:ascii="Arial" w:cs="Arial" w:eastAsia="Arial" w:hAnsi="Arial"/>
          <w:color w:val="1f1f1f"/>
        </w:rPr>
        <w:drawing>
          <wp:inline distB="19050" distT="19050" distL="19050" distR="19050">
            <wp:extent cx="1401775" cy="251601"/>
            <wp:effectExtent b="0" l="0" r="0" t="0"/>
            <wp:docPr id="83" name="image75.png"/>
            <a:graphic>
              <a:graphicData uri="http://schemas.openxmlformats.org/drawingml/2006/picture">
                <pic:pic>
                  <pic:nvPicPr>
                    <pic:cNvPr id="0" name="image75.png"/>
                    <pic:cNvPicPr preferRelativeResize="0"/>
                  </pic:nvPicPr>
                  <pic:blipFill>
                    <a:blip r:embed="rId94"/>
                    <a:srcRect b="0" l="0" r="0" t="0"/>
                    <a:stretch>
                      <a:fillRect/>
                    </a:stretch>
                  </pic:blipFill>
                  <pic:spPr>
                    <a:xfrm>
                      <a:off x="0" y="0"/>
                      <a:ext cx="1401775" cy="251601"/>
                    </a:xfrm>
                    <a:prstGeom prst="rect"/>
                    <a:ln/>
                  </pic:spPr>
                </pic:pic>
              </a:graphicData>
            </a:graphic>
          </wp:inline>
        </w:drawing>
      </w:r>
      <w:r w:rsidDel="00000000" w:rsidR="00000000" w:rsidRPr="00000000">
        <w:rPr>
          <w:rFonts w:ascii="Arial" w:cs="Arial" w:eastAsia="Arial" w:hAnsi="Arial"/>
          <w:color w:val="1f1f1f"/>
          <w:rtl w:val="0"/>
        </w:rPr>
        <w:t xml:space="preserve">) ile verilir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246978"/>
            <wp:effectExtent b="0" l="0" r="0" t="0"/>
            <wp:docPr id="85" name="image76.png"/>
            <a:graphic>
              <a:graphicData uri="http://schemas.openxmlformats.org/drawingml/2006/picture">
                <pic:pic>
                  <pic:nvPicPr>
                    <pic:cNvPr id="0" name="image76.png"/>
                    <pic:cNvPicPr preferRelativeResize="0"/>
                  </pic:nvPicPr>
                  <pic:blipFill>
                    <a:blip r:embed="rId95"/>
                    <a:srcRect b="0" l="0" r="0" t="0"/>
                    <a:stretch>
                      <a:fillRect/>
                    </a:stretch>
                  </pic:blipFill>
                  <pic:spPr>
                    <a:xfrm>
                      <a:off x="0" y="0"/>
                      <a:ext cx="5905500" cy="124697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2862520" cy="250470"/>
            <wp:effectExtent b="0" l="0" r="0" t="0"/>
            <wp:docPr id="87" name="image81.png"/>
            <a:graphic>
              <a:graphicData uri="http://schemas.openxmlformats.org/drawingml/2006/picture">
                <pic:pic>
                  <pic:nvPicPr>
                    <pic:cNvPr id="0" name="image81.png"/>
                    <pic:cNvPicPr preferRelativeResize="0"/>
                  </pic:nvPicPr>
                  <pic:blipFill>
                    <a:blip r:embed="rId96"/>
                    <a:srcRect b="0" l="0" r="0" t="0"/>
                    <a:stretch>
                      <a:fillRect/>
                    </a:stretch>
                  </pic:blipFill>
                  <pic:spPr>
                    <a:xfrm>
                      <a:off x="0" y="0"/>
                      <a:ext cx="2862520" cy="250470"/>
                    </a:xfrm>
                    <a:prstGeom prst="rect"/>
                    <a:ln/>
                  </pic:spPr>
                </pic:pic>
              </a:graphicData>
            </a:graphic>
          </wp:inline>
        </w:drawing>
      </w:r>
      <w:r w:rsidDel="00000000" w:rsidR="00000000" w:rsidRPr="00000000">
        <w:rPr>
          <w:rFonts w:ascii="Arial" w:cs="Arial" w:eastAsia="Arial" w:hAnsi="Arial"/>
          <w:color w:val="1f1f1f"/>
          <w:rtl w:val="0"/>
        </w:rPr>
        <w:t xml:space="preserve"> kurumsal çürüme cezasıdır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Tier-1 Adli Kanıt ve Red Team Denetim Kütüğü</w:t>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 Team Denetim KPI Göstergeleri</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platformu, Amerikan Federal Mahkemeleri Delil Standardı (FRE 702), Daubert Tier-1 kriterleri ve Avrupa Adli Bilim Enstitüleri Ağı (ENFSI) protokollerine uygun olarak karşıt denetime (Red Team Audit) tabi tutulmuştur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Denetim, Lakehouse Silver ambarındaki 29.938 adet Core-20 gözlemini doğrulamıştır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tablo, Core-20 paneli üzerinde gerçekleştirilen adli denetimin sayısal sonuçlarını ve kabul kriterlerini sunmaktadır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Denetim Alanı / Metrik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Ölçülen Değer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Red Team Eşiği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Adli Karar ve Statü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Toplam Core-20 Gözlem Sayısı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29.938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 25.000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Tam Kapsam</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Hesaplanan Rejim Noktası (Robust-Z)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24.292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Deterministik Hesaplama</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Tespit Edilen Kriz Adayı (Candidates)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İncelendi ve Ayrıştırıldı</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Doğrulanan Kanonik Model Epizodu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&lt;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[CALIBRATED] Sistemik Kriz Epizodu</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İzole Edilen Geçici Şoklar (Transient)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Sahte Alarm Filtrelendi</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Look-Ahead / Gelecek Sızıntısı İhlali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(Sıfır Tolerans)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[PASSED] Kusursuz Bitemporal Nedensellik</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Kaynak Kimliği / Hash Bozulması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(Sıfır Tolerans)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[PASSED] Kriptografik Kanıt Zinciri</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Üretilen Bağımsız Adli Rapor Dosyası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 (20 Ülke x 2 Ürün)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[ARCHIVED] 20 Kütük + 20 Karar Destek</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Kanonik Kriz Epizodu Kütüğü</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Core-20 ülkelerinde tespit edilen, en az iki aktif mekanizmanın birleştiği ve akut şiddet eşiğini aşan 35 kanonik kriz epizodunun tam adli dökümü aşağıda sunulmuştur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Epizot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Şiddet Derecesi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Başlangıç</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Zirve (Peak)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Çözülme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Süre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Tetiklenen Baskın Mekanizma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Zirve Skoru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AUS-FX-2007-001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2008-02-29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4.25</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AUS-FX-2008-002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5.55</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AUS-FX-2020-003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2.80</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BRA-FX-2020-001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4.03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BRA-FX-2024-002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2025-02-28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2025-04-30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2.93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CAN-FX-2003-001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3.43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CAN-FX-2004-002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2004-12-31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2004-12-31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2005-03-31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2.62</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CHE-FX-2005-001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2005-04-30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2005-06-30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2005-08-31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3.35</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CHE-FX-2011-002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4.13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CHE-FX-2022-003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2023-01-01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215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3.19</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GBR-FX-2008-001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7.78</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GBR-FX-2016-002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3.63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IDN-FX-2011-001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2.64</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IDN-FX-2013-002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3.31</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IDN-FX-2020-003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6.21</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IND-FX-2013-001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2.78</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IND-CORP-2020-002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CORPORATE_CASHFLOW_STRESS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4.30</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IND-CORP-2020-003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2021-01-01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CORPORATE_CASHFLOW_STRESS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5.58</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IND-FX-2026-004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2.54</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JPN-FX-2008-001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2.60</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JPN-FX-2016-002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3.75</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JPN-FX-2022-003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304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4.96</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JPN-FX-2024-004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3.23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KOR-FX-2008-001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334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10.61</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KOR-FX-2022-002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4.98</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MEX-FX-2008-001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304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8.92</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MEX-FX-2015-002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3.05</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SAU-CORP-2020-001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CORPORATE_CASHFLOW_STRESS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3.64</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TUR-FX-1998-001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1999-01-01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4.36</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TUR-FX-2001-002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17.20</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TUR-FX-2008-003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4.40</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TUR-FX-2017-004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89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2.93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TUR-FX-2018-005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2018-08-31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2019-01-01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6.45</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TUR-FX-2020-006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2.96</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TUR-CORP-2021-007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CORP_STRESS &amp; FX_VULNERABILITY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5.56</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2E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Filtrelenen Geçici Şoklar ve Adli İspat</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Adli veri hijyeni protokolü gereğince, 30 günden kısa süren anlık piyasa anomalileri sistemik kriz kütüğünden ayıklanmıştır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Aşağıdaki üç vaka, makro temellerde kalıcı bozulma yaratmadığı için TRANSIENT_METRIC_BREACH olarak etiketlenip filtrelenmiştir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E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Brezilya (BRA - 2015-04-30): Anlık kur sıçraması (Tepe Skoru: 2.65), kalıcı döviz borcu temerrüdüne dönüşmeden bir ay içinde sönümlenmiştir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F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Birleşik Krallık (GBR - 2022-11-30): Mini-bütçe sonrası Gilt tahvillerinde yaşanan geçici iğne (Tepe Skoru: 3.14), İngiltere Merkez Bankası'nın tahvil alım müdahalesiyle izole edilmiştir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F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Hindistan (IND - 2012-01-31): Rupi likidite anomalisi (Tepe Skoru: 2.58), makro kriz eşiğine ulaşmadan rezerv tamponlarıyla bertaraf edilmiştir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denetim süreci, T2SAIM platformunun Tip-I (yanlış alarm) ve Tip-II (krizi ıskalama) hata olasılıklarını Daubert Tier-1 hata payı standartları (</w:t>
      </w:r>
      <w:r w:rsidDel="00000000" w:rsidR="00000000" w:rsidRPr="00000000">
        <w:rPr>
          <w:rFonts w:ascii="Arial" w:cs="Arial" w:eastAsia="Arial" w:hAnsi="Arial"/>
          <w:color w:val="1f1f1f"/>
        </w:rPr>
        <w:drawing>
          <wp:inline distB="19050" distT="19050" distL="19050" distR="19050">
            <wp:extent cx="1245689" cy="251533"/>
            <wp:effectExtent b="0" l="0" r="0" t="0"/>
            <wp:docPr id="89" name="image87.png"/>
            <a:graphic>
              <a:graphicData uri="http://schemas.openxmlformats.org/drawingml/2006/picture">
                <pic:pic>
                  <pic:nvPicPr>
                    <pic:cNvPr id="0" name="image87.png"/>
                    <pic:cNvPicPr preferRelativeResize="0"/>
                  </pic:nvPicPr>
                  <pic:blipFill>
                    <a:blip r:embed="rId97"/>
                    <a:srcRect b="0" l="0" r="0" t="0"/>
                    <a:stretch>
                      <a:fillRect/>
                    </a:stretch>
                  </pic:blipFill>
                  <pic:spPr>
                    <a:xfrm>
                      <a:off x="0" y="0"/>
                      <a:ext cx="1245689" cy="251533"/>
                    </a:xfrm>
                    <a:prstGeom prst="rect"/>
                    <a:ln/>
                  </pic:spPr>
                </pic:pic>
              </a:graphicData>
            </a:graphic>
          </wp:inline>
        </w:drawing>
      </w:r>
      <w:r w:rsidDel="00000000" w:rsidR="00000000" w:rsidRPr="00000000">
        <w:rPr>
          <w:rFonts w:ascii="Arial" w:cs="Arial" w:eastAsia="Arial" w:hAnsi="Arial"/>
          <w:color w:val="1f1f1f"/>
          <w:rtl w:val="0"/>
        </w:rPr>
        <w:t xml:space="preserve">) dahilinde tuttuğunu ve sıfır sentetik veri ilkesine tam bağlılıkla çalıştığını adli olarak kanıtlamaktadır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F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2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01_T2SAIM_EWS_METODOLOJI_VE_EPISTEMOLOJIK_TEMELLER_5N1K.md.docx</w:t>
      </w:r>
    </w:p>
    <w:p w:rsidR="00000000" w:rsidDel="00000000" w:rsidP="00000000" w:rsidRDefault="00000000" w:rsidRPr="00000000" w14:paraId="000002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Birleşik EWS HTML Raporu.docx</w:t>
      </w:r>
    </w:p>
    <w:p w:rsidR="00000000" w:rsidDel="00000000" w:rsidP="00000000" w:rsidRDefault="00000000" w:rsidRPr="00000000" w14:paraId="000002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02_T2SAIM_EWS_NOROMEKANIK_AMIGDALA_VE_BILISSEL_CIHAZ_5N1K.md.docx</w:t>
      </w:r>
    </w:p>
    <w:p w:rsidR="00000000" w:rsidDel="00000000" w:rsidP="00000000" w:rsidRDefault="00000000" w:rsidRPr="00000000" w14:paraId="000002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T2SAIM_EWS_Kanonik_Formuller_ve_Modeller_Kulliyati.md</w:t>
      </w:r>
    </w:p>
    <w:p w:rsidR="00000000" w:rsidDel="00000000" w:rsidP="00000000" w:rsidRDefault="00000000" w:rsidRPr="00000000" w14:paraId="000002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T2SAIM_20_ULKE_KRIZ_TESPIT_VE_INSAN_INTERLANDI_KONSOLIDE_MASTER_RAPORU.md</w:t>
      </w:r>
    </w:p>
    <w:p w:rsidR="00000000" w:rsidDel="00000000" w:rsidP="00000000" w:rsidRDefault="00000000" w:rsidRPr="00000000" w14:paraId="000002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13_T2SAIM_TURKEY_30Y_FORENSIC_CRISIS_MASTER_OBSERVATORY.html</w:t>
      </w:r>
    </w:p>
    <w:p w:rsidR="00000000" w:rsidDel="00000000" w:rsidP="00000000" w:rsidRDefault="00000000" w:rsidRPr="00000000" w14:paraId="000002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03-T2SAIM_MASTER_88_FORMUL_EWS_KONSOLIDE_KULLIYATI_V7.md</w:t>
      </w:r>
    </w:p>
    <w:p w:rsidR="00000000" w:rsidDel="00000000" w:rsidP="00000000" w:rsidRDefault="00000000" w:rsidRPr="00000000" w14:paraId="000002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T2SAIM_CORE_20_TIPOLOJI_RED_TEAM_AUDIT_RAPORU.md</w:t>
      </w:r>
    </w:p>
    <w:p w:rsidR="00000000" w:rsidDel="00000000" w:rsidP="00000000" w:rsidRDefault="00000000" w:rsidRPr="00000000" w14:paraId="000002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07_T2SAIM_UNORTHODOX_SOCIAL_DECAY_SENSOR_ARCHITECTURE.md</w:t>
      </w:r>
    </w:p>
    <w:p w:rsidR="00000000" w:rsidDel="00000000" w:rsidP="00000000" w:rsidRDefault="00000000" w:rsidRPr="00000000" w14:paraId="000002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Toplumsal Çürüme Sensör Mimarisi.docx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13.png"/><Relationship Id="rId44" Type="http://schemas.openxmlformats.org/officeDocument/2006/relationships/image" Target="media/image14.png"/><Relationship Id="rId43" Type="http://schemas.openxmlformats.org/officeDocument/2006/relationships/image" Target="media/image12.png"/><Relationship Id="rId46" Type="http://schemas.openxmlformats.org/officeDocument/2006/relationships/image" Target="media/image3.png"/><Relationship Id="rId45" Type="http://schemas.openxmlformats.org/officeDocument/2006/relationships/image" Target="media/image18.png"/><Relationship Id="rId48" Type="http://schemas.openxmlformats.org/officeDocument/2006/relationships/image" Target="media/image9.png"/><Relationship Id="rId47" Type="http://schemas.openxmlformats.org/officeDocument/2006/relationships/image" Target="media/image2.png"/><Relationship Id="rId49" Type="http://schemas.openxmlformats.org/officeDocument/2006/relationships/image" Target="media/image8.png"/><Relationship Id="rId31" Type="http://schemas.openxmlformats.org/officeDocument/2006/relationships/image" Target="media/image64.png"/><Relationship Id="rId30" Type="http://schemas.openxmlformats.org/officeDocument/2006/relationships/image" Target="media/image61.png"/><Relationship Id="rId33" Type="http://schemas.openxmlformats.org/officeDocument/2006/relationships/image" Target="media/image65.png"/><Relationship Id="rId32" Type="http://schemas.openxmlformats.org/officeDocument/2006/relationships/image" Target="media/image68.png"/><Relationship Id="rId35" Type="http://schemas.openxmlformats.org/officeDocument/2006/relationships/image" Target="media/image69.png"/><Relationship Id="rId34" Type="http://schemas.openxmlformats.org/officeDocument/2006/relationships/image" Target="media/image1.png"/><Relationship Id="rId37" Type="http://schemas.openxmlformats.org/officeDocument/2006/relationships/image" Target="media/image6.png"/><Relationship Id="rId36" Type="http://schemas.openxmlformats.org/officeDocument/2006/relationships/image" Target="media/image5.png"/><Relationship Id="rId39" Type="http://schemas.openxmlformats.org/officeDocument/2006/relationships/image" Target="media/image16.png"/><Relationship Id="rId38" Type="http://schemas.openxmlformats.org/officeDocument/2006/relationships/image" Target="media/image4.png"/><Relationship Id="rId20" Type="http://schemas.openxmlformats.org/officeDocument/2006/relationships/image" Target="media/image23.png"/><Relationship Id="rId22" Type="http://schemas.openxmlformats.org/officeDocument/2006/relationships/image" Target="media/image89.png"/><Relationship Id="rId21" Type="http://schemas.openxmlformats.org/officeDocument/2006/relationships/image" Target="media/image88.png"/><Relationship Id="rId24" Type="http://schemas.openxmlformats.org/officeDocument/2006/relationships/image" Target="media/image90.png"/><Relationship Id="rId23" Type="http://schemas.openxmlformats.org/officeDocument/2006/relationships/image" Target="media/image91.png"/><Relationship Id="rId26" Type="http://schemas.openxmlformats.org/officeDocument/2006/relationships/image" Target="media/image59.png"/><Relationship Id="rId25" Type="http://schemas.openxmlformats.org/officeDocument/2006/relationships/image" Target="media/image92.png"/><Relationship Id="rId28" Type="http://schemas.openxmlformats.org/officeDocument/2006/relationships/image" Target="media/image66.png"/><Relationship Id="rId27" Type="http://schemas.openxmlformats.org/officeDocument/2006/relationships/image" Target="media/image62.png"/><Relationship Id="rId29" Type="http://schemas.openxmlformats.org/officeDocument/2006/relationships/image" Target="media/image63.png"/><Relationship Id="rId95" Type="http://schemas.openxmlformats.org/officeDocument/2006/relationships/image" Target="media/image76.png"/><Relationship Id="rId94" Type="http://schemas.openxmlformats.org/officeDocument/2006/relationships/image" Target="media/image75.png"/><Relationship Id="rId97" Type="http://schemas.openxmlformats.org/officeDocument/2006/relationships/image" Target="media/image87.png"/><Relationship Id="rId96" Type="http://schemas.openxmlformats.org/officeDocument/2006/relationships/image" Target="media/image81.png"/><Relationship Id="rId11" Type="http://schemas.openxmlformats.org/officeDocument/2006/relationships/image" Target="media/image79.png"/><Relationship Id="rId10" Type="http://schemas.openxmlformats.org/officeDocument/2006/relationships/image" Target="media/image70.png"/><Relationship Id="rId13" Type="http://schemas.openxmlformats.org/officeDocument/2006/relationships/image" Target="media/image82.png"/><Relationship Id="rId12" Type="http://schemas.openxmlformats.org/officeDocument/2006/relationships/image" Target="media/image77.png"/><Relationship Id="rId91" Type="http://schemas.openxmlformats.org/officeDocument/2006/relationships/image" Target="media/image38.png"/><Relationship Id="rId90" Type="http://schemas.openxmlformats.org/officeDocument/2006/relationships/image" Target="media/image40.png"/><Relationship Id="rId93" Type="http://schemas.openxmlformats.org/officeDocument/2006/relationships/image" Target="media/image74.png"/><Relationship Id="rId92" Type="http://schemas.openxmlformats.org/officeDocument/2006/relationships/image" Target="media/image41.png"/><Relationship Id="rId15" Type="http://schemas.openxmlformats.org/officeDocument/2006/relationships/image" Target="media/image86.png"/><Relationship Id="rId14" Type="http://schemas.openxmlformats.org/officeDocument/2006/relationships/image" Target="media/image78.png"/><Relationship Id="rId17" Type="http://schemas.openxmlformats.org/officeDocument/2006/relationships/image" Target="media/image85.png"/><Relationship Id="rId16" Type="http://schemas.openxmlformats.org/officeDocument/2006/relationships/image" Target="media/image83.png"/><Relationship Id="rId19" Type="http://schemas.openxmlformats.org/officeDocument/2006/relationships/image" Target="media/image22.png"/><Relationship Id="rId18" Type="http://schemas.openxmlformats.org/officeDocument/2006/relationships/image" Target="media/image84.png"/><Relationship Id="rId84" Type="http://schemas.openxmlformats.org/officeDocument/2006/relationships/image" Target="media/image44.png"/><Relationship Id="rId83" Type="http://schemas.openxmlformats.org/officeDocument/2006/relationships/image" Target="media/image42.png"/><Relationship Id="rId86" Type="http://schemas.openxmlformats.org/officeDocument/2006/relationships/image" Target="media/image46.png"/><Relationship Id="rId85" Type="http://schemas.openxmlformats.org/officeDocument/2006/relationships/image" Target="media/image45.png"/><Relationship Id="rId88" Type="http://schemas.openxmlformats.org/officeDocument/2006/relationships/image" Target="media/image50.png"/><Relationship Id="rId87" Type="http://schemas.openxmlformats.org/officeDocument/2006/relationships/image" Target="media/image47.png"/><Relationship Id="rId89" Type="http://schemas.openxmlformats.org/officeDocument/2006/relationships/image" Target="media/image49.png"/><Relationship Id="rId80" Type="http://schemas.openxmlformats.org/officeDocument/2006/relationships/image" Target="media/image56.png"/><Relationship Id="rId82" Type="http://schemas.openxmlformats.org/officeDocument/2006/relationships/image" Target="media/image39.png"/><Relationship Id="rId81"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3.png"/><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image" Target="media/image72.png"/><Relationship Id="rId8" Type="http://schemas.openxmlformats.org/officeDocument/2006/relationships/image" Target="media/image71.png"/><Relationship Id="rId73" Type="http://schemas.openxmlformats.org/officeDocument/2006/relationships/image" Target="media/image54.png"/><Relationship Id="rId72" Type="http://schemas.openxmlformats.org/officeDocument/2006/relationships/image" Target="media/image53.png"/><Relationship Id="rId75" Type="http://schemas.openxmlformats.org/officeDocument/2006/relationships/image" Target="media/image80.png"/><Relationship Id="rId74" Type="http://schemas.openxmlformats.org/officeDocument/2006/relationships/image" Target="media/image57.png"/><Relationship Id="rId77" Type="http://schemas.openxmlformats.org/officeDocument/2006/relationships/image" Target="media/image58.png"/><Relationship Id="rId76" Type="http://schemas.openxmlformats.org/officeDocument/2006/relationships/image" Target="media/image55.png"/><Relationship Id="rId79" Type="http://schemas.openxmlformats.org/officeDocument/2006/relationships/image" Target="media/image48.png"/><Relationship Id="rId78" Type="http://schemas.openxmlformats.org/officeDocument/2006/relationships/image" Target="media/image60.png"/><Relationship Id="rId71" Type="http://schemas.openxmlformats.org/officeDocument/2006/relationships/image" Target="media/image51.png"/><Relationship Id="rId70" Type="http://schemas.openxmlformats.org/officeDocument/2006/relationships/image" Target="media/image17.png"/><Relationship Id="rId62" Type="http://schemas.openxmlformats.org/officeDocument/2006/relationships/image" Target="media/image28.png"/><Relationship Id="rId61" Type="http://schemas.openxmlformats.org/officeDocument/2006/relationships/image" Target="media/image43.png"/><Relationship Id="rId64" Type="http://schemas.openxmlformats.org/officeDocument/2006/relationships/image" Target="media/image20.png"/><Relationship Id="rId63" Type="http://schemas.openxmlformats.org/officeDocument/2006/relationships/image" Target="media/image19.png"/><Relationship Id="rId66" Type="http://schemas.openxmlformats.org/officeDocument/2006/relationships/image" Target="media/image24.png"/><Relationship Id="rId65" Type="http://schemas.openxmlformats.org/officeDocument/2006/relationships/image" Target="media/image29.png"/><Relationship Id="rId68" Type="http://schemas.openxmlformats.org/officeDocument/2006/relationships/image" Target="media/image25.png"/><Relationship Id="rId67" Type="http://schemas.openxmlformats.org/officeDocument/2006/relationships/image" Target="media/image26.png"/><Relationship Id="rId60" Type="http://schemas.openxmlformats.org/officeDocument/2006/relationships/image" Target="media/image37.png"/><Relationship Id="rId69" Type="http://schemas.openxmlformats.org/officeDocument/2006/relationships/image" Target="media/image27.png"/><Relationship Id="rId51" Type="http://schemas.openxmlformats.org/officeDocument/2006/relationships/image" Target="media/image15.png"/><Relationship Id="rId50" Type="http://schemas.openxmlformats.org/officeDocument/2006/relationships/image" Target="media/image7.png"/><Relationship Id="rId53" Type="http://schemas.openxmlformats.org/officeDocument/2006/relationships/image" Target="media/image31.png"/><Relationship Id="rId52" Type="http://schemas.openxmlformats.org/officeDocument/2006/relationships/image" Target="media/image35.png"/><Relationship Id="rId55" Type="http://schemas.openxmlformats.org/officeDocument/2006/relationships/image" Target="media/image30.png"/><Relationship Id="rId54" Type="http://schemas.openxmlformats.org/officeDocument/2006/relationships/image" Target="media/image36.png"/><Relationship Id="rId57" Type="http://schemas.openxmlformats.org/officeDocument/2006/relationships/image" Target="media/image34.png"/><Relationship Id="rId56" Type="http://schemas.openxmlformats.org/officeDocument/2006/relationships/image" Target="media/image21.png"/><Relationship Id="rId59" Type="http://schemas.openxmlformats.org/officeDocument/2006/relationships/image" Target="media/image32.png"/><Relationship Id="rId5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