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Core-20 Büyük Birleşik Adli Erken Uyarı Sistemi ve Çok Katmanlı Makro-Finansal Telemetri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Büyük Birleşik EWS Kokpiti ve Core-20 Veri Ambarı Mimarisi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Makro-finansal erken uyarı sistemlerinde karşılaşılan en temel yapısal metodolojik zaafiyet, resmi istatistik ofislerinin tahrifata açık bültenlerine, gecikmeli göstergelerine ve varsayımsal dolgularına aşırı bağımlı olmalarıdır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Geleneksel modeller, serilerdeki boşlukları sentetik enterpolasyon, ileriye doğru taşıma veya yapay veri üretimi yoluyla doldurmakta; bu durum geriye dönük bilgi sızıntısına ve model tahminlerinin temelsizleşmesine yol açmaktadır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T2SAIM mimarisi, "Veritas Per Se" ilkesini operasyonel bir zorunluluk olarak benimsemekte; sentetik veriyi, yapay yaklaşımları ve doğrulanmamış tahminleri analitik süreçlerden bütünüyle dışlamaktadır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Sistemik krizlerin erken tespiti, 20 egemen devletten oluşan Core-20 paneli (TUR, USA, GBR, DEU, FRA, ITA, ESP, GRC, NLD, CHE, NOR, JPN, KOR, IND, IDN, BRA, MEX, ZAF, CAN, AUS) üzerinde 1996–2026 dönemini kapsayan 30 yıllık bitemporal veri dizini üzerinden yürütülmektedir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ampirik omurgasını oluşturan Silver Parquet katmanı, Dünya Bankası API v2, Eurostat ve Federal Rezerv Ekonomik Veri Tabanı (FRED) birincil sunucularından doğrudan derlenmiş ve adli zaman damgasıyla mühürlenmiş 13 kanonik veri setini içermektedir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Veri ambarında yer alan 5.612 gözlemin her biri, revizyon sızıntısını ve geriye dönük bilgi sızmasını engelleyen point-in-time mimarisine tabi tutulmuştur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Kanonik Veri Seti (Silver Parquet)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Core-20 Gözlem Sayısı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Kapsanan Ülke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Zaman Aralığı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Kaynak Gösterge Kodu ve Resmi Açıklama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MIG_NET_MIGRATION_canonical_silver.parquet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SM.POP.NETM (Net Uluslararası Göç Akışı)</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MIG_REMIT_IN_USD_canonical_silver.parquet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BX.TRF.PWKR.CD.DT (Gelen İşçi Havaleleri, USD)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TUR_ARR_TOTAL_canonical_silver.parquet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ST.INT.ARVL (Uluslararası Ziyaretçi Girişleri)</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TUR_RECEIPTS_USD_canonical_silver.parquet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ST.INT.RCPT.CD (Uluslararası Turizm Gelirleri, USD)</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GOV_DEBT_GDP_canonical_silver.parquet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Eurostat &amp; FRED GC.DOD.TOTL.GD.ZS (Merkezi Yönetim Borcu / GSYİH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GOV_EXPENSE_GDP_canonical_silver.parquet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GC.XPN.TOTL.GD.ZS (Genel Kamu Harcamaları / GSYİH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TAX_REV_GDP_canonical_silver.parquet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GC.TAX.TOTL.GD.ZS (Vergi Gelirleri / GSYİH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EDU_EXPENSE_GOV_ZS_canonical_silver.parquet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UNESCO / WB SE.XPD.TOTL.GB.ZS (Kamu Eğitim Harcaması / Bütçe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TRANS_AIR_DEPARTURES_canonical_silver.parquet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 WB IS.AIR.DPRT (Kayıtlı Havayolu Sefer Kalkış Sayısı)</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TRANS_AIR_FREIGHT_canonical_silver.parquet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 WB IS.AIR.GOOD.MT.K1 (Hava Kargo Taşımacılığı, Milyon Ton-Km)</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TRANS_AIR_PASSENGER_canonical_silver.parquet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ICAO / WB IS.AIR.PSGR (Taşınan Havayolu Yolcu Sayısı)</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TRANS_LPI_INFRA_canonical_silver.parquet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LP.LPI.INFR.XQ (Lojistik Performans Endeksi - Altyapı Skoru)</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TRANS_LPI_LOGS_canonical_silver.parquet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World Bank LP.LPI.LOGS.XQ (Lojistik Performans Endeksi - Lojistik Hizmet Kalitesi)</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risklerin Core-20 panelindeki dağılımı, ülkelerin yalnızca makroekonomik çıktılarıyla değil; dış açık, bankacılık sistemi, kamu maliyesi, kognitif manipülasyon seviyesi ve bilanço dışı yükümlülüklerden oluşan karanlık madde bileşenleriyle hesaplanan beş boyutlu bir risk mimarisi üzerinden incelenmektedir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çerçevede hesaplanan kompozit stres skorları, Türkiye'nin en yüksek kırılganlık eşiğinde yer aldığını, Norveç ve İsviçre gibi kurumsal rezerv birikimine sahip ekonomilerin ise düşük risk bandında konumlandığını göstermektedir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Kompozit EWS Risk Skoru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Borsa / Varlık Endeksi Rejimi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Rejim Durumu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Baskın Kırılganlık Ekseni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Volatilite / Dolar Bazlı Erime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Kırmızı (Extreme)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Dış Açık, Kognitif Savaş, Karanlık Madde</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Yapısal Daralma / Kur Baskısı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Kırmızı (Extreme)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Maliye ve Altyapı Çöküşü</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 Baskınlık / Yüksek Spread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Kamu Borcu ve Siyasal Kutuplaşma</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Borç Stoku / Düşük Büyüme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Maliye ve Yeniden Finansman Duvarı</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Spread Baskısı / Bankacılık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Turuncu (Acute)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Borç Servisi ve Banka Varlık Kalitesi</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Talep Bağımlılığı / Kur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Dış Açık ve Kur Riski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Genç İşsizliği / Mali Sürtünme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Mali Alan ve İşgücü Piyasası</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Emtia Duyarlılığı / Sermaye Çıkışı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Dış Finansman ve Kur Oynaklığı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İthalat Yükü / Şirket Borcu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Şirket Nakit Akışı ve Enerji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Bütçe Açığı / Sosyal Transfer Baskısı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Mali Disiplin ve Sosyal Güvenlik</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İkiz Açık / Dış Borçlanma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Dış Denge ve Kur Dalgalanması</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İkiz Açık / Faiz Yükü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Sarı (Watch)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Mali Açık ve Kredi Genişlemesi</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Borç / Para Politikası Kısıtı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Borç / GSYİH ve Yeniden Fiyatlama</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Hanehalkı Borcu / İhracat Çevrimi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Hanehalkı DSR ve Dış Talep</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Konut Piyasası Kaldıracı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Gayrimenkul Kredileri ve Hanehalkı</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Emtia Fiyat Oynaklığı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İhracat Konsantrasyonu</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Girdisi / Sanayi Yavaşlaması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Üretim Girdisi ve Sanayi Entropisi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Ticaret Bağımlılığı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Lojistik Akış ve Dış Talep</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Güvenli Liman Rezerv Yükü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Kur Aşırı Değerlenmesi</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 Tampon / Varlık Fonu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Yeşil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Minimal Kırılganlık</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Analiz edilen beş eksenli radar mimarisinde "Dış Açık", döviz kuru baskısı ve cari transfer açığını; "Bankacılık", kredi/GSYİH açığı ile likidite risklerini; "Maliye", borç stoku ile faiz giderlerinin bütçeye oranını; "Kognitif", medyadaki yönlendirici dil ve kamusal bilgi karartmasını; "Karanlık Madde" ise kamu-özel işbirliği (KÖİ/PPP) garantileri, kamu iktisadi teşebbüsü (KİT) borçları ve bütçe dışı yükümlülükleri temsil etmektedir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Geleneksel erken uyarı sistemleri yalnızca resmi kamu borç stokunu takip ederken, T2SAIM mimarisinde KÖİ yükümlülüklerinin ve kognitif baskının modele eklenmesi, kriz olasılığının gizlendiği rejimleri belirgin biçimde görünür kılmaktadır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Fiziksel Ekonomi, Lojistik ve Ekonofiziksel Termodinamik</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Parasal göstergeler, fiyat sübvansiyonları, arka kapı swap operasyonları ve muhasebe manipülasyonlarıyla geçici olarak maskelenebilse de fiziksel ekonomiyi oluşturan reel lojistik akışlar tahrif edilemez</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Ulaştırma ve yük taşımacılığı döngüleri, ekonomik daralmaları finansal piyasalardan ve GSYİH bültenlerinden çeyrekler öncesinde yansıtmaktadır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Hava kargo taşımacılığı (TRANS_AIR_FREIGHT), küresel ticarette yüksek katma değerli ara malların, yarı iletkenlerin ve acil endüstriyel bileşenlerin sevkiyatını temsil etmektedir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Küresel siparişlerdeki daralma, fabrika bacalarından veya bilanço tablolarından önce hava kargo ton-kilometre verilerine yansımaktadır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Harding–Pagan uyum endeksi (</w:t>
      </w:r>
      <w:r w:rsidDel="00000000" w:rsidR="00000000" w:rsidRPr="00000000">
        <w:rPr>
          <w:rFonts w:ascii="Arial" w:cs="Arial" w:eastAsia="Arial" w:hAnsi="Arial"/>
          <w:color w:val="1f1f1f"/>
        </w:rPr>
        <w:drawing>
          <wp:inline distB="19050" distT="19050" distL="19050" distR="19050">
            <wp:extent cx="246497" cy="258821"/>
            <wp:effectExtent b="0" l="0" r="0" t="0"/>
            <wp:docPr id="48"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246497" cy="258821"/>
                    </a:xfrm>
                    <a:prstGeom prst="rect"/>
                    <a:ln/>
                  </pic:spPr>
                </pic:pic>
              </a:graphicData>
            </a:graphic>
          </wp:inline>
        </w:drawing>
      </w:r>
      <w:r w:rsidDel="00000000" w:rsidR="00000000" w:rsidRPr="00000000">
        <w:rPr>
          <w:rFonts w:ascii="Arial" w:cs="Arial" w:eastAsia="Arial" w:hAnsi="Arial"/>
          <w:color w:val="1f1f1f"/>
          <w:rtl w:val="0"/>
        </w:rPr>
        <w:t xml:space="preserve">), fiziksel ulaştırma çıktısı, reel ulaştırma bordrosu, hizmet tüketimi ve istihdam serileri arasında yüksek bir senkronizasyon sergilemektedir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141103"/>
            <wp:effectExtent b="0" l="0" r="0" t="0"/>
            <wp:docPr id="50"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5905500" cy="114110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döngüsel hareket, Stock–Watson dinamik faktör modeli ve Kim–Nelson Markov rejim geçişi denklemleriyle operasyonelleştirilmektedir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Fiziksel ulaştırma göstergelerinin oluşturduğu ortak gizil faktör </w:t>
      </w:r>
      <w:r w:rsidDel="00000000" w:rsidR="00000000" w:rsidRPr="00000000">
        <w:rPr>
          <w:rFonts w:ascii="Arial" w:cs="Arial" w:eastAsia="Arial" w:hAnsi="Arial"/>
          <w:color w:val="1f1f1f"/>
        </w:rPr>
        <w:drawing>
          <wp:inline distB="19050" distT="19050" distL="19050" distR="19050">
            <wp:extent cx="185105" cy="259147"/>
            <wp:effectExtent b="0" l="0" r="0" t="0"/>
            <wp:docPr id="49"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185105" cy="259147"/>
                    </a:xfrm>
                    <a:prstGeom prst="rect"/>
                    <a:ln/>
                  </pic:spPr>
                </pic:pic>
              </a:graphicData>
            </a:graphic>
          </wp:inline>
        </w:drawing>
      </w:r>
      <w:r w:rsidDel="00000000" w:rsidR="00000000" w:rsidRPr="00000000">
        <w:rPr>
          <w:rFonts w:ascii="Arial" w:cs="Arial" w:eastAsia="Arial" w:hAnsi="Arial"/>
          <w:color w:val="1f1f1f"/>
          <w:rtl w:val="0"/>
        </w:rPr>
        <w:t xml:space="preserve">, gecikmeli durum değişkenleriyle modellenmektedir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52"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51"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Sistemde </w:t>
      </w:r>
      <w:r w:rsidDel="00000000" w:rsidR="00000000" w:rsidRPr="00000000">
        <w:rPr>
          <w:rFonts w:ascii="Arial" w:cs="Arial" w:eastAsia="Arial" w:hAnsi="Arial"/>
          <w:color w:val="1f1f1f"/>
        </w:rPr>
        <w:drawing>
          <wp:inline distB="19050" distT="19050" distL="19050" distR="19050">
            <wp:extent cx="2067220" cy="250934"/>
            <wp:effectExtent b="0" l="0" r="0" t="0"/>
            <wp:docPr id="56"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2067220" cy="250934"/>
                    </a:xfrm>
                    <a:prstGeom prst="rect"/>
                    <a:ln/>
                  </pic:spPr>
                </pic:pic>
              </a:graphicData>
            </a:graphic>
          </wp:inline>
        </w:drawing>
      </w:r>
      <w:r w:rsidDel="00000000" w:rsidR="00000000" w:rsidRPr="00000000">
        <w:rPr>
          <w:rFonts w:ascii="Arial" w:cs="Arial" w:eastAsia="Arial" w:hAnsi="Arial"/>
          <w:color w:val="1f1f1f"/>
          <w:rtl w:val="0"/>
        </w:rPr>
        <w:t xml:space="preserve"> koşullu daralma olasılığı </w:t>
      </w:r>
      <w:r w:rsidDel="00000000" w:rsidR="00000000" w:rsidRPr="00000000">
        <w:rPr>
          <w:rFonts w:ascii="Arial" w:cs="Arial" w:eastAsia="Arial" w:hAnsi="Arial"/>
          <w:color w:val="1f1f1f"/>
        </w:rPr>
        <w:drawing>
          <wp:inline distB="19050" distT="19050" distL="19050" distR="19050">
            <wp:extent cx="348258" cy="240178"/>
            <wp:effectExtent b="0" l="0" r="0" t="0"/>
            <wp:docPr id="55"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348258" cy="240178"/>
                    </a:xfrm>
                    <a:prstGeom prst="rect"/>
                    <a:ln/>
                  </pic:spPr>
                </pic:pic>
              </a:graphicData>
            </a:graphic>
          </wp:inline>
        </w:drawing>
      </w:r>
      <w:r w:rsidDel="00000000" w:rsidR="00000000" w:rsidRPr="00000000">
        <w:rPr>
          <w:rFonts w:ascii="Arial" w:cs="Arial" w:eastAsia="Arial" w:hAnsi="Arial"/>
          <w:color w:val="1f1f1f"/>
          <w:rtl w:val="0"/>
        </w:rPr>
        <w:t xml:space="preserve"> bandını aştığında akut daralma, </w:t>
      </w:r>
      <w:r w:rsidDel="00000000" w:rsidR="00000000" w:rsidRPr="00000000">
        <w:rPr>
          <w:rFonts w:ascii="Arial" w:cs="Arial" w:eastAsia="Arial" w:hAnsi="Arial"/>
          <w:color w:val="1f1f1f"/>
        </w:rPr>
        <w:drawing>
          <wp:inline distB="19050" distT="19050" distL="19050" distR="19050">
            <wp:extent cx="348258" cy="240178"/>
            <wp:effectExtent b="0" l="0" r="0" t="0"/>
            <wp:docPr id="61"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348258" cy="240178"/>
                    </a:xfrm>
                    <a:prstGeom prst="rect"/>
                    <a:ln/>
                  </pic:spPr>
                </pic:pic>
              </a:graphicData>
            </a:graphic>
          </wp:inline>
        </w:drawing>
      </w:r>
      <w:r w:rsidDel="00000000" w:rsidR="00000000" w:rsidRPr="00000000">
        <w:rPr>
          <w:rFonts w:ascii="Arial" w:cs="Arial" w:eastAsia="Arial" w:hAnsi="Arial"/>
          <w:color w:val="1f1f1f"/>
          <w:rtl w:val="0"/>
        </w:rPr>
        <w:t xml:space="preserve"> eşiğini aştığında ise şiddetli sektörel resesyon adayı kesinleşmektedir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Havayolu kalkış sayıları (TRANS_AIR_DEPARTURES) ve Dünya Bankası Lojistik Performans Endeksi Altyapı skoru (TRANS_LPI_INFRA), lojistik darboğazların maliyet enflasyonuna dönüşme direncini ve fiziksel şok aktarımını doğrudan ölçmektedir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Ekonofiziksel açıdan ekonomi, sürekli enerji ve serbest madde tüketen, karşılığında entropi üreten açık bir termodinamik motordur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Leontief girdi-çıktı matrisi (</w:t>
      </w:r>
      <w:r w:rsidDel="00000000" w:rsidR="00000000" w:rsidRPr="00000000">
        <w:rPr>
          <w:rFonts w:ascii="Arial" w:cs="Arial" w:eastAsia="Arial" w:hAnsi="Arial"/>
          <w:color w:val="1f1f1f"/>
        </w:rPr>
        <w:drawing>
          <wp:inline distB="19050" distT="19050" distL="19050" distR="19050">
            <wp:extent cx="146968" cy="257194"/>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46968" cy="257194"/>
                    </a:xfrm>
                    <a:prstGeom prst="rect"/>
                    <a:ln/>
                  </pic:spPr>
                </pic:pic>
              </a:graphicData>
            </a:graphic>
          </wp:inline>
        </w:drawing>
      </w:r>
      <w:r w:rsidDel="00000000" w:rsidR="00000000" w:rsidRPr="00000000">
        <w:rPr>
          <w:rFonts w:ascii="Arial" w:cs="Arial" w:eastAsia="Arial" w:hAnsi="Arial"/>
          <w:color w:val="1f1f1f"/>
          <w:rtl w:val="0"/>
        </w:rPr>
        <w:t xml:space="preserve">) kapsamında nihai talep vektörünün (</w:t>
      </w:r>
      <w:r w:rsidDel="00000000" w:rsidR="00000000" w:rsidRPr="00000000">
        <w:rPr>
          <w:rFonts w:ascii="Arial" w:cs="Arial" w:eastAsia="Arial" w:hAnsi="Arial"/>
          <w:color w:val="1f1f1f"/>
        </w:rPr>
        <w:drawing>
          <wp:inline distB="19050" distT="19050" distL="19050" distR="19050">
            <wp:extent cx="157385" cy="254238"/>
            <wp:effectExtent b="0" l="0" r="0" t="0"/>
            <wp:docPr id="66"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57385" cy="254238"/>
                    </a:xfrm>
                    <a:prstGeom prst="rect"/>
                    <a:ln/>
                  </pic:spPr>
                </pic:pic>
              </a:graphicData>
            </a:graphic>
          </wp:inline>
        </w:drawing>
      </w:r>
      <w:r w:rsidDel="00000000" w:rsidR="00000000" w:rsidRPr="00000000">
        <w:rPr>
          <w:rFonts w:ascii="Arial" w:cs="Arial" w:eastAsia="Arial" w:hAnsi="Arial"/>
          <w:color w:val="1f1f1f"/>
          <w:rtl w:val="0"/>
        </w:rPr>
        <w:t xml:space="preserve">) karşılanabilmesi, Leontief ters matrisi </w:t>
      </w:r>
      <w:r w:rsidDel="00000000" w:rsidR="00000000" w:rsidRPr="00000000">
        <w:rPr>
          <w:rFonts w:ascii="Arial" w:cs="Arial" w:eastAsia="Arial" w:hAnsi="Arial"/>
          <w:color w:val="1f1f1f"/>
        </w:rPr>
        <w:drawing>
          <wp:inline distB="19050" distT="19050" distL="19050" distR="19050">
            <wp:extent cx="782278" cy="252736"/>
            <wp:effectExtent b="0" l="0" r="0" t="0"/>
            <wp:docPr id="62"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782278" cy="252736"/>
                    </a:xfrm>
                    <a:prstGeom prst="rect"/>
                    <a:ln/>
                  </pic:spPr>
                </pic:pic>
              </a:graphicData>
            </a:graphic>
          </wp:inline>
        </w:drawing>
      </w:r>
      <w:r w:rsidDel="00000000" w:rsidR="00000000" w:rsidRPr="00000000">
        <w:rPr>
          <w:rFonts w:ascii="Arial" w:cs="Arial" w:eastAsia="Arial" w:hAnsi="Arial"/>
          <w:color w:val="1f1f1f"/>
          <w:rtl w:val="0"/>
        </w:rPr>
        <w:t xml:space="preserve"> ile belirlenen fiziksel üretim akışına dayanır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64"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reel üretim yapabilmesi için tüketilen enerjinin geri dönüş oranı (</w:t>
      </w:r>
      <w:r w:rsidDel="00000000" w:rsidR="00000000" w:rsidRPr="00000000">
        <w:rPr>
          <w:rFonts w:ascii="Arial" w:cs="Arial" w:eastAsia="Arial" w:hAnsi="Arial"/>
          <w:color w:val="1f1f1f"/>
        </w:rPr>
        <w:drawing>
          <wp:inline distB="19050" distT="19050" distL="19050" distR="19050">
            <wp:extent cx="1111558" cy="250997"/>
            <wp:effectExtent b="0" l="0" r="0" t="0"/>
            <wp:docPr id="67"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111558" cy="250997"/>
                    </a:xfrm>
                    <a:prstGeom prst="rect"/>
                    <a:ln/>
                  </pic:spPr>
                </pic:pic>
              </a:graphicData>
            </a:graphic>
          </wp:inline>
        </w:drawing>
      </w:r>
      <w:r w:rsidDel="00000000" w:rsidR="00000000" w:rsidRPr="00000000">
        <w:rPr>
          <w:rFonts w:ascii="Arial" w:cs="Arial" w:eastAsia="Arial" w:hAnsi="Arial"/>
          <w:color w:val="1f1f1f"/>
          <w:rtl w:val="0"/>
        </w:rPr>
        <w:t xml:space="preserve">) kritik eşiğin üzerinde kalmalıdır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Enerji geri dönüş oranı </w:t>
      </w:r>
      <w:r w:rsidDel="00000000" w:rsidR="00000000" w:rsidRPr="00000000">
        <w:rPr>
          <w:rFonts w:ascii="Arial" w:cs="Arial" w:eastAsia="Arial" w:hAnsi="Arial"/>
          <w:color w:val="1f1f1f"/>
        </w:rPr>
        <w:drawing>
          <wp:inline distB="19050" distT="19050" distL="19050" distR="19050">
            <wp:extent cx="661913" cy="252731"/>
            <wp:effectExtent b="0" l="0" r="0" t="0"/>
            <wp:docPr id="69"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661913" cy="252731"/>
                    </a:xfrm>
                    <a:prstGeom prst="rect"/>
                    <a:ln/>
                  </pic:spPr>
                </pic:pic>
              </a:graphicData>
            </a:graphic>
          </wp:inline>
        </w:drawing>
      </w:r>
      <w:r w:rsidDel="00000000" w:rsidR="00000000" w:rsidRPr="00000000">
        <w:rPr>
          <w:rFonts w:ascii="Arial" w:cs="Arial" w:eastAsia="Arial" w:hAnsi="Arial"/>
          <w:color w:val="1f1f1f"/>
          <w:rtl w:val="0"/>
        </w:rPr>
        <w:t xml:space="preserve"> seviyesine gerilediğinde, üretilen enerjinin büyük bir kısmı yalnızca enerji altyapısının idamesine harcanmakta; sanayi üretimi, tarımsal lojistik ve kentsel yaşam için gereken net fiziksel artık büzüşmektedir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Frederick Soddy'nin termodinamik para kuramına göre, reel servet termodinamiğin ikinci yasasına tabidir; binalar eskir, makineler paslanır, gıdalar çürür ve enerji dağılır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Buna karşılık bankacılık sisteminin türettiği borç ve sanal para (</w:t>
      </w:r>
      <w:r w:rsidDel="00000000" w:rsidR="00000000" w:rsidRPr="00000000">
        <w:rPr>
          <w:rFonts w:ascii="Arial" w:cs="Arial" w:eastAsia="Arial" w:hAnsi="Arial"/>
          <w:color w:val="1f1f1f"/>
        </w:rPr>
        <w:drawing>
          <wp:inline distB="19050" distT="19050" distL="19050" distR="19050">
            <wp:extent cx="309377" cy="259876"/>
            <wp:effectExtent b="0" l="0" r="0" t="0"/>
            <wp:docPr id="71"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309377" cy="259876"/>
                    </a:xfrm>
                    <a:prstGeom prst="rect"/>
                    <a:ln/>
                  </pic:spPr>
                </pic:pic>
              </a:graphicData>
            </a:graphic>
          </wp:inline>
        </w:drawing>
      </w:r>
      <w:r w:rsidDel="00000000" w:rsidR="00000000" w:rsidRPr="00000000">
        <w:rPr>
          <w:rFonts w:ascii="Arial" w:cs="Arial" w:eastAsia="Arial" w:hAnsi="Arial"/>
          <w:color w:val="1f1f1f"/>
          <w:rtl w:val="0"/>
        </w:rPr>
        <w:t xml:space="preserve">), bileşik faiz kanunu gereğince üstel olarak büyür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Reel varlık üretimi ile finansal borç senetleri arasındaki uyumsuzluk, Soddy Sanal Servet Makası (</w:t>
      </w:r>
      <w:r w:rsidDel="00000000" w:rsidR="00000000" w:rsidRPr="00000000">
        <w:rPr>
          <w:rFonts w:ascii="Arial" w:cs="Arial" w:eastAsia="Arial" w:hAnsi="Arial"/>
          <w:color w:val="1f1f1f"/>
        </w:rPr>
        <w:drawing>
          <wp:inline distB="19050" distT="19050" distL="19050" distR="19050">
            <wp:extent cx="341747" cy="256310"/>
            <wp:effectExtent b="0" l="0" r="0" t="0"/>
            <wp:docPr id="7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1747" cy="256310"/>
                    </a:xfrm>
                    <a:prstGeom prst="rect"/>
                    <a:ln/>
                  </pic:spPr>
                </pic:pic>
              </a:graphicData>
            </a:graphic>
          </wp:inline>
        </w:drawing>
      </w:r>
      <w:r w:rsidDel="00000000" w:rsidR="00000000" w:rsidRPr="00000000">
        <w:rPr>
          <w:rFonts w:ascii="Arial" w:cs="Arial" w:eastAsia="Arial" w:hAnsi="Arial"/>
          <w:color w:val="1f1f1f"/>
          <w:rtl w:val="0"/>
        </w:rPr>
        <w:t xml:space="preserve">) denklemiyle izlenmektedir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64643"/>
            <wp:effectExtent b="0" l="0" r="0" t="0"/>
            <wp:docPr id="75" name="image69.png"/>
            <a:graphic>
              <a:graphicData uri="http://schemas.openxmlformats.org/drawingml/2006/picture">
                <pic:pic>
                  <pic:nvPicPr>
                    <pic:cNvPr id="0" name="image69.png"/>
                    <pic:cNvPicPr preferRelativeResize="0"/>
                  </pic:nvPicPr>
                  <pic:blipFill>
                    <a:blip r:embed="rId22"/>
                    <a:srcRect b="0" l="0" r="0" t="0"/>
                    <a:stretch>
                      <a:fillRect/>
                    </a:stretch>
                  </pic:blipFill>
                  <pic:spPr>
                    <a:xfrm>
                      <a:off x="0" y="0"/>
                      <a:ext cx="5905500" cy="96464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Denklemde </w:t>
      </w:r>
      <w:r w:rsidDel="00000000" w:rsidR="00000000" w:rsidRPr="00000000">
        <w:rPr>
          <w:rFonts w:ascii="Arial" w:cs="Arial" w:eastAsia="Arial" w:hAnsi="Arial"/>
          <w:color w:val="1f1f1f"/>
        </w:rPr>
        <w:drawing>
          <wp:inline distB="19050" distT="19050" distL="19050" distR="19050">
            <wp:extent cx="309377" cy="259876"/>
            <wp:effectExtent b="0" l="0" r="0" t="0"/>
            <wp:docPr id="76"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309377" cy="259876"/>
                    </a:xfrm>
                    <a:prstGeom prst="rect"/>
                    <a:ln/>
                  </pic:spPr>
                </pic:pic>
              </a:graphicData>
            </a:graphic>
          </wp:inline>
        </w:drawing>
      </w:r>
      <w:r w:rsidDel="00000000" w:rsidR="00000000" w:rsidRPr="00000000">
        <w:rPr>
          <w:rFonts w:ascii="Arial" w:cs="Arial" w:eastAsia="Arial" w:hAnsi="Arial"/>
          <w:color w:val="1f1f1f"/>
          <w:rtl w:val="0"/>
        </w:rPr>
        <w:t xml:space="preserve"> geniş para arzını, </w:t>
      </w:r>
      <w:r w:rsidDel="00000000" w:rsidR="00000000" w:rsidRPr="00000000">
        <w:rPr>
          <w:rFonts w:ascii="Arial" w:cs="Arial" w:eastAsia="Arial" w:hAnsi="Arial"/>
          <w:color w:val="1f1f1f"/>
        </w:rPr>
        <w:drawing>
          <wp:inline distB="19050" distT="19050" distL="19050" distR="19050">
            <wp:extent cx="430485" cy="251116"/>
            <wp:effectExtent b="0" l="0" r="0" t="0"/>
            <wp:docPr id="77" name="image71.png"/>
            <a:graphic>
              <a:graphicData uri="http://schemas.openxmlformats.org/drawingml/2006/picture">
                <pic:pic>
                  <pic:nvPicPr>
                    <pic:cNvPr id="0" name="image71.png"/>
                    <pic:cNvPicPr preferRelativeResize="0"/>
                  </pic:nvPicPr>
                  <pic:blipFill>
                    <a:blip r:embed="rId23"/>
                    <a:srcRect b="0" l="0" r="0" t="0"/>
                    <a:stretch>
                      <a:fillRect/>
                    </a:stretch>
                  </pic:blipFill>
                  <pic:spPr>
                    <a:xfrm>
                      <a:off x="0" y="0"/>
                      <a:ext cx="430485" cy="251116"/>
                    </a:xfrm>
                    <a:prstGeom prst="rect"/>
                    <a:ln/>
                  </pic:spPr>
                </pic:pic>
              </a:graphicData>
            </a:graphic>
          </wp:inline>
        </w:drawing>
      </w:r>
      <w:r w:rsidDel="00000000" w:rsidR="00000000" w:rsidRPr="00000000">
        <w:rPr>
          <w:rFonts w:ascii="Arial" w:cs="Arial" w:eastAsia="Arial" w:hAnsi="Arial"/>
          <w:color w:val="1f1f1f"/>
          <w:rtl w:val="0"/>
        </w:rPr>
        <w:t xml:space="preserve"> ise merkez bankasının net uluslararası rezervlerini (swap yükümlülükleri düşülmüş net döviz pozisyonunu) simgelemektedir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Net rezervler sıfırın altına indiğinde paydadaki taban katsayısı devreye girmekte ve sistem "Çapa İmhası" (Anchor Destruction) alarmı üretmektedir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durum, ulusal para birimini destekleyen hiçbir fiziksel ve likit döviz karşılığının kalmadığını, yaratılan sanal borç stoğunun hiperenflasyon veya devalüasyon yoluyla tasfiye edileceğini göstermektedir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Beş Katmanlı Tahrif Edilemez Toplumsal Çürüme ve Entropi Atlası</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Resmi istatistiklerin manipüle edildiği rejimlerde, toplumsal dokudaki bozulma ve çürüme ekonomik bültenlerden gizlenebilmektedir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T2SAIM mimarisi, siyasal otoritelerin müdahale edemeyeceği bağımsız fiziksel sensör verilerinden oluşan 5 katmanlı bir adli denetim çerçevesi işletmektedir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Katman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Operasyonel Metrik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Veri Sağlayıcı ve Birincil Kaynak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Manipülasyon Engeli (Adli Standart)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EWS Kritik Alarm Eşiği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Somatik / Biyolojik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Atıksu LC-MS/MS SSRI ve Kortizol Debisi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AAT Giriş Numuneleri; TEB İlaç Takas Depoları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İnsan metabolizması ve HPA endokrin ekseni sansürlenemez</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Pr>
              <w:drawing>
                <wp:inline distB="19050" distT="19050" distL="19050" distR="19050">
                  <wp:extent cx="1125703" cy="215560"/>
                  <wp:effectExtent b="0" l="0" r="0" t="0"/>
                  <wp:docPr id="78"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1125703" cy="215560"/>
                          </a:xfrm>
                          <a:prstGeom prst="rect"/>
                          <a:ln/>
                        </pic:spPr>
                      </pic:pic>
                    </a:graphicData>
                  </a:graphic>
                </wp:inline>
              </w:drawing>
            </w:r>
            <w:r w:rsidDel="00000000" w:rsidR="00000000" w:rsidRPr="00000000">
              <w:rPr>
                <w:rFonts w:ascii="Arial" w:cs="Arial" w:eastAsia="Arial" w:hAnsi="Arial"/>
                <w:color w:val="1f1f1f"/>
                <w:rtl w:val="0"/>
              </w:rPr>
              <w:t xml:space="preserve"> Yıllık Artış</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Adli / Yargısal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UYAP Açık İcra Dosyası ve Cezaevi Doluluk Hacmi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Adalet Bakanlığı UYAP Portalı; CTE ve Cezaevi İstatistikleri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Mülkiyet ihtilafı ve fiziksel koğuş kapasitesi gizlenemez</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Koğuş Kapasitesi </w:t>
            </w:r>
            <w:r w:rsidDel="00000000" w:rsidR="00000000" w:rsidRPr="00000000">
              <w:rPr>
                <w:rFonts w:ascii="Arial" w:cs="Arial" w:eastAsia="Arial" w:hAnsi="Arial"/>
                <w:color w:val="1f1f1f"/>
              </w:rPr>
              <w:drawing>
                <wp:inline distB="19050" distT="19050" distL="19050" distR="19050">
                  <wp:extent cx="586010" cy="203310"/>
                  <wp:effectExtent b="0" l="0" r="0" t="0"/>
                  <wp:docPr id="3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86010" cy="20331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Bilişsel / Dilsel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TBMM Tutanakları Dilsel Derinlik ve STEM Beyin Göçü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TBMM Açık Veri Portalı; TTB / TMMOB Denklik Başvuruları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Sentaks atrofi düzeyi ölçülebilir; yurtdışı vizesi bağımsızdır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Auto-IC </w:t>
            </w:r>
            <w:r w:rsidDel="00000000" w:rsidR="00000000" w:rsidRPr="00000000">
              <w:rPr>
                <w:rFonts w:ascii="Arial" w:cs="Arial" w:eastAsia="Arial" w:hAnsi="Arial"/>
                <w:color w:val="1f1f1f"/>
              </w:rPr>
              <w:drawing>
                <wp:inline distB="19050" distT="19050" distL="19050" distR="19050">
                  <wp:extent cx="403510" cy="207869"/>
                  <wp:effectExtent b="0" l="0" r="0" t="0"/>
                  <wp:docPr id="34"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03510" cy="207869"/>
                          </a:xfrm>
                          <a:prstGeom prst="rect"/>
                          <a:ln/>
                        </pic:spPr>
                      </pic:pic>
                    </a:graphicData>
                  </a:graphic>
                </wp:inline>
              </w:drawing>
            </w:r>
            <w:r w:rsidDel="00000000" w:rsidR="00000000" w:rsidRPr="00000000">
              <w:rPr>
                <w:rFonts w:ascii="Arial" w:cs="Arial" w:eastAsia="Arial" w:hAnsi="Arial"/>
                <w:color w:val="1f1f1f"/>
                <w:rtl w:val="0"/>
              </w:rPr>
              <w:t xml:space="preserve"> ve Net Beyin Göçü İvmesi</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Mekânsal / Lojistik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VIIRS Gece Işıkları Foton Sapması ve Özel Güvenlik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Suomi-NPP VIIRS Uydusu; EGM Özel Güvenlik Dairesi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Yörüngedeki uydu foton dedektörü yerel bültenleri okumaz</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254623" cy="215078"/>
                  <wp:effectExtent b="0" l="0" r="0" t="0"/>
                  <wp:docPr id="36"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1254623" cy="215078"/>
                          </a:xfrm>
                          <a:prstGeom prst="rect"/>
                          <a:ln/>
                        </pic:spPr>
                      </pic:pic>
                    </a:graphicData>
                  </a:graphic>
                </wp:inline>
              </w:drawing>
            </w:r>
            <w:r w:rsidDel="00000000" w:rsidR="00000000" w:rsidRPr="00000000">
              <w:rPr>
                <w:rFonts w:ascii="Arial" w:cs="Arial" w:eastAsia="Arial" w:hAnsi="Arial"/>
                <w:color w:val="1f1f1f"/>
                <w:rtl w:val="0"/>
              </w:rPr>
              <w:t xml:space="preserve"> ve Güvenlik İstihdamı </w:t>
            </w:r>
            <w:r w:rsidDel="00000000" w:rsidR="00000000" w:rsidRPr="00000000">
              <w:rPr>
                <w:rFonts w:ascii="Arial" w:cs="Arial" w:eastAsia="Arial" w:hAnsi="Arial"/>
                <w:color w:val="1f1f1f"/>
              </w:rPr>
              <w:drawing>
                <wp:inline distB="19050" distT="19050" distL="19050" distR="19050">
                  <wp:extent cx="547502" cy="206834"/>
                  <wp:effectExtent b="0" l="0" r="0" t="0"/>
                  <wp:docPr id="38"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47502" cy="20683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Mikro-Finansal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Kart Asgari Ödeme Oranı ve Zincir Market RFID Kilitleri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BKM Takas Kayıtları; Perakende EAS Güvenlik Tedarikçileri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Bankacılık konsolide logları ve perakendecinin fiziki hırsızlık refleksi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Asgari Ödeme Payı </w:t>
            </w:r>
            <w:r w:rsidDel="00000000" w:rsidR="00000000" w:rsidRPr="00000000">
              <w:rPr>
                <w:rFonts w:ascii="Arial" w:cs="Arial" w:eastAsia="Arial" w:hAnsi="Arial"/>
                <w:color w:val="1f1f1f"/>
              </w:rPr>
              <w:drawing>
                <wp:inline distB="19050" distT="19050" distL="19050" distR="19050">
                  <wp:extent cx="499504" cy="207112"/>
                  <wp:effectExtent b="0" l="0" r="0" t="0"/>
                  <wp:docPr id="40"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499504" cy="207112"/>
                          </a:xfrm>
                          <a:prstGeom prst="rect"/>
                          <a:ln/>
                        </pic:spPr>
                      </pic:pic>
                    </a:graphicData>
                  </a:graphic>
                </wp:inline>
              </w:drawing>
            </w:r>
            <w:r w:rsidDel="00000000" w:rsidR="00000000" w:rsidRPr="00000000">
              <w:rPr>
                <w:rFonts w:ascii="Arial" w:cs="Arial" w:eastAsia="Arial" w:hAnsi="Arial"/>
                <w:color w:val="1f1f1f"/>
                <w:rtl w:val="0"/>
              </w:rPr>
              <w:t xml:space="preserve"> ve Temel Gıdada EAS Yayılımı</w:t>
            </w:r>
            <w:r w:rsidDel="00000000" w:rsidR="00000000" w:rsidRPr="00000000">
              <w:rPr>
                <w:rFonts w:ascii="Arial" w:cs="Arial" w:eastAsia="Arial" w:hAnsi="Arial"/>
                <w:color w:val="444746"/>
                <w:sz w:val="24"/>
                <w:szCs w:val="24"/>
                <w:vertAlign w:val="superscript"/>
                <w:rtl w:val="0"/>
              </w:rPr>
              <w:t xml:space="preserve">7</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entropinin makro düzeydeki yansıması, Peter Turchin'in Yapısal-Demografik Kuramı (SDT) çerçevesinde formüle edilen Siyasal Stres İndeksi (</w:t>
      </w:r>
      <w:r w:rsidDel="00000000" w:rsidR="00000000" w:rsidRPr="00000000">
        <w:rPr>
          <w:rFonts w:ascii="Arial" w:cs="Arial" w:eastAsia="Arial" w:hAnsi="Arial"/>
          <w:color w:val="1f1f1f"/>
        </w:rPr>
        <w:drawing>
          <wp:inline distB="19050" distT="19050" distL="19050" distR="19050">
            <wp:extent cx="1038816" cy="250749"/>
            <wp:effectExtent b="0" l="0" r="0" t="0"/>
            <wp:docPr id="42"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1038816" cy="250749"/>
                    </a:xfrm>
                    <a:prstGeom prst="rect"/>
                    <a:ln/>
                  </pic:spPr>
                </pic:pic>
              </a:graphicData>
            </a:graphic>
          </wp:inline>
        </w:drawing>
      </w:r>
      <w:r w:rsidDel="00000000" w:rsidR="00000000" w:rsidRPr="00000000">
        <w:rPr>
          <w:rFonts w:ascii="Arial" w:cs="Arial" w:eastAsia="Arial" w:hAnsi="Arial"/>
          <w:color w:val="1f1f1f"/>
          <w:rtl w:val="0"/>
        </w:rPr>
        <w:t xml:space="preserve">) ile ölçülmektedir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44"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586197" cy="251227"/>
            <wp:effectExtent b="0" l="0" r="0" t="0"/>
            <wp:docPr id="45"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86197" cy="251227"/>
                    </a:xfrm>
                    <a:prstGeom prst="rect"/>
                    <a:ln/>
                  </pic:spPr>
                </pic:pic>
              </a:graphicData>
            </a:graphic>
          </wp:inline>
        </w:drawing>
      </w:r>
      <w:r w:rsidDel="00000000" w:rsidR="00000000" w:rsidRPr="00000000">
        <w:rPr>
          <w:rFonts w:ascii="Arial" w:cs="Arial" w:eastAsia="Arial" w:hAnsi="Arial"/>
          <w:color w:val="1f1f1f"/>
          <w:rtl w:val="0"/>
        </w:rPr>
        <w:t xml:space="preserve"> kitlelerin mutlak yoksullaşmasını ve reel ücret çöküşünü; </w:t>
      </w:r>
      <w:r w:rsidDel="00000000" w:rsidR="00000000" w:rsidRPr="00000000">
        <w:rPr>
          <w:rFonts w:ascii="Arial" w:cs="Arial" w:eastAsia="Arial" w:hAnsi="Arial"/>
          <w:color w:val="1f1f1f"/>
        </w:rPr>
        <w:drawing>
          <wp:inline distB="19050" distT="19050" distL="19050" distR="19050">
            <wp:extent cx="540804" cy="252375"/>
            <wp:effectExtent b="0" l="0" r="0" t="0"/>
            <wp:docPr id="46"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40804" cy="252375"/>
                    </a:xfrm>
                    <a:prstGeom prst="rect"/>
                    <a:ln/>
                  </pic:spPr>
                </pic:pic>
              </a:graphicData>
            </a:graphic>
          </wp:inline>
        </w:drawing>
      </w:r>
      <w:r w:rsidDel="00000000" w:rsidR="00000000" w:rsidRPr="00000000">
        <w:rPr>
          <w:rFonts w:ascii="Arial" w:cs="Arial" w:eastAsia="Arial" w:hAnsi="Arial"/>
          <w:color w:val="1f1f1f"/>
          <w:rtl w:val="0"/>
        </w:rPr>
        <w:t xml:space="preserve"> elitlerin aşırı üretimini ve daralan rant alanları için fraksiyonlar arası çatışmayı; </w:t>
      </w:r>
      <w:r w:rsidDel="00000000" w:rsidR="00000000" w:rsidRPr="00000000">
        <w:rPr>
          <w:rFonts w:ascii="Arial" w:cs="Arial" w:eastAsia="Arial" w:hAnsi="Arial"/>
          <w:color w:val="1f1f1f"/>
        </w:rPr>
        <w:drawing>
          <wp:inline distB="19050" distT="19050" distL="19050" distR="19050">
            <wp:extent cx="494668" cy="253366"/>
            <wp:effectExtent b="0" l="0" r="0" t="0"/>
            <wp:docPr id="47"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494668" cy="253366"/>
                    </a:xfrm>
                    <a:prstGeom prst="rect"/>
                    <a:ln/>
                  </pic:spPr>
                </pic:pic>
              </a:graphicData>
            </a:graphic>
          </wp:inline>
        </w:drawing>
      </w:r>
      <w:r w:rsidDel="00000000" w:rsidR="00000000" w:rsidRPr="00000000">
        <w:rPr>
          <w:rFonts w:ascii="Arial" w:cs="Arial" w:eastAsia="Arial" w:hAnsi="Arial"/>
          <w:color w:val="1f1f1f"/>
          <w:rtl w:val="0"/>
        </w:rPr>
        <w:t xml:space="preserve"> ise devletin mali iflasını ve borç çevirme krizini simgelemektedir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Bu üç faktörün eşzamanlı yükselişi, siyasal sistemin kurumsal taşıma kapasitesini tüketmektedir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Yaneer Bar-Yam'ın karmaşık sistemler yaklaşımı gereğince, temel gıda fiyatlarındaki artışın toplumsal isyanları tetiklediği eşik </w:t>
      </w:r>
      <w:r w:rsidDel="00000000" w:rsidR="00000000" w:rsidRPr="00000000">
        <w:rPr>
          <w:rFonts w:ascii="Arial" w:cs="Arial" w:eastAsia="Arial" w:hAnsi="Arial"/>
          <w:color w:val="1f1f1f"/>
        </w:rPr>
        <w:drawing>
          <wp:inline distB="19050" distT="19050" distL="19050" distR="19050">
            <wp:extent cx="976874" cy="250175"/>
            <wp:effectExtent b="0" l="0" r="0" t="0"/>
            <wp:docPr id="1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976874" cy="250175"/>
                    </a:xfrm>
                    <a:prstGeom prst="rect"/>
                    <a:ln/>
                  </pic:spPr>
                </pic:pic>
              </a:graphicData>
            </a:graphic>
          </wp:inline>
        </w:drawing>
      </w:r>
      <w:r w:rsidDel="00000000" w:rsidR="00000000" w:rsidRPr="00000000">
        <w:rPr>
          <w:rFonts w:ascii="Arial" w:cs="Arial" w:eastAsia="Arial" w:hAnsi="Arial"/>
          <w:color w:val="1f1f1f"/>
          <w:rtl w:val="0"/>
        </w:rPr>
        <w:t xml:space="preserve"> (FAO Gıda Fiyat Endeksi eşdeğeri) olarak belirlenmiştir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Endeks bu seviyenin üzerine çıktığında, hanehalkı bütçesindeki gıda harcama payının kritik sınırları aşması nedeniyle kitlesel sokak hareketleri, yağmalar ve rejim krizleri doğrusal olmayan biçimde patlak vermektedir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Bruce McEwen'in formüle ettiği allostatik yük kuramı, kronik enflasyon, işsizlik korkusu ve kurumsal güvencesizliğin toplumda Hipotalamus-Hipofiz-Adrenal (HPA) eksenini sürekli açık tuttuğunu ortaya koymaktadır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Bu durum hipokampus atrofisine yol açarak kolektif hafızayı zayıflatmakta; halkın geçmiş kriz deneyimlerinden öğrenmesini engellemekte ve prefrontal korteks hasarıyla kitleleri yalnızca anlık reaktif reflekslere mahkûm etmektedir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Piyasa Mikroyapısı, Borç Duvarı ve Likidite Şoku Modellemesi</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piyasaların kırılma anlarında likidite doğrusal bir biçimde azalmaz; aniden buharlaşır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Piyasa derinliğindeki bu çöküş, Albert S. Kyle'ın fiyat etkisi modeli (</w:t>
      </w:r>
      <w:r w:rsidDel="00000000" w:rsidR="00000000" w:rsidRPr="00000000">
        <w:rPr>
          <w:rFonts w:ascii="Arial" w:cs="Arial" w:eastAsia="Arial" w:hAnsi="Arial"/>
          <w:color w:val="1f1f1f"/>
        </w:rPr>
        <w:drawing>
          <wp:inline distB="19050" distT="19050" distL="19050" distR="19050">
            <wp:extent cx="114226" cy="266527"/>
            <wp:effectExtent b="0" l="0" r="0" t="0"/>
            <wp:docPr id="15"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114226" cy="266527"/>
                    </a:xfrm>
                    <a:prstGeom prst="rect"/>
                    <a:ln/>
                  </pic:spPr>
                </pic:pic>
              </a:graphicData>
            </a:graphic>
          </wp:inline>
        </w:drawing>
      </w:r>
      <w:r w:rsidDel="00000000" w:rsidR="00000000" w:rsidRPr="00000000">
        <w:rPr>
          <w:rFonts w:ascii="Arial" w:cs="Arial" w:eastAsia="Arial" w:hAnsi="Arial"/>
          <w:color w:val="1f1f1f"/>
          <w:rtl w:val="0"/>
        </w:rPr>
        <w:t xml:space="preserve">) üzerinden takip edilmektedir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17"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1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Likiditenin derin olduğu dengeli piyasalarda </w:t>
      </w:r>
      <w:r w:rsidDel="00000000" w:rsidR="00000000" w:rsidRPr="00000000">
        <w:rPr>
          <w:rFonts w:ascii="Arial" w:cs="Arial" w:eastAsia="Arial" w:hAnsi="Arial"/>
          <w:color w:val="1f1f1f"/>
        </w:rPr>
        <w:drawing>
          <wp:inline distB="19050" distT="19050" distL="19050" distR="19050">
            <wp:extent cx="516806" cy="252393"/>
            <wp:effectExtent b="0" l="0" r="0" t="0"/>
            <wp:docPr id="2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16806" cy="252393"/>
                    </a:xfrm>
                    <a:prstGeom prst="rect"/>
                    <a:ln/>
                  </pic:spPr>
                </pic:pic>
              </a:graphicData>
            </a:graphic>
          </wp:inline>
        </w:drawing>
      </w:r>
      <w:r w:rsidDel="00000000" w:rsidR="00000000" w:rsidRPr="00000000">
        <w:rPr>
          <w:rFonts w:ascii="Arial" w:cs="Arial" w:eastAsia="Arial" w:hAnsi="Arial"/>
          <w:color w:val="1f1f1f"/>
          <w:rtl w:val="0"/>
        </w:rPr>
        <w:t xml:space="preserve"> iken, piyasa yapıcıların sermaye kısıtlarıyla karşılaştığı ve asimetrik enformasyonun zirveye çıktığı kriz fazlarında </w:t>
      </w:r>
      <w:r w:rsidDel="00000000" w:rsidR="00000000" w:rsidRPr="00000000">
        <w:rPr>
          <w:rFonts w:ascii="Arial" w:cs="Arial" w:eastAsia="Arial" w:hAnsi="Arial"/>
          <w:color w:val="1f1f1f"/>
        </w:rPr>
        <w:drawing>
          <wp:inline distB="19050" distT="19050" distL="19050" distR="19050">
            <wp:extent cx="114226" cy="266527"/>
            <wp:effectExtent b="0" l="0" r="0" t="0"/>
            <wp:docPr id="2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114226" cy="266527"/>
                    </a:xfrm>
                    <a:prstGeom prst="rect"/>
                    <a:ln/>
                  </pic:spPr>
                </pic:pic>
              </a:graphicData>
            </a:graphic>
          </wp:inline>
        </w:drawing>
      </w:r>
      <w:r w:rsidDel="00000000" w:rsidR="00000000" w:rsidRPr="00000000">
        <w:rPr>
          <w:rFonts w:ascii="Arial" w:cs="Arial" w:eastAsia="Arial" w:hAnsi="Arial"/>
          <w:color w:val="1f1f1f"/>
          <w:rtl w:val="0"/>
        </w:rPr>
        <w:t xml:space="preserve"> fırlamaktadır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Bunun sonucunda, Glosten–Milgrom modelinde öngörüldüğü üzere, en ufak bir kurumsal satış emri (</w:t>
      </w:r>
      <w:r w:rsidDel="00000000" w:rsidR="00000000" w:rsidRPr="00000000">
        <w:rPr>
          <w:rFonts w:ascii="Arial" w:cs="Arial" w:eastAsia="Arial" w:hAnsi="Arial"/>
          <w:color w:val="1f1f1f"/>
        </w:rPr>
        <w:drawing>
          <wp:inline distB="19050" distT="19050" distL="19050" distR="19050">
            <wp:extent cx="154967" cy="271192"/>
            <wp:effectExtent b="0" l="0" r="0" t="0"/>
            <wp:docPr id="2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154967" cy="271192"/>
                    </a:xfrm>
                    <a:prstGeom prst="rect"/>
                    <a:ln/>
                  </pic:spPr>
                </pic:pic>
              </a:graphicData>
            </a:graphic>
          </wp:inline>
        </w:drawing>
      </w:r>
      <w:r w:rsidDel="00000000" w:rsidR="00000000" w:rsidRPr="00000000">
        <w:rPr>
          <w:rFonts w:ascii="Arial" w:cs="Arial" w:eastAsia="Arial" w:hAnsi="Arial"/>
          <w:color w:val="1f1f1f"/>
          <w:rtl w:val="0"/>
        </w:rPr>
        <w:t xml:space="preserve">) fiyat kademelerinde devasa boşluklara ve kontrolsüz varlık çöküşlerine yol açmaktadır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Devletlerin borçlanma sürdürülebilirliği, Domar kuralı gereğince faiz-büyüme makası ve faiz dışı denge dinamikleriyle belirlenmektedir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24"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161107" cy="260249"/>
            <wp:effectExtent b="0" l="0" r="0" t="0"/>
            <wp:docPr id="25"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161107" cy="260249"/>
                    </a:xfrm>
                    <a:prstGeom prst="rect"/>
                    <a:ln/>
                  </pic:spPr>
                </pic:pic>
              </a:graphicData>
            </a:graphic>
          </wp:inline>
        </w:drawing>
      </w:r>
      <w:r w:rsidDel="00000000" w:rsidR="00000000" w:rsidRPr="00000000">
        <w:rPr>
          <w:rFonts w:ascii="Arial" w:cs="Arial" w:eastAsia="Arial" w:hAnsi="Arial"/>
          <w:color w:val="1f1f1f"/>
          <w:rtl w:val="0"/>
        </w:rPr>
        <w:t xml:space="preserve"> borcun GSYİH'ye oranını, </w:t>
      </w:r>
      <w:r w:rsidDel="00000000" w:rsidR="00000000" w:rsidRPr="00000000">
        <w:rPr>
          <w:rFonts w:ascii="Arial" w:cs="Arial" w:eastAsia="Arial" w:hAnsi="Arial"/>
          <w:color w:val="1f1f1f"/>
        </w:rPr>
        <w:drawing>
          <wp:inline distB="19050" distT="19050" distL="19050" distR="19050">
            <wp:extent cx="147526" cy="258171"/>
            <wp:effectExtent b="0" l="0" r="0" t="0"/>
            <wp:docPr id="26"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47526" cy="258171"/>
                    </a:xfrm>
                    <a:prstGeom prst="rect"/>
                    <a:ln/>
                  </pic:spPr>
                </pic:pic>
              </a:graphicData>
            </a:graphic>
          </wp:inline>
        </w:drawing>
      </w:r>
      <w:r w:rsidDel="00000000" w:rsidR="00000000" w:rsidRPr="00000000">
        <w:rPr>
          <w:rFonts w:ascii="Arial" w:cs="Arial" w:eastAsia="Arial" w:hAnsi="Arial"/>
          <w:color w:val="1f1f1f"/>
          <w:rtl w:val="0"/>
        </w:rPr>
        <w:t xml:space="preserve"> reel faizi, </w:t>
      </w:r>
      <w:r w:rsidDel="00000000" w:rsidR="00000000" w:rsidRPr="00000000">
        <w:rPr>
          <w:rFonts w:ascii="Arial" w:cs="Arial" w:eastAsia="Arial" w:hAnsi="Arial"/>
          <w:color w:val="1f1f1f"/>
        </w:rPr>
        <w:drawing>
          <wp:inline distB="19050" distT="19050" distL="19050" distR="19050">
            <wp:extent cx="152735" cy="267287"/>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52735" cy="267287"/>
                    </a:xfrm>
                    <a:prstGeom prst="rect"/>
                    <a:ln/>
                  </pic:spPr>
                </pic:pic>
              </a:graphicData>
            </a:graphic>
          </wp:inline>
        </w:drawing>
      </w:r>
      <w:r w:rsidDel="00000000" w:rsidR="00000000" w:rsidRPr="00000000">
        <w:rPr>
          <w:rFonts w:ascii="Arial" w:cs="Arial" w:eastAsia="Arial" w:hAnsi="Arial"/>
          <w:color w:val="1f1f1f"/>
          <w:rtl w:val="0"/>
        </w:rPr>
        <w:t xml:space="preserve"> reel ekonomik büyümeyi, </w:t>
      </w:r>
      <w:r w:rsidDel="00000000" w:rsidR="00000000" w:rsidRPr="00000000">
        <w:rPr>
          <w:rFonts w:ascii="Arial" w:cs="Arial" w:eastAsia="Arial" w:hAnsi="Arial"/>
          <w:color w:val="1f1f1f"/>
        </w:rPr>
        <w:drawing>
          <wp:inline distB="19050" distT="19050" distL="19050" distR="19050">
            <wp:extent cx="241845" cy="253938"/>
            <wp:effectExtent b="0" l="0" r="0" t="0"/>
            <wp:docPr id="2"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241845" cy="253938"/>
                    </a:xfrm>
                    <a:prstGeom prst="rect"/>
                    <a:ln/>
                  </pic:spPr>
                </pic:pic>
              </a:graphicData>
            </a:graphic>
          </wp:inline>
        </w:drawing>
      </w:r>
      <w:r w:rsidDel="00000000" w:rsidR="00000000" w:rsidRPr="00000000">
        <w:rPr>
          <w:rFonts w:ascii="Arial" w:cs="Arial" w:eastAsia="Arial" w:hAnsi="Arial"/>
          <w:color w:val="1f1f1f"/>
          <w:rtl w:val="0"/>
        </w:rPr>
        <w:t xml:space="preserve"> ise faiz dışı fazlanın GSYİH'ye oranını ifade etmektedir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Reel faiz büyüme oranının üzerine çıktığında (</w:t>
      </w:r>
      <w:r w:rsidDel="00000000" w:rsidR="00000000" w:rsidRPr="00000000">
        <w:rPr>
          <w:rFonts w:ascii="Arial" w:cs="Arial" w:eastAsia="Arial" w:hAnsi="Arial"/>
          <w:color w:val="1f1f1f"/>
        </w:rPr>
        <w:drawing>
          <wp:inline distB="19050" distT="19050" distL="19050" distR="19050">
            <wp:extent cx="561454" cy="250862"/>
            <wp:effectExtent b="0" l="0" r="0" t="0"/>
            <wp:docPr id="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61454" cy="250862"/>
                    </a:xfrm>
                    <a:prstGeom prst="rect"/>
                    <a:ln/>
                  </pic:spPr>
                </pic:pic>
              </a:graphicData>
            </a:graphic>
          </wp:inline>
        </w:drawing>
      </w:r>
      <w:r w:rsidDel="00000000" w:rsidR="00000000" w:rsidRPr="00000000">
        <w:rPr>
          <w:rFonts w:ascii="Arial" w:cs="Arial" w:eastAsia="Arial" w:hAnsi="Arial"/>
          <w:color w:val="1f1f1f"/>
          <w:rtl w:val="0"/>
        </w:rPr>
        <w:t xml:space="preserve">), borç dinamiklerinin patlamaması için ülkenin yüksek faiz dışı fazla vermesi zorunludur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Gelişmekte olan ekonomilerde bu faiz dışı fazla üretilemediğinde, borç geometrik olarak artmakta ve yeniden finansman duvarına toslamaktadır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Bütçe harcamalarının yapısal niteliği, T2SAIM Bütçe Sürtünme Katsayısı (</w:t>
      </w:r>
      <w:r w:rsidDel="00000000" w:rsidR="00000000" w:rsidRPr="00000000">
        <w:rPr>
          <w:rFonts w:ascii="Arial" w:cs="Arial" w:eastAsia="Arial" w:hAnsi="Arial"/>
          <w:color w:val="1f1f1f"/>
        </w:rPr>
        <w:drawing>
          <wp:inline distB="19050" distT="19050" distL="19050" distR="19050">
            <wp:extent cx="141573" cy="235955"/>
            <wp:effectExtent b="0" l="0" r="0" t="0"/>
            <wp:docPr id="4"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41573" cy="235955"/>
                    </a:xfrm>
                    <a:prstGeom prst="rect"/>
                    <a:ln/>
                  </pic:spPr>
                </pic:pic>
              </a:graphicData>
            </a:graphic>
          </wp:inline>
        </w:drawing>
      </w:r>
      <w:r w:rsidDel="00000000" w:rsidR="00000000" w:rsidRPr="00000000">
        <w:rPr>
          <w:rFonts w:ascii="Arial" w:cs="Arial" w:eastAsia="Arial" w:hAnsi="Arial"/>
          <w:color w:val="1f1f1f"/>
          <w:rtl w:val="0"/>
        </w:rPr>
        <w:t xml:space="preserve">) ile adli incelemeye tabi tutulmaktadır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141103"/>
            <wp:effectExtent b="0" l="0" r="0" t="0"/>
            <wp:docPr id="5"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05500" cy="114110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Ampirik bulgular, </w:t>
      </w:r>
      <w:r w:rsidDel="00000000" w:rsidR="00000000" w:rsidRPr="00000000">
        <w:rPr>
          <w:rFonts w:ascii="Arial" w:cs="Arial" w:eastAsia="Arial" w:hAnsi="Arial"/>
          <w:color w:val="1f1f1f"/>
        </w:rPr>
        <w:drawing>
          <wp:inline distB="19050" distT="19050" distL="19050" distR="19050">
            <wp:extent cx="653169" cy="237516"/>
            <wp:effectExtent b="0" l="0" r="0" t="0"/>
            <wp:docPr id="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653169" cy="237516"/>
                    </a:xfrm>
                    <a:prstGeom prst="rect"/>
                    <a:ln/>
                  </pic:spPr>
                </pic:pic>
              </a:graphicData>
            </a:graphic>
          </wp:inline>
        </w:drawing>
      </w:r>
      <w:r w:rsidDel="00000000" w:rsidR="00000000" w:rsidRPr="00000000">
        <w:rPr>
          <w:rFonts w:ascii="Arial" w:cs="Arial" w:eastAsia="Arial" w:hAnsi="Arial"/>
          <w:color w:val="1f1f1f"/>
          <w:rtl w:val="0"/>
        </w:rPr>
        <w:t xml:space="preserve"> eşiği aşıldığında ve katsayı </w:t>
      </w:r>
      <w:r w:rsidDel="00000000" w:rsidR="00000000" w:rsidRPr="00000000">
        <w:rPr>
          <w:rFonts w:ascii="Arial" w:cs="Arial" w:eastAsia="Arial" w:hAnsi="Arial"/>
          <w:color w:val="1f1f1f"/>
        </w:rPr>
        <w:drawing>
          <wp:inline distB="19050" distT="19050" distL="19050" distR="19050">
            <wp:extent cx="500806" cy="238479"/>
            <wp:effectExtent b="0" l="0" r="0" t="0"/>
            <wp:docPr id="7"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00806" cy="238479"/>
                    </a:xfrm>
                    <a:prstGeom prst="rect"/>
                    <a:ln/>
                  </pic:spPr>
                </pic:pic>
              </a:graphicData>
            </a:graphic>
          </wp:inline>
        </w:drawing>
      </w:r>
      <w:r w:rsidDel="00000000" w:rsidR="00000000" w:rsidRPr="00000000">
        <w:rPr>
          <w:rFonts w:ascii="Arial" w:cs="Arial" w:eastAsia="Arial" w:hAnsi="Arial"/>
          <w:color w:val="1f1f1f"/>
          <w:rtl w:val="0"/>
        </w:rPr>
        <w:t xml:space="preserve"> seviyesine ulaştığında, üretken kamu yatırımlarının bütünüyle dışlandığını ve ekonominin inovasyon kapasitesinin felç olduğunu doğrulamaktadır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BIS Kredi/GSYİH açığı (Credit-to-GDP Gap) ise tek taraflı özyinelemeli Hodrick-Prescott filtresiyle hesaplanmaktadır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88171"/>
            <wp:effectExtent b="0" l="0" r="0" t="0"/>
            <wp:docPr id="8"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05500" cy="98817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Çeyreklik veride </w:t>
      </w:r>
      <w:r w:rsidDel="00000000" w:rsidR="00000000" w:rsidRPr="00000000">
        <w:rPr>
          <w:rFonts w:ascii="Arial" w:cs="Arial" w:eastAsia="Arial" w:hAnsi="Arial"/>
          <w:color w:val="1f1f1f"/>
        </w:rPr>
        <w:drawing>
          <wp:inline distB="19050" distT="19050" distL="19050" distR="19050">
            <wp:extent cx="1259272" cy="251854"/>
            <wp:effectExtent b="0" l="0" r="0" t="0"/>
            <wp:docPr id="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1259272" cy="251854"/>
                    </a:xfrm>
                    <a:prstGeom prst="rect"/>
                    <a:ln/>
                  </pic:spPr>
                </pic:pic>
              </a:graphicData>
            </a:graphic>
          </wp:inline>
        </w:drawing>
      </w:r>
      <w:r w:rsidDel="00000000" w:rsidR="00000000" w:rsidRPr="00000000">
        <w:rPr>
          <w:rFonts w:ascii="Arial" w:cs="Arial" w:eastAsia="Arial" w:hAnsi="Arial"/>
          <w:color w:val="1f1f1f"/>
          <w:rtl w:val="0"/>
        </w:rPr>
        <w:t xml:space="preserve"> parametresiyle yürütülen testlerde, kredi/GSYİH açığı </w:t>
      </w:r>
      <w:r w:rsidDel="00000000" w:rsidR="00000000" w:rsidRPr="00000000">
        <w:rPr>
          <w:rFonts w:ascii="Arial" w:cs="Arial" w:eastAsia="Arial" w:hAnsi="Arial"/>
          <w:color w:val="1f1f1f"/>
        </w:rPr>
        <w:drawing>
          <wp:inline distB="19050" distT="19050" distL="19050" distR="19050">
            <wp:extent cx="348444" cy="240306"/>
            <wp:effectExtent b="0" l="0" r="0" t="0"/>
            <wp:docPr id="10"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348444" cy="240306"/>
                    </a:xfrm>
                    <a:prstGeom prst="rect"/>
                    <a:ln/>
                  </pic:spPr>
                </pic:pic>
              </a:graphicData>
            </a:graphic>
          </wp:inline>
        </w:drawing>
      </w:r>
      <w:r w:rsidDel="00000000" w:rsidR="00000000" w:rsidRPr="00000000">
        <w:rPr>
          <w:rFonts w:ascii="Arial" w:cs="Arial" w:eastAsia="Arial" w:hAnsi="Arial"/>
          <w:color w:val="1f1f1f"/>
          <w:rtl w:val="0"/>
        </w:rPr>
        <w:t xml:space="preserve"> puanı aştığında takip eden 1-3 yıl içinde bankacılık krizinin tetiklenme olasılığı %80'in üzerine çıkmaktadır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Eşzamanlı olarak Hanehalkı Borç Servis Oranı (</w:t>
      </w:r>
      <w:r w:rsidDel="00000000" w:rsidR="00000000" w:rsidRPr="00000000">
        <w:rPr>
          <w:rFonts w:ascii="Arial" w:cs="Arial" w:eastAsia="Arial" w:hAnsi="Arial"/>
          <w:color w:val="1f1f1f"/>
        </w:rPr>
        <w:drawing>
          <wp:inline distB="19050" distT="19050" distL="19050" distR="19050">
            <wp:extent cx="697818" cy="252658"/>
            <wp:effectExtent b="0" l="0" r="0" t="0"/>
            <wp:docPr id="54"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697818" cy="252658"/>
                    </a:xfrm>
                    <a:prstGeom prst="rect"/>
                    <a:ln/>
                  </pic:spPr>
                </pic:pic>
              </a:graphicData>
            </a:graphic>
          </wp:inline>
        </w:drawing>
      </w:r>
      <w:r w:rsidDel="00000000" w:rsidR="00000000" w:rsidRPr="00000000">
        <w:rPr>
          <w:rFonts w:ascii="Arial" w:cs="Arial" w:eastAsia="Arial" w:hAnsi="Arial"/>
          <w:color w:val="1f1f1f"/>
          <w:rtl w:val="0"/>
        </w:rPr>
        <w:t xml:space="preserve">) borç geri ödemelerinin harcanabilir gelire oranını izleyerek finansal aktarım kanallarındaki tıkanmayı doğrulamaktadır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176394"/>
            <wp:effectExtent b="0" l="0" r="0" t="0"/>
            <wp:docPr id="57"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5905500" cy="117639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Kognitif Harp, Amigdala Telemetrisi ve Biyo-İnsan Tepkisi</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Joseph LeDoux ve Antonio Damasio'nun nörobiyolojik modelleri, haber ve enformasyon akışının insan beyninde iki farklı hızda işlendiğini kanıtlamaktadır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Talamus üzerinden amigdalaya ulaşan 12–15 milisaniyelik düşük yol, akıl yürütmeyi devre dışı bırakarak anlık panik, dövize hücum, bankalardan mevduat çekme ve market stoku reflekslerini tetiklemektedir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Buna karşılık prefrontal kortekse giden 250–300 milisaniyelik yüksek yol, rasyonel bilanço analizi, risk dağılımı ve portföy korunmasını mümkün kılmaktadır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Kitlelerin makroekonomik kriz ortamlarında sergilediği nöro-duygusal yük, aşağıdaki sürekli zaman diferansiyel denklemiyle izlenmektedir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117575"/>
            <wp:effectExtent b="0" l="0" r="0" t="0"/>
            <wp:docPr id="58"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5905500" cy="11175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Denklemde </w:t>
      </w:r>
      <w:r w:rsidDel="00000000" w:rsidR="00000000" w:rsidRPr="00000000">
        <w:rPr>
          <w:rFonts w:ascii="Arial" w:cs="Arial" w:eastAsia="Arial" w:hAnsi="Arial"/>
          <w:color w:val="1f1f1f"/>
        </w:rPr>
        <w:drawing>
          <wp:inline distB="19050" distT="19050" distL="19050" distR="19050">
            <wp:extent cx="1042359" cy="251604"/>
            <wp:effectExtent b="0" l="0" r="0" t="0"/>
            <wp:docPr id="60"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1042359" cy="251604"/>
                    </a:xfrm>
                    <a:prstGeom prst="rect"/>
                    <a:ln/>
                  </pic:spPr>
                </pic:pic>
              </a:graphicData>
            </a:graphic>
          </wp:inline>
        </w:drawing>
      </w:r>
      <w:r w:rsidDel="00000000" w:rsidR="00000000" w:rsidRPr="00000000">
        <w:rPr>
          <w:rFonts w:ascii="Arial" w:cs="Arial" w:eastAsia="Arial" w:hAnsi="Arial"/>
          <w:color w:val="1f1f1f"/>
          <w:rtl w:val="0"/>
        </w:rPr>
        <w:t xml:space="preserve"> amigdala stres yükünü; </w:t>
      </w:r>
      <w:r w:rsidDel="00000000" w:rsidR="00000000" w:rsidRPr="00000000">
        <w:rPr>
          <w:rFonts w:ascii="Arial" w:cs="Arial" w:eastAsia="Arial" w:hAnsi="Arial"/>
          <w:color w:val="1f1f1f"/>
        </w:rPr>
        <w:drawing>
          <wp:inline distB="19050" distT="19050" distL="19050" distR="19050">
            <wp:extent cx="647030" cy="251623"/>
            <wp:effectExtent b="0" l="0" r="0" t="0"/>
            <wp:docPr id="63" name="image60.png"/>
            <a:graphic>
              <a:graphicData uri="http://schemas.openxmlformats.org/drawingml/2006/picture">
                <pic:pic>
                  <pic:nvPicPr>
                    <pic:cNvPr id="0" name="image60.png"/>
                    <pic:cNvPicPr preferRelativeResize="0"/>
                  </pic:nvPicPr>
                  <pic:blipFill>
                    <a:blip r:embed="rId58"/>
                    <a:srcRect b="0" l="0" r="0" t="0"/>
                    <a:stretch>
                      <a:fillRect/>
                    </a:stretch>
                  </pic:blipFill>
                  <pic:spPr>
                    <a:xfrm>
                      <a:off x="0" y="0"/>
                      <a:ext cx="647030" cy="251623"/>
                    </a:xfrm>
                    <a:prstGeom prst="rect"/>
                    <a:ln/>
                  </pic:spPr>
                </pic:pic>
              </a:graphicData>
            </a:graphic>
          </wp:inline>
        </w:drawing>
      </w:r>
      <w:r w:rsidDel="00000000" w:rsidR="00000000" w:rsidRPr="00000000">
        <w:rPr>
          <w:rFonts w:ascii="Arial" w:cs="Arial" w:eastAsia="Arial" w:hAnsi="Arial"/>
          <w:color w:val="1f1f1f"/>
          <w:rtl w:val="0"/>
        </w:rPr>
        <w:t xml:space="preserve"> kriz haberlerine alışma katsayısını; </w:t>
      </w:r>
      <w:r w:rsidDel="00000000" w:rsidR="00000000" w:rsidRPr="00000000">
        <w:rPr>
          <w:rFonts w:ascii="Arial" w:cs="Arial" w:eastAsia="Arial" w:hAnsi="Arial"/>
          <w:color w:val="1f1f1f"/>
        </w:rPr>
        <w:drawing>
          <wp:inline distB="19050" distT="19050" distL="19050" distR="19050">
            <wp:extent cx="453740" cy="250751"/>
            <wp:effectExtent b="0" l="0" r="0" t="0"/>
            <wp:docPr id="65"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453740" cy="250751"/>
                    </a:xfrm>
                    <a:prstGeom prst="rect"/>
                    <a:ln/>
                  </pic:spPr>
                </pic:pic>
              </a:graphicData>
            </a:graphic>
          </wp:inline>
        </w:drawing>
      </w:r>
      <w:r w:rsidDel="00000000" w:rsidR="00000000" w:rsidRPr="00000000">
        <w:rPr>
          <w:rFonts w:ascii="Arial" w:cs="Arial" w:eastAsia="Arial" w:hAnsi="Arial"/>
          <w:color w:val="1f1f1f"/>
          <w:rtl w:val="0"/>
        </w:rPr>
        <w:t xml:space="preserve"> enformasyonel aşırı yükü; </w:t>
      </w:r>
      <w:r w:rsidDel="00000000" w:rsidR="00000000" w:rsidRPr="00000000">
        <w:rPr>
          <w:rFonts w:ascii="Arial" w:cs="Arial" w:eastAsia="Arial" w:hAnsi="Arial"/>
          <w:color w:val="1f1f1f"/>
        </w:rPr>
        <w:drawing>
          <wp:inline distB="19050" distT="19050" distL="19050" distR="19050">
            <wp:extent cx="723863" cy="253352"/>
            <wp:effectExtent b="0" l="0" r="0" t="0"/>
            <wp:docPr id="68" name="image73.png"/>
            <a:graphic>
              <a:graphicData uri="http://schemas.openxmlformats.org/drawingml/2006/picture">
                <pic:pic>
                  <pic:nvPicPr>
                    <pic:cNvPr id="0" name="image73.png"/>
                    <pic:cNvPicPr preferRelativeResize="0"/>
                  </pic:nvPicPr>
                  <pic:blipFill>
                    <a:blip r:embed="rId60"/>
                    <a:srcRect b="0" l="0" r="0" t="0"/>
                    <a:stretch>
                      <a:fillRect/>
                    </a:stretch>
                  </pic:blipFill>
                  <pic:spPr>
                    <a:xfrm>
                      <a:off x="0" y="0"/>
                      <a:ext cx="723863" cy="253352"/>
                    </a:xfrm>
                    <a:prstGeom prst="rect"/>
                    <a:ln/>
                  </pic:spPr>
                </pic:pic>
              </a:graphicData>
            </a:graphic>
          </wp:inline>
        </w:drawing>
      </w:r>
      <w:r w:rsidDel="00000000" w:rsidR="00000000" w:rsidRPr="00000000">
        <w:rPr>
          <w:rFonts w:ascii="Arial" w:cs="Arial" w:eastAsia="Arial" w:hAnsi="Arial"/>
          <w:color w:val="1f1f1f"/>
          <w:rtl w:val="0"/>
        </w:rPr>
        <w:t xml:space="preserve"> haber metinlerindeki tehdit yoğunluğunu; </w:t>
      </w:r>
      <w:r w:rsidDel="00000000" w:rsidR="00000000" w:rsidRPr="00000000">
        <w:rPr>
          <w:rFonts w:ascii="Arial" w:cs="Arial" w:eastAsia="Arial" w:hAnsi="Arial"/>
          <w:color w:val="1f1f1f"/>
        </w:rPr>
        <w:drawing>
          <wp:inline distB="19050" distT="19050" distL="19050" distR="19050">
            <wp:extent cx="998449" cy="249612"/>
            <wp:effectExtent b="0" l="0" r="0" t="0"/>
            <wp:docPr id="70" name="image70.png"/>
            <a:graphic>
              <a:graphicData uri="http://schemas.openxmlformats.org/drawingml/2006/picture">
                <pic:pic>
                  <pic:nvPicPr>
                    <pic:cNvPr id="0" name="image70.png"/>
                    <pic:cNvPicPr preferRelativeResize="0"/>
                  </pic:nvPicPr>
                  <pic:blipFill>
                    <a:blip r:embed="rId61"/>
                    <a:srcRect b="0" l="0" r="0" t="0"/>
                    <a:stretch>
                      <a:fillRect/>
                    </a:stretch>
                  </pic:blipFill>
                  <pic:spPr>
                    <a:xfrm>
                      <a:off x="0" y="0"/>
                      <a:ext cx="998449" cy="249612"/>
                    </a:xfrm>
                    <a:prstGeom prst="rect"/>
                    <a:ln/>
                  </pic:spPr>
                </pic:pic>
              </a:graphicData>
            </a:graphic>
          </wp:inline>
        </w:drawing>
      </w:r>
      <w:r w:rsidDel="00000000" w:rsidR="00000000" w:rsidRPr="00000000">
        <w:rPr>
          <w:rFonts w:ascii="Arial" w:cs="Arial" w:eastAsia="Arial" w:hAnsi="Arial"/>
          <w:color w:val="1f1f1f"/>
          <w:rtl w:val="0"/>
        </w:rPr>
        <w:t xml:space="preserve"> krizde büzüşen bilişsel doğrulama kapasitesini; </w:t>
      </w:r>
      <w:r w:rsidDel="00000000" w:rsidR="00000000" w:rsidRPr="00000000">
        <w:rPr>
          <w:rFonts w:ascii="Arial" w:cs="Arial" w:eastAsia="Arial" w:hAnsi="Arial"/>
          <w:color w:val="1f1f1f"/>
        </w:rPr>
        <w:drawing>
          <wp:inline distB="19050" distT="19050" distL="19050" distR="19050">
            <wp:extent cx="505085" cy="252543"/>
            <wp:effectExtent b="0" l="0" r="0" t="0"/>
            <wp:docPr id="72"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505085" cy="252543"/>
                    </a:xfrm>
                    <a:prstGeom prst="rect"/>
                    <a:ln/>
                  </pic:spPr>
                </pic:pic>
              </a:graphicData>
            </a:graphic>
          </wp:inline>
        </w:drawing>
      </w:r>
      <w:r w:rsidDel="00000000" w:rsidR="00000000" w:rsidRPr="00000000">
        <w:rPr>
          <w:rFonts w:ascii="Arial" w:cs="Arial" w:eastAsia="Arial" w:hAnsi="Arial"/>
          <w:color w:val="1f1f1f"/>
          <w:rtl w:val="0"/>
        </w:rPr>
        <w:t xml:space="preserve"> tarihsel seçilmiş travmaları simgelemektedir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Paolo Virno donma ve inanç felci operatörü </w:t>
      </w:r>
      <w:r w:rsidDel="00000000" w:rsidR="00000000" w:rsidRPr="00000000">
        <w:rPr>
          <w:rFonts w:ascii="Arial" w:cs="Arial" w:eastAsia="Arial" w:hAnsi="Arial"/>
          <w:color w:val="1f1f1f"/>
        </w:rPr>
        <w:drawing>
          <wp:inline distB="19050" distT="19050" distL="19050" distR="19050">
            <wp:extent cx="941338" cy="250229"/>
            <wp:effectExtent b="0" l="0" r="0" t="0"/>
            <wp:docPr id="74" name="image68.png"/>
            <a:graphic>
              <a:graphicData uri="http://schemas.openxmlformats.org/drawingml/2006/picture">
                <pic:pic>
                  <pic:nvPicPr>
                    <pic:cNvPr id="0" name="image68.png"/>
                    <pic:cNvPicPr preferRelativeResize="0"/>
                  </pic:nvPicPr>
                  <pic:blipFill>
                    <a:blip r:embed="rId63"/>
                    <a:srcRect b="0" l="0" r="0" t="0"/>
                    <a:stretch>
                      <a:fillRect/>
                    </a:stretch>
                  </pic:blipFill>
                  <pic:spPr>
                    <a:xfrm>
                      <a:off x="0" y="0"/>
                      <a:ext cx="941338" cy="250229"/>
                    </a:xfrm>
                    <a:prstGeom prst="rect"/>
                    <a:ln/>
                  </pic:spPr>
                </pic:pic>
              </a:graphicData>
            </a:graphic>
          </wp:inline>
        </w:drawing>
      </w:r>
      <w:r w:rsidDel="00000000" w:rsidR="00000000" w:rsidRPr="00000000">
        <w:rPr>
          <w:rFonts w:ascii="Arial" w:cs="Arial" w:eastAsia="Arial" w:hAnsi="Arial"/>
          <w:color w:val="1f1f1f"/>
          <w:rtl w:val="0"/>
        </w:rPr>
        <w:t xml:space="preserve"> ise amigdala yükü ve aşırı bilgi akışı birleştiğinde toplumun bilişsel olarak hareketsiz kalmasını açıklamaktadır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964643"/>
            <wp:effectExtent b="0" l="0" r="0" t="0"/>
            <wp:docPr id="53"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5905500" cy="96464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denklem sisteminde </w:t>
      </w:r>
      <w:r w:rsidDel="00000000" w:rsidR="00000000" w:rsidRPr="00000000">
        <w:rPr>
          <w:rFonts w:ascii="Arial" w:cs="Arial" w:eastAsia="Arial" w:hAnsi="Arial"/>
          <w:color w:val="1f1f1f"/>
        </w:rPr>
        <w:drawing>
          <wp:inline distB="19050" distT="19050" distL="19050" distR="19050">
            <wp:extent cx="1020213" cy="252053"/>
            <wp:effectExtent b="0" l="0" r="0" t="0"/>
            <wp:docPr id="29"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1020213" cy="252053"/>
                    </a:xfrm>
                    <a:prstGeom prst="rect"/>
                    <a:ln/>
                  </pic:spPr>
                </pic:pic>
              </a:graphicData>
            </a:graphic>
          </wp:inline>
        </w:drawing>
      </w:r>
      <w:r w:rsidDel="00000000" w:rsidR="00000000" w:rsidRPr="00000000">
        <w:rPr>
          <w:rFonts w:ascii="Arial" w:cs="Arial" w:eastAsia="Arial" w:hAnsi="Arial"/>
          <w:color w:val="1f1f1f"/>
          <w:rtl w:val="0"/>
        </w:rPr>
        <w:t xml:space="preserve"> aşıldığında prefrontal kontrol sıfırlanmakta (</w:t>
      </w:r>
      <w:r w:rsidDel="00000000" w:rsidR="00000000" w:rsidRPr="00000000">
        <w:rPr>
          <w:rFonts w:ascii="Arial" w:cs="Arial" w:eastAsia="Arial" w:hAnsi="Arial"/>
          <w:color w:val="1f1f1f"/>
        </w:rPr>
        <w:drawing>
          <wp:inline distB="19050" distT="19050" distL="19050" distR="19050">
            <wp:extent cx="1260758" cy="252152"/>
            <wp:effectExtent b="0" l="0" r="0" t="0"/>
            <wp:docPr id="30"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1260758" cy="252152"/>
                    </a:xfrm>
                    <a:prstGeom prst="rect"/>
                    <a:ln/>
                  </pic:spPr>
                </pic:pic>
              </a:graphicData>
            </a:graphic>
          </wp:inline>
        </w:drawing>
      </w:r>
      <w:r w:rsidDel="00000000" w:rsidR="00000000" w:rsidRPr="00000000">
        <w:rPr>
          <w:rFonts w:ascii="Arial" w:cs="Arial" w:eastAsia="Arial" w:hAnsi="Arial"/>
          <w:color w:val="1f1f1f"/>
          <w:rtl w:val="0"/>
        </w:rPr>
        <w:t xml:space="preserve">) ve toplum rasyonel karar alma kapasitesini yitirerek amigdala gasbına uğramaktadır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Rejim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Duygu Durumu Rejimi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Nöro-Biyolojik Göstergeler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Tipik Medya Söylemi ve Dil Kalıpları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Kitlenin Fiziksel Piyasa Davranışı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Akut Panik / Amigdala Gaspı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873377" cy="214782"/>
                  <wp:effectExtent b="0" l="0" r="0" t="0"/>
                  <wp:docPr id="31"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1873377" cy="21478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"Tarihi çöküş", "Dolar rekor kırdı", "Fren tutmuyor", "Kaos"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Bank-run, döviz bürolarına hücum, un-yağ-şeker panik stoku</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Virno Donması / Gerçeklik İnkârı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168242" cy="214442"/>
                  <wp:effectExtent b="0" l="0" r="0" t="0"/>
                  <wp:docPr id="33"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2168242" cy="21444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"Piyasalar seyrinde", "Beklenmedik dalgalanma", "İzleniyor"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Kredi talebinin donması, harcamaların durması, otoriter sığınağa kaçış</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Yönlendirilmiş Öfke / Günah Keçisi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Anterior Insula </w:t>
            </w:r>
            <w:r w:rsidDel="00000000" w:rsidR="00000000" w:rsidRPr="00000000">
              <w:rPr>
                <w:rFonts w:ascii="Arial" w:cs="Arial" w:eastAsia="Arial" w:hAnsi="Arial"/>
                <w:color w:val="1f1f1f"/>
              </w:rPr>
              <w:drawing>
                <wp:inline distB="19050" distT="19050" distL="19050" distR="19050">
                  <wp:extent cx="929246" cy="214441"/>
                  <wp:effectExtent b="0" l="0" r="0" t="0"/>
                  <wp:docPr id="35"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929246" cy="214441"/>
                          </a:xfrm>
                          <a:prstGeom prst="rect"/>
                          <a:ln/>
                        </pic:spPr>
                      </pic:pic>
                    </a:graphicData>
                  </a:graphic>
                </wp:inline>
              </w:drawing>
            </w:r>
            <w:r w:rsidDel="00000000" w:rsidR="00000000" w:rsidRPr="00000000">
              <w:rPr>
                <w:rFonts w:ascii="Arial" w:cs="Arial" w:eastAsia="Arial" w:hAnsi="Arial"/>
                <w:color w:val="1f1f1f"/>
                <w:rtl w:val="0"/>
              </w:rPr>
              <w:t xml:space="preserve"> yüksek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"Vurguncular", "Stokçular basıldı", "Faiz lobisi", "Hainler"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Marketlere zabıta baskınları, esnafa linç girişimi, şiddet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Öğrenilmiş Çaresizlik / Depresyon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Kronik Kortizol, Dopamin Çöküşü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"Artık bittik", "Düzelmez bu ülke", "Gençler umudu kesti"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Beyin göçü, sermaye kaçışı, kayıt dışı ekonomiye çekilme, apati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Dopaminerjik Kaçış / Sahte Ödül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75839" cy="215168"/>
                  <wp:effectExtent b="0" l="0" r="0" t="0"/>
                  <wp:docPr id="37"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1075839" cy="215168"/>
                          </a:xfrm>
                          <a:prstGeom prst="rect"/>
                          <a:ln/>
                        </pic:spPr>
                      </pic:pic>
                    </a:graphicData>
                  </a:graphic>
                </wp:inline>
              </w:drawing>
            </w:r>
            <w:r w:rsidDel="00000000" w:rsidR="00000000" w:rsidRPr="00000000">
              <w:rPr>
                <w:rFonts w:ascii="Arial" w:cs="Arial" w:eastAsia="Arial" w:hAnsi="Arial"/>
                <w:color w:val="1f1f1f"/>
                <w:rtl w:val="0"/>
              </w:rPr>
              <w:t xml:space="preserve">, Prefrontal baypas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"Müjde: Gaz keşfi", "Borsada rekor kazanç", "Uçuyoruz"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Borsa ve kripto çılgınlığı, kumarhane kapitalizmi, tüketim çılgınlığı</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Rasyonel Prefrontal Denge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873377" cy="214782"/>
                  <wp:effectExtent b="0" l="0" r="0" t="0"/>
                  <wp:docPr id="39" name="image37.png"/>
                  <a:graphic>
                    <a:graphicData uri="http://schemas.openxmlformats.org/drawingml/2006/picture">
                      <pic:pic>
                        <pic:nvPicPr>
                          <pic:cNvPr id="0" name="image37.png"/>
                          <pic:cNvPicPr preferRelativeResize="0"/>
                        </pic:nvPicPr>
                        <pic:blipFill>
                          <a:blip r:embed="rId71"/>
                          <a:srcRect b="0" l="0" r="0" t="0"/>
                          <a:stretch>
                            <a:fillRect/>
                          </a:stretch>
                        </pic:blipFill>
                        <pic:spPr>
                          <a:xfrm>
                            <a:off x="0" y="0"/>
                            <a:ext cx="1873377" cy="21478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"Merkez Bankası faiz kararı", "Cari denge", "Risk primi"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Vadeli hedging, portföy çeşitlendirmesi, rasyonel bütçeleme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Haber metinlerinden çekilen duygu vektörü </w:t>
      </w:r>
      <w:r w:rsidDel="00000000" w:rsidR="00000000" w:rsidRPr="00000000">
        <w:rPr>
          <w:rFonts w:ascii="Arial" w:cs="Arial" w:eastAsia="Arial" w:hAnsi="Arial"/>
          <w:color w:val="1f1f1f"/>
        </w:rPr>
        <w:drawing>
          <wp:inline distB="19050" distT="19050" distL="19050" distR="19050">
            <wp:extent cx="4752270" cy="250119"/>
            <wp:effectExtent b="0" l="0" r="0" t="0"/>
            <wp:docPr id="41" name="image40.png"/>
            <a:graphic>
              <a:graphicData uri="http://schemas.openxmlformats.org/drawingml/2006/picture">
                <pic:pic>
                  <pic:nvPicPr>
                    <pic:cNvPr id="0" name="image40.png"/>
                    <pic:cNvPicPr preferRelativeResize="0"/>
                  </pic:nvPicPr>
                  <pic:blipFill>
                    <a:blip r:embed="rId72"/>
                    <a:srcRect b="0" l="0" r="0" t="0"/>
                    <a:stretch>
                      <a:fillRect/>
                    </a:stretch>
                  </pic:blipFill>
                  <pic:spPr>
                    <a:xfrm>
                      <a:off x="0" y="0"/>
                      <a:ext cx="4752270" cy="250119"/>
                    </a:xfrm>
                    <a:prstGeom prst="rect"/>
                    <a:ln/>
                  </pic:spPr>
                </pic:pic>
              </a:graphicData>
            </a:graphic>
          </wp:inline>
        </w:drawing>
      </w:r>
      <w:r w:rsidDel="00000000" w:rsidR="00000000" w:rsidRPr="00000000">
        <w:rPr>
          <w:rFonts w:ascii="Arial" w:cs="Arial" w:eastAsia="Arial" w:hAnsi="Arial"/>
          <w:color w:val="1f1f1f"/>
          <w:rtl w:val="0"/>
        </w:rPr>
        <w:t xml:space="preserve"> üzerinden birleşik manipülasyon skoru üretilmektedir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Kriz anlarında medyanın reel ekonomik çöküşü gizlemek amacıyla siyasi laf dalaşına ayırdığı süre oranı "Ölü Kedi" katsayısı </w:t>
      </w:r>
      <w:r w:rsidDel="00000000" w:rsidR="00000000" w:rsidRPr="00000000">
        <w:rPr>
          <w:rFonts w:ascii="Arial" w:cs="Arial" w:eastAsia="Arial" w:hAnsi="Arial"/>
          <w:color w:val="1f1f1f"/>
        </w:rPr>
        <w:drawing>
          <wp:inline distB="19050" distT="19050" distL="19050" distR="19050">
            <wp:extent cx="735025" cy="253041"/>
            <wp:effectExtent b="0" l="0" r="0" t="0"/>
            <wp:docPr id="43"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735025" cy="253041"/>
                    </a:xfrm>
                    <a:prstGeom prst="rect"/>
                    <a:ln/>
                  </pic:spPr>
                </pic:pic>
              </a:graphicData>
            </a:graphic>
          </wp:inline>
        </w:drawing>
      </w:r>
      <w:r w:rsidDel="00000000" w:rsidR="00000000" w:rsidRPr="00000000">
        <w:rPr>
          <w:rFonts w:ascii="Arial" w:cs="Arial" w:eastAsia="Arial" w:hAnsi="Arial"/>
          <w:color w:val="1f1f1f"/>
          <w:rtl w:val="0"/>
        </w:rPr>
        <w:t xml:space="preserve"> ile ölçülmektedir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Bu katsayının %60'ı aşması, sistematik gündem saptırma operasyonunun devrede olduğunu kanıtlamaktadır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tepkinin makro düzeydeki mimarisi, Kriz Tepki Endeksi (</w:t>
      </w:r>
      <w:r w:rsidDel="00000000" w:rsidR="00000000" w:rsidRPr="00000000">
        <w:rPr>
          <w:rFonts w:ascii="Arial" w:cs="Arial" w:eastAsia="Arial" w:hAnsi="Arial"/>
          <w:color w:val="1f1f1f"/>
        </w:rPr>
        <w:drawing>
          <wp:inline distB="19050" distT="19050" distL="19050" distR="19050">
            <wp:extent cx="391790" cy="257112"/>
            <wp:effectExtent b="0" l="0" r="0" t="0"/>
            <wp:docPr id="27"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391790" cy="257112"/>
                    </a:xfrm>
                    <a:prstGeom prst="rect"/>
                    <a:ln/>
                  </pic:spPr>
                </pic:pic>
              </a:graphicData>
            </a:graphic>
          </wp:inline>
        </w:drawing>
      </w:r>
      <w:r w:rsidDel="00000000" w:rsidR="00000000" w:rsidRPr="00000000">
        <w:rPr>
          <w:rFonts w:ascii="Arial" w:cs="Arial" w:eastAsia="Arial" w:hAnsi="Arial"/>
          <w:color w:val="1f1f1f"/>
          <w:rtl w:val="0"/>
        </w:rPr>
        <w:t xml:space="preserve">), Kolektif Dayanıklılık (</w:t>
      </w:r>
      <w:r w:rsidDel="00000000" w:rsidR="00000000" w:rsidRPr="00000000">
        <w:rPr>
          <w:rFonts w:ascii="Arial" w:cs="Arial" w:eastAsia="Arial" w:hAnsi="Arial"/>
          <w:color w:val="1f1f1f"/>
        </w:rPr>
        <w:drawing>
          <wp:inline distB="19050" distT="19050" distL="19050" distR="19050">
            <wp:extent cx="410393" cy="253478"/>
            <wp:effectExtent b="0" l="0" r="0" t="0"/>
            <wp:docPr id="28" name="image30.png"/>
            <a:graphic>
              <a:graphicData uri="http://schemas.openxmlformats.org/drawingml/2006/picture">
                <pic:pic>
                  <pic:nvPicPr>
                    <pic:cNvPr id="0" name="image30.png"/>
                    <pic:cNvPicPr preferRelativeResize="0"/>
                  </pic:nvPicPr>
                  <pic:blipFill>
                    <a:blip r:embed="rId75"/>
                    <a:srcRect b="0" l="0" r="0" t="0"/>
                    <a:stretch>
                      <a:fillRect/>
                    </a:stretch>
                  </pic:blipFill>
                  <pic:spPr>
                    <a:xfrm>
                      <a:off x="0" y="0"/>
                      <a:ext cx="410393" cy="253478"/>
                    </a:xfrm>
                    <a:prstGeom prst="rect"/>
                    <a:ln/>
                  </pic:spPr>
                </pic:pic>
              </a:graphicData>
            </a:graphic>
          </wp:inline>
        </w:drawing>
      </w:r>
      <w:r w:rsidDel="00000000" w:rsidR="00000000" w:rsidRPr="00000000">
        <w:rPr>
          <w:rFonts w:ascii="Arial" w:cs="Arial" w:eastAsia="Arial" w:hAnsi="Arial"/>
          <w:color w:val="1f1f1f"/>
          <w:rtl w:val="0"/>
        </w:rPr>
        <w:t xml:space="preserve">) ve Gecikmiş Uyum Endeksi (</w:t>
      </w:r>
      <w:r w:rsidDel="00000000" w:rsidR="00000000" w:rsidRPr="00000000">
        <w:rPr>
          <w:rFonts w:ascii="Arial" w:cs="Arial" w:eastAsia="Arial" w:hAnsi="Arial"/>
          <w:color w:val="1f1f1f"/>
        </w:rPr>
        <w:drawing>
          <wp:inline distB="19050" distT="19050" distL="19050" distR="19050">
            <wp:extent cx="422114" cy="253268"/>
            <wp:effectExtent b="0" l="0" r="0" t="0"/>
            <wp:docPr id="11"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422114" cy="253268"/>
                    </a:xfrm>
                    <a:prstGeom prst="rect"/>
                    <a:ln/>
                  </pic:spPr>
                </pic:pic>
              </a:graphicData>
            </a:graphic>
          </wp:inline>
        </w:drawing>
      </w:r>
      <w:r w:rsidDel="00000000" w:rsidR="00000000" w:rsidRPr="00000000">
        <w:rPr>
          <w:rFonts w:ascii="Arial" w:cs="Arial" w:eastAsia="Arial" w:hAnsi="Arial"/>
          <w:color w:val="1f1f1f"/>
          <w:rtl w:val="0"/>
        </w:rPr>
        <w:t xml:space="preserve">) ile ölçülmektedir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12"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9365"/>
            <wp:effectExtent b="0" l="0" r="0" t="0"/>
            <wp:docPr id="14" name="image1.png"/>
            <a:graphic>
              <a:graphicData uri="http://schemas.openxmlformats.org/drawingml/2006/picture">
                <pic:pic>
                  <pic:nvPicPr>
                    <pic:cNvPr id="0" name="image1.png"/>
                    <pic:cNvPicPr preferRelativeResize="0"/>
                  </pic:nvPicPr>
                  <pic:blipFill>
                    <a:blip r:embed="rId78"/>
                    <a:srcRect b="0" l="0" r="0" t="0"/>
                    <a:stretch>
                      <a:fillRect/>
                    </a:stretch>
                  </pic:blipFill>
                  <pic:spPr>
                    <a:xfrm>
                      <a:off x="0" y="0"/>
                      <a:ext cx="5905500" cy="72936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47004"/>
            <wp:effectExtent b="0" l="0" r="0" t="0"/>
            <wp:docPr id="16"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905500" cy="84700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krizlerden çıkış, tek bir para politikası aracıyla mümkün değildir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Bu bağlamda sistem, 3 kulvarlı bir stratejik çözüm mimarisi öngörmektedir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Birinci Kulvar (Piyasa ve Sermaye Kalkanı):</w:t>
      </w:r>
      <w:r w:rsidDel="00000000" w:rsidR="00000000" w:rsidRPr="00000000">
        <w:rPr>
          <w:rFonts w:ascii="Arial" w:cs="Arial" w:eastAsia="Arial" w:hAnsi="Arial"/>
          <w:color w:val="1f1f1f"/>
          <w:rtl w:val="0"/>
        </w:rPr>
        <w:t xml:space="preserve"> Portföyün hisse senetlerinden nakit ve korumalı varlıklara geçirilmesi; altın ve döviz arbitrajıyla sermaye tabanının korunması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İkinci Kulvar (Bireysel ve Kognitif Direnç Zırhı):</w:t>
      </w:r>
      <w:r w:rsidDel="00000000" w:rsidR="00000000" w:rsidRPr="00000000">
        <w:rPr>
          <w:rFonts w:ascii="Arial" w:cs="Arial" w:eastAsia="Arial" w:hAnsi="Arial"/>
          <w:color w:val="1f1f1f"/>
          <w:rtl w:val="0"/>
        </w:rPr>
        <w:t xml:space="preserve"> Hanehalkının borçsuzlaştırılması, 6 aylık acil likidite tamponu oluşturulması; enformasyon kirliliğine karşı eleştirel düşünce yapısının kurulması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Üçüncü Kulvar (Mezo Şirket ve Makro Devlet Masası):</w:t>
      </w:r>
      <w:r w:rsidDel="00000000" w:rsidR="00000000" w:rsidRPr="00000000">
        <w:rPr>
          <w:rFonts w:ascii="Arial" w:cs="Arial" w:eastAsia="Arial" w:hAnsi="Arial"/>
          <w:color w:val="1f1f1f"/>
          <w:rtl w:val="0"/>
        </w:rPr>
        <w:t xml:space="preserve"> Şirketlerin işletme sermayesini döviz riskinden koruması; devlet düzeyinde ise bağımsız yargı ve hukukun üstünlüğünün iadesi (maliyetsiz 200 baz puan CDS düşüşü), dolaylı vergilerden rant ve servet vergisine geçiş, tarımsal gıda egemenliğinin tahsisi ve eğitimin ideolojiden arındırılarak analitik STEM temeline bağlanması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Daubert Tier-1 Adli Kriz Atlası ve Red Team Denetimi</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kriz motoru, Amerikan federal mahkemelerinde bilimsel delil kabul edilebilirliğini belirleyen Daubert Tier-1 adli standardına uygun olarak denetlenmiştir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Modelin ürettiği her tespit, alternatif hipotezlerin zorunlu olarak test edildiği Red Team falsifikasyon süzgecinden geçirilmiştir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denetim günlüğünde yer alan temel adli metrikler şu şekildedir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Toplanmış Core-20 Gözlem Sayısı: 29.938 adet (IMF IFS, TCMB, Dünya Bankası birincil sunucuları)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Rejim Noktaları (Robust-Z &amp; MAD): 24.292 adet point-in-time rejim sınıflandırması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Kriz Adayı Tespiti (Candidates): 188 dönem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Doğrulanan Kanonik Model Epizodu: Literatürle ve bağımsız veritabanlarıyla tam eşleşen 35 kriz epizodu</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Filtrelenen Sahte Alarm (Transient Breach): Yalnızca tekil ayda sıçrayıp kalıcı mekanizmaya dönüşmeyen 3 vaka (BRA 2015 mali şoku, GBR 2022 mini-bütçe türbülansı, IND 2012 likidite iğnesi)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Look-Ahead / Nedensellik İhlali: %100 point-in-time izolasyonu ile 0 adet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Sentetik Veri İhlali: Sıfır tolerans protokolü kapsamında 0 adet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Üretilen Adli Rapor Dosyası: 40 adet bağımsız ülke denetim belgesi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Daubert Tier-1 denetiminden geçmiş ve doğrulanmış 35 kanonik kriz epizodunun resmi dökümünü içermektedir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Ülke Kodu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Kriz Epizot Kodu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Şiddet Derecesi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Başlangıç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Zirve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Çözülme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Süre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Tetiklenen Baskın Mekanizma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Zirve Skoru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BRA-FX-1999-001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BRA-ELEC-2001-002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2002-02-28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ENERGY_INPUT_BOTTLENECK</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BRA-FX-2002-003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2002-06-30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2002-09-30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SOVEREIGN_REFINANCING_STRESS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BRA-REC-2015-004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2014-12-31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FISCAL_CASHFLOW_AND_HIDDEN_LIABILITY</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BRA-FX-2020-001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CAN-HOUS-2008-001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FRA-GFC-2008-001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FRA-COVID-2020-002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2020-02-29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COMPOUND_SYSTEMIC_STRESS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GBR-FX-2008-001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7.78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GBR-FX-2016-002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2017-03-31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GBR-COVID-2020-003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COMPOUND_SYSTEMIC_STRESS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GRC-SOV-2010-001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486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SOVEREIGN_REFINANCING_STRESS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GRC-DEBT-2012-002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458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SOVEREIGN_REFINANCING_STRESS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GRC-BANK-2015-003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IDN-ASIA-1997-001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1998-01-31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608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IDN-GFC-2008-002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IDN-FX-2020-003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IND-TAPER-2013-001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IND-CORP-2020-002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2020-01-31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CORPORATE_CASHFLOW_STRESS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ITA-SOV-2011-001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2012-07-31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397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SOVEREIGN_REFINANCING_STRESS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JPN-BANK-1997-001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1998-03-31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577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KOR-ASIA-1997-001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1998-08-31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KOR-GFC-2008-002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MEX-TEQUILA-1996-001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1995-12-31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1996-10-31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MEX-GFC-2008-002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EXPORT_COMPETITIVENESS_SHOCK</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MEX-PEMEX-2016-003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2016-09-30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FISCAL_CASHFLOW_AND_HIDDEN_LIABILITY</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TUR-BANK-1999-001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1999-12-31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TUR-DEVAL-2001-002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335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FX_EXTERNAL_FINANCING_STRESS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TUR-GFC-2008-003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2008-09-30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CORPORATE_CASHFLOW_AND_REAL_ACTIVITY</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TUR-FX-2018-001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183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TUR-FX-2021-002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2021-12-31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121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FX_DEBT_VULNERABILITY</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USA-DOTCOM-2000-001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2001-03-31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2002-10-31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944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MALINVESTMENT_CAPACITY_BUBBLE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USA-SUBPRIME-2008-002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2007-08-31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2008-10-31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2009-06-30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669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BANKING_LIQUIDITY_SOLVENCY_STRESS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USA-COVID-2020-003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2020-02-29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2020-04-30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122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COMPOUND_SYSTEMIC_STRESS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ZAF-ENERGY-2022-001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2022-06-30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2023-05-31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2023-11-30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518 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ENERGY_INPUT_BOTTLENECK</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4.67</w:t>
            </w:r>
          </w:p>
        </w:tc>
      </w:tr>
    </w:tbl>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Adli denetim sürecinde, sistemden 69 yapay tetik ve zirve günü temizlenmiştir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Aylık ve çeyreklik seriler için yapay olarak uydurulmuş gün değerleri (örneğin ay ortasına rastgele atanan "15" sayısı eklemeleri) bütünüyle iptal edilmiş; verinin gerçek frekansı korunarak kanonik zaman damgalarına çekilmiştir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Aynı şekilde, medya taraması yapılmamış kurgusal "gündem işgal oranı" iddiaları rapordan ayıklanarak yerine ampirik doğrulama gereksinimleri yerleştirilmiştir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Sistemik Entegrasyon ve Sonuç</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Elde edilen ampirik bulgular, ekonomik krizlerin izole parasal hadiseler olmadığını; lojistik akışlardan nörobiyolojik hormon salınımlarına kadar uzanan çok katmanlı bir sistemik entropi zinciri olduğunu göstermektedir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İkinci ve üçüncü dereceden nedensellik ilişkileri analiz edildiğinde üç temel yapısal çıkarım öne çıkmaktadır:</w:t>
      </w:r>
    </w:p>
    <w:p w:rsidR="00000000" w:rsidDel="00000000" w:rsidP="00000000" w:rsidRDefault="00000000" w:rsidRPr="00000000" w14:paraId="000002A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Fiziksel ve Parasal Ayrışma:</w:t>
      </w:r>
      <w:r w:rsidDel="00000000" w:rsidR="00000000" w:rsidRPr="00000000">
        <w:rPr>
          <w:rFonts w:ascii="Arial" w:cs="Arial" w:eastAsia="Arial" w:hAnsi="Arial"/>
          <w:color w:val="1f1f1f"/>
          <w:rtl w:val="0"/>
        </w:rPr>
        <w:t xml:space="preserve"> Merkez bankaları faiz ve swap mekanizmalarıyla piyasayı regüle ettiğini iddia etse bile, Soddy sanal servet makasının (</w:t>
      </w:r>
      <w:r w:rsidDel="00000000" w:rsidR="00000000" w:rsidRPr="00000000">
        <w:rPr>
          <w:rFonts w:ascii="Arial" w:cs="Arial" w:eastAsia="Arial" w:hAnsi="Arial"/>
          <w:color w:val="1f1f1f"/>
        </w:rPr>
        <w:drawing>
          <wp:inline distB="19050" distT="19050" distL="19050" distR="19050">
            <wp:extent cx="341747" cy="25631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1747" cy="256310"/>
                    </a:xfrm>
                    <a:prstGeom prst="rect"/>
                    <a:ln/>
                  </pic:spPr>
                </pic:pic>
              </a:graphicData>
            </a:graphic>
          </wp:inline>
        </w:drawing>
      </w:r>
      <w:r w:rsidDel="00000000" w:rsidR="00000000" w:rsidRPr="00000000">
        <w:rPr>
          <w:rFonts w:ascii="Arial" w:cs="Arial" w:eastAsia="Arial" w:hAnsi="Arial"/>
          <w:color w:val="1f1f1f"/>
          <w:rtl w:val="0"/>
        </w:rPr>
        <w:t xml:space="preserve">) patlaması ve hava kargo ton-kilometre verilerindeki daralma, parasal genişlemenin fiziksel reel tabandan koptuğunu ve kaçınılmaz bir düzeltme evresine girildiğini kanıtlamaktadır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Nöro-Endokrin Toplumsal Felç:</w:t>
      </w:r>
      <w:r w:rsidDel="00000000" w:rsidR="00000000" w:rsidRPr="00000000">
        <w:rPr>
          <w:rFonts w:ascii="Arial" w:cs="Arial" w:eastAsia="Arial" w:hAnsi="Arial"/>
          <w:color w:val="1f1f1f"/>
          <w:rtl w:val="0"/>
        </w:rPr>
        <w:t xml:space="preserve"> Kronik allostatik stres, kitlelerin prefrontal korteks fonksiyonlarını aşındırarak ekonomik kriz sinyallerine karşı proaktif savunma geliştirmesini engellemekte; toplumları reaktif paniğe veya dogmatik inkâra sürüklemektedir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Bu durum, medyanın uyguladığı dilsel mühendislik ve sahte gündem operasyonlarının (</w:t>
      </w:r>
      <w:r w:rsidDel="00000000" w:rsidR="00000000" w:rsidRPr="00000000">
        <w:rPr>
          <w:rFonts w:ascii="Arial" w:cs="Arial" w:eastAsia="Arial" w:hAnsi="Arial"/>
          <w:color w:val="1f1f1f"/>
        </w:rPr>
        <w:drawing>
          <wp:inline distB="19050" distT="19050" distL="19050" distR="19050">
            <wp:extent cx="735025" cy="253041"/>
            <wp:effectExtent b="0" l="0" r="0" t="0"/>
            <wp:docPr id="20"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735025" cy="253041"/>
                    </a:xfrm>
                    <a:prstGeom prst="rect"/>
                    <a:ln/>
                  </pic:spPr>
                </pic:pic>
              </a:graphicData>
            </a:graphic>
          </wp:inline>
        </w:drawing>
      </w:r>
      <w:r w:rsidDel="00000000" w:rsidR="00000000" w:rsidRPr="00000000">
        <w:rPr>
          <w:rFonts w:ascii="Arial" w:cs="Arial" w:eastAsia="Arial" w:hAnsi="Arial"/>
          <w:color w:val="1f1f1f"/>
          <w:rtl w:val="0"/>
        </w:rPr>
        <w:t xml:space="preserve">) kriz yönetiminde neden birincil araç olarak kullanıldığını açıklamaktadır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Adli Falsifikasyon Zorunluluğu:</w:t>
      </w:r>
      <w:r w:rsidDel="00000000" w:rsidR="00000000" w:rsidRPr="00000000">
        <w:rPr>
          <w:rFonts w:ascii="Arial" w:cs="Arial" w:eastAsia="Arial" w:hAnsi="Arial"/>
          <w:color w:val="1f1f1f"/>
          <w:rtl w:val="0"/>
        </w:rPr>
        <w:t xml:space="preserve"> T2SAIM mimarisi, hiçbir teorik iddiayı tek bir göstergenin ihlaline dayandırmamaktadır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Bir olgunun kriz epizodu olarak mühürlenebilmesi için bağımsız kaynaklardan gelen fiziksel lojistik daralma, bilanço stresi ve toplumsal çürüme izlerinin eşzamanlı olarak doğrulanması esastır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Platform, "gözlenemeyen durum normal demek değildir" ilkesiyle hareket etmekte; doğrulanmamış veri alanlarını boş bırakarak küresel erken uyarı disiplininde manipülasyondan arındırılmış bilimsel bir referans standardı oluşturmaktadır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A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2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01_T2SAIM_CORE20_ANAYASAL_VERI_AMBARI_VE_DENETIM.md</w:t>
      </w:r>
    </w:p>
    <w:p w:rsidR="00000000" w:rsidDel="00000000" w:rsidP="00000000" w:rsidRDefault="00000000" w:rsidRPr="00000000" w14:paraId="000002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06_T2SAIM_SEKTOR_YAPISAL_URETIM_VE_TERMODINAMIK.md</w:t>
      </w:r>
    </w:p>
    <w:p w:rsidR="00000000" w:rsidDel="00000000" w:rsidP="00000000" w:rsidRDefault="00000000" w:rsidRPr="00000000" w14:paraId="000002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04_T2SAIM_SEKTOR_PIYASALAR_VE_KREDI_AKISI.md</w:t>
      </w:r>
    </w:p>
    <w:p w:rsidR="00000000" w:rsidDel="00000000" w:rsidP="00000000" w:rsidRDefault="00000000" w:rsidRPr="00000000" w14:paraId="000002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03_T2SAIM_SEKTOR_MALIYE_VE_KAMU_BORCU.md</w:t>
      </w:r>
    </w:p>
    <w:p w:rsidR="00000000" w:rsidDel="00000000" w:rsidP="00000000" w:rsidRDefault="00000000" w:rsidRPr="00000000" w14:paraId="000002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10_T2SAIM_MOTOR_TIPOLOJI_TAKSONOMI_VE_KRiZ_ATLASI.md</w:t>
      </w:r>
    </w:p>
    <w:p w:rsidR="00000000" w:rsidDel="00000000" w:rsidP="00000000" w:rsidRDefault="00000000" w:rsidRPr="00000000" w14:paraId="000002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08_T2SAIM_TEMATIK_KRONOLOJI_AMIGDALA_VE_KOGNITIF_HARP.md</w:t>
      </w:r>
    </w:p>
    <w:p w:rsidR="00000000" w:rsidDel="00000000" w:rsidP="00000000" w:rsidRDefault="00000000" w:rsidRPr="00000000" w14:paraId="000002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07_T2SAIM_TEMATIK_TOPLUMSAL_CURUME_VE_KULTUREL_GIRDILER.md</w:t>
      </w:r>
    </w:p>
    <w:p w:rsidR="00000000" w:rsidDel="00000000" w:rsidP="00000000" w:rsidRDefault="00000000" w:rsidRPr="00000000" w14:paraId="000002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09_T2SAIM_TEMATIK_PRAXIS_VE_INSAN_TEPKISI.md</w:t>
      </w:r>
    </w:p>
    <w:p w:rsidR="00000000" w:rsidDel="00000000" w:rsidP="00000000" w:rsidRDefault="00000000" w:rsidRPr="00000000" w14:paraId="000002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05_T2SAIM_SEKTOR_ULASTIRMA_VE_FIZIKSEL_LOJISTIK.md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3.png"/><Relationship Id="rId41" Type="http://schemas.openxmlformats.org/officeDocument/2006/relationships/image" Target="media/image26.png"/><Relationship Id="rId44" Type="http://schemas.openxmlformats.org/officeDocument/2006/relationships/image" Target="media/image4.png"/><Relationship Id="rId43" Type="http://schemas.openxmlformats.org/officeDocument/2006/relationships/image" Target="media/image24.png"/><Relationship Id="rId46" Type="http://schemas.openxmlformats.org/officeDocument/2006/relationships/image" Target="media/image13.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12.png"/><Relationship Id="rId47" Type="http://schemas.openxmlformats.org/officeDocument/2006/relationships/image" Target="media/image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52.png"/><Relationship Id="rId8" Type="http://schemas.openxmlformats.org/officeDocument/2006/relationships/image" Target="media/image74.png"/><Relationship Id="rId73" Type="http://schemas.openxmlformats.org/officeDocument/2006/relationships/image" Target="media/image5.png"/><Relationship Id="rId72" Type="http://schemas.openxmlformats.org/officeDocument/2006/relationships/image" Target="media/image40.png"/><Relationship Id="rId31" Type="http://schemas.openxmlformats.org/officeDocument/2006/relationships/image" Target="media/image42.png"/><Relationship Id="rId75" Type="http://schemas.openxmlformats.org/officeDocument/2006/relationships/image" Target="media/image30.png"/><Relationship Id="rId30" Type="http://schemas.openxmlformats.org/officeDocument/2006/relationships/image" Target="media/image43.png"/><Relationship Id="rId74" Type="http://schemas.openxmlformats.org/officeDocument/2006/relationships/image" Target="media/image35.png"/><Relationship Id="rId33" Type="http://schemas.openxmlformats.org/officeDocument/2006/relationships/image" Target="media/image44.png"/><Relationship Id="rId77" Type="http://schemas.openxmlformats.org/officeDocument/2006/relationships/image" Target="media/image11.png"/><Relationship Id="rId32" Type="http://schemas.openxmlformats.org/officeDocument/2006/relationships/image" Target="media/image41.png"/><Relationship Id="rId76" Type="http://schemas.openxmlformats.org/officeDocument/2006/relationships/image" Target="media/image6.png"/><Relationship Id="rId35" Type="http://schemas.openxmlformats.org/officeDocument/2006/relationships/image" Target="media/image15.png"/><Relationship Id="rId79" Type="http://schemas.openxmlformats.org/officeDocument/2006/relationships/image" Target="media/image19.png"/><Relationship Id="rId34" Type="http://schemas.openxmlformats.org/officeDocument/2006/relationships/image" Target="media/image46.png"/><Relationship Id="rId78" Type="http://schemas.openxmlformats.org/officeDocument/2006/relationships/image" Target="media/image1.png"/><Relationship Id="rId71" Type="http://schemas.openxmlformats.org/officeDocument/2006/relationships/image" Target="media/image37.png"/><Relationship Id="rId70" Type="http://schemas.openxmlformats.org/officeDocument/2006/relationships/image" Target="media/image39.png"/><Relationship Id="rId37" Type="http://schemas.openxmlformats.org/officeDocument/2006/relationships/image" Target="media/image8.png"/><Relationship Id="rId36" Type="http://schemas.openxmlformats.org/officeDocument/2006/relationships/image" Target="media/image16.png"/><Relationship Id="rId39" Type="http://schemas.openxmlformats.org/officeDocument/2006/relationships/image" Target="media/image28.png"/><Relationship Id="rId38" Type="http://schemas.openxmlformats.org/officeDocument/2006/relationships/image" Target="media/image14.png"/><Relationship Id="rId62" Type="http://schemas.openxmlformats.org/officeDocument/2006/relationships/image" Target="media/image67.png"/><Relationship Id="rId61" Type="http://schemas.openxmlformats.org/officeDocument/2006/relationships/image" Target="media/image70.png"/><Relationship Id="rId20" Type="http://schemas.openxmlformats.org/officeDocument/2006/relationships/image" Target="media/image65.png"/><Relationship Id="rId64" Type="http://schemas.openxmlformats.org/officeDocument/2006/relationships/image" Target="media/image50.png"/><Relationship Id="rId63" Type="http://schemas.openxmlformats.org/officeDocument/2006/relationships/image" Target="media/image68.png"/><Relationship Id="rId22" Type="http://schemas.openxmlformats.org/officeDocument/2006/relationships/image" Target="media/image69.png"/><Relationship Id="rId66" Type="http://schemas.openxmlformats.org/officeDocument/2006/relationships/image" Target="media/image38.png"/><Relationship Id="rId21" Type="http://schemas.openxmlformats.org/officeDocument/2006/relationships/image" Target="media/image10.png"/><Relationship Id="rId65" Type="http://schemas.openxmlformats.org/officeDocument/2006/relationships/image" Target="media/image31.png"/><Relationship Id="rId24" Type="http://schemas.openxmlformats.org/officeDocument/2006/relationships/image" Target="media/image72.png"/><Relationship Id="rId68" Type="http://schemas.openxmlformats.org/officeDocument/2006/relationships/image" Target="media/image33.png"/><Relationship Id="rId23" Type="http://schemas.openxmlformats.org/officeDocument/2006/relationships/image" Target="media/image71.png"/><Relationship Id="rId67" Type="http://schemas.openxmlformats.org/officeDocument/2006/relationships/image" Target="media/image32.png"/><Relationship Id="rId60" Type="http://schemas.openxmlformats.org/officeDocument/2006/relationships/image" Target="media/image73.png"/><Relationship Id="rId26" Type="http://schemas.openxmlformats.org/officeDocument/2006/relationships/image" Target="media/image25.png"/><Relationship Id="rId25" Type="http://schemas.openxmlformats.org/officeDocument/2006/relationships/image" Target="media/image22.png"/><Relationship Id="rId69" Type="http://schemas.openxmlformats.org/officeDocument/2006/relationships/image" Target="media/image29.png"/><Relationship Id="rId28" Type="http://schemas.openxmlformats.org/officeDocument/2006/relationships/image" Target="media/image34.png"/><Relationship Id="rId27" Type="http://schemas.openxmlformats.org/officeDocument/2006/relationships/image" Target="media/image36.png"/><Relationship Id="rId29" Type="http://schemas.openxmlformats.org/officeDocument/2006/relationships/image" Target="media/image27.png"/><Relationship Id="rId51" Type="http://schemas.openxmlformats.org/officeDocument/2006/relationships/image" Target="media/image18.png"/><Relationship Id="rId50" Type="http://schemas.openxmlformats.org/officeDocument/2006/relationships/image" Target="media/image20.png"/><Relationship Id="rId53" Type="http://schemas.openxmlformats.org/officeDocument/2006/relationships/image" Target="media/image7.png"/><Relationship Id="rId52" Type="http://schemas.openxmlformats.org/officeDocument/2006/relationships/image" Target="media/image9.png"/><Relationship Id="rId11" Type="http://schemas.openxmlformats.org/officeDocument/2006/relationships/image" Target="media/image48.png"/><Relationship Id="rId55" Type="http://schemas.openxmlformats.org/officeDocument/2006/relationships/image" Target="media/image47.png"/><Relationship Id="rId10" Type="http://schemas.openxmlformats.org/officeDocument/2006/relationships/image" Target="media/image45.png"/><Relationship Id="rId54" Type="http://schemas.openxmlformats.org/officeDocument/2006/relationships/image" Target="media/image49.png"/><Relationship Id="rId13" Type="http://schemas.openxmlformats.org/officeDocument/2006/relationships/image" Target="media/image55.png"/><Relationship Id="rId57" Type="http://schemas.openxmlformats.org/officeDocument/2006/relationships/image" Target="media/image51.png"/><Relationship Id="rId12" Type="http://schemas.openxmlformats.org/officeDocument/2006/relationships/image" Target="media/image54.png"/><Relationship Id="rId56" Type="http://schemas.openxmlformats.org/officeDocument/2006/relationships/image" Target="media/image56.png"/><Relationship Id="rId15" Type="http://schemas.openxmlformats.org/officeDocument/2006/relationships/image" Target="media/image63.png"/><Relationship Id="rId59" Type="http://schemas.openxmlformats.org/officeDocument/2006/relationships/image" Target="media/image62.png"/><Relationship Id="rId14" Type="http://schemas.openxmlformats.org/officeDocument/2006/relationships/image" Target="media/image59.png"/><Relationship Id="rId58" Type="http://schemas.openxmlformats.org/officeDocument/2006/relationships/image" Target="media/image60.png"/><Relationship Id="rId17" Type="http://schemas.openxmlformats.org/officeDocument/2006/relationships/image" Target="media/image61.png"/><Relationship Id="rId16" Type="http://schemas.openxmlformats.org/officeDocument/2006/relationships/image" Target="media/image58.png"/><Relationship Id="rId19" Type="http://schemas.openxmlformats.org/officeDocument/2006/relationships/image" Target="media/image66.png"/><Relationship Id="rId18"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