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GEMINI DEEP RESEARCH GÖREV EMRİ: T2SAIM CORE-20 EGEMEN ÜLKE BİRLEŞİK ADLİ KRİZ VE PİYASA MİKROYAPISI GÖZLEMEVİ (1996–2026)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Mühür:</w:t>
      </w:r>
      <w:r w:rsidDel="00000000" w:rsidR="00000000" w:rsidRPr="00000000">
        <w:rPr>
          <w:rFonts w:ascii="Arial" w:cs="Arial" w:eastAsia="Arial" w:hAnsi="Arial"/>
          <w:color w:val="1f1f1f"/>
          <w:rtl w:val="0"/>
        </w:rPr>
        <w:t xml:space="preserve"> VERITAS PER SE (Yalnızca Hakikat) </w:t>
      </w:r>
      <w:r w:rsidDel="00000000" w:rsidR="00000000" w:rsidRPr="00000000">
        <w:rPr>
          <w:rFonts w:ascii="Arial" w:cs="Arial" w:eastAsia="Arial" w:hAnsi="Arial"/>
          <w:b w:val="1"/>
          <w:bCs w:val="1"/>
          <w:color w:val="1f1f1f"/>
          <w:rtl w:val="0"/>
        </w:rPr>
        <w:t xml:space="preserve">Adli Kanıt Standardı:</w:t>
      </w:r>
      <w:r w:rsidDel="00000000" w:rsidR="00000000" w:rsidRPr="00000000">
        <w:rPr>
          <w:rFonts w:ascii="Arial" w:cs="Arial" w:eastAsia="Arial" w:hAnsi="Arial"/>
          <w:color w:val="1f1f1f"/>
          <w:rtl w:val="0"/>
        </w:rPr>
        <w:t xml:space="preserve"> Daubert Tier-1 Standardı </w:t>
      </w:r>
      <w:r w:rsidDel="00000000" w:rsidR="00000000" w:rsidRPr="00000000">
        <w:rPr>
          <w:rFonts w:ascii="Arial" w:cs="Arial" w:eastAsia="Arial" w:hAnsi="Arial"/>
          <w:b w:val="1"/>
          <w:bCs w:val="1"/>
          <w:color w:val="1f1f1f"/>
          <w:rtl w:val="0"/>
        </w:rPr>
        <w:t xml:space="preserve">Kapsam:</w:t>
      </w:r>
      <w:r w:rsidDel="00000000" w:rsidR="00000000" w:rsidRPr="00000000">
        <w:rPr>
          <w:rFonts w:ascii="Arial" w:cs="Arial" w:eastAsia="Arial" w:hAnsi="Arial"/>
          <w:color w:val="1f1f1f"/>
          <w:rtl w:val="0"/>
        </w:rPr>
        <w:t xml:space="preserve"> 20 Kanonik Egemen Ülke (TUR, USA, GBR, DEU, FRA, ITA, ESP, GRC, NLD, CHE, NOR, JPN, KOR, IND, IDN, BRA, MEX, ZAF, CAN, AUS)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Makroekonomik istikrar, politik aktörlerin beyanatlarıyla değil, termodinamik enerji limitleri (EROEI), merkez bankası bilançolarının net fiziksel varlıkları ve piyasa mikroyapısının (Limit Order Book) matematiksel esnekliği ile ölçülür. Bu adli rapor; finansal krizlerin dışsal ve öngörülemez şoklar olduğu yönündeki yerleşik neoklasik iktisat illüzyonunu reddetmekte, 20 kanonik ülkenin kriz anatomisini fizik kuralları, ağ teorisi (Network Theory) ve ekonofizik algoritmaları çerçevesinde incelemektedir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Kullanılan temel analiz çerçevesi; piyasa likiditesini mikro düzeyde ölçen Kyle's Lambda (</w:t>
      </w:r>
      <w:r w:rsidDel="00000000" w:rsidR="00000000" w:rsidRPr="00000000">
        <w:rPr>
          <w:rFonts w:ascii="Arial" w:cs="Arial" w:eastAsia="Arial" w:hAnsi="Arial"/>
          <w:color w:val="1f1f1f"/>
        </w:rPr>
        <w:drawing>
          <wp:inline distB="19050" distT="19050" distL="19050" distR="19050">
            <wp:extent cx="100906" cy="210985"/>
            <wp:effectExtent b="0" l="0" r="0" t="0"/>
            <wp:docPr id="39"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0906" cy="210985"/>
                    </a:xfrm>
                    <a:prstGeom prst="rect"/>
                    <a:ln/>
                  </pic:spPr>
                </pic:pic>
              </a:graphicData>
            </a:graphic>
          </wp:inline>
        </w:drawing>
      </w:r>
      <w:r w:rsidDel="00000000" w:rsidR="00000000" w:rsidRPr="00000000">
        <w:rPr>
          <w:rFonts w:ascii="Arial" w:cs="Arial" w:eastAsia="Arial" w:hAnsi="Arial"/>
          <w:color w:val="1f1f1f"/>
          <w:rtl w:val="0"/>
        </w:rPr>
        <w:t xml:space="preserve">) denklemleri</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bankacılık iflas dalgalarını makro düzeyde modelleyen Battiston DebtRank (</w:t>
      </w:r>
      <w:r w:rsidDel="00000000" w:rsidR="00000000" w:rsidRPr="00000000">
        <w:rPr>
          <w:rFonts w:ascii="Arial" w:cs="Arial" w:eastAsia="Arial" w:hAnsi="Arial"/>
          <w:color w:val="1f1f1f"/>
        </w:rPr>
        <w:drawing>
          <wp:inline distB="19050" distT="19050" distL="19050" distR="19050">
            <wp:extent cx="205830" cy="243253"/>
            <wp:effectExtent b="0" l="0" r="0" t="0"/>
            <wp:docPr id="41"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05830" cy="243253"/>
                    </a:xfrm>
                    <a:prstGeom prst="rect"/>
                    <a:ln/>
                  </pic:spPr>
                </pic:pic>
              </a:graphicData>
            </a:graphic>
          </wp:inline>
        </w:drawing>
      </w:r>
      <w:r w:rsidDel="00000000" w:rsidR="00000000" w:rsidRPr="00000000">
        <w:rPr>
          <w:rFonts w:ascii="Arial" w:cs="Arial" w:eastAsia="Arial" w:hAnsi="Arial"/>
          <w:color w:val="1f1f1f"/>
          <w:rtl w:val="0"/>
        </w:rPr>
        <w:t xml:space="preserve">) algoritması</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ve Frederick Soddy'nin fiziksel zenginlik ile sanal borç (M2) arasındaki termodinamik uçurumu gösteren kuramlarıdır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Aşağıdaki tüm bulgular, sıfır sentetik veri kuralına sadık kalınarak Daubert Tier-1 standardında doğrulanmış birincil kanıtlara dayanmaktadır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1: 20 ÜLKE ÇAPRAZ MATRİSİ VE MASTER UCI RİSK RADARI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Geleneksel derecelendirme kuruluşlarının (Moody's, Fitch, S&amp;P) reaktif kredi notları, krizleri oluştuktan sonra fiyatlayan gecikmeli (lagging) göstergelerdir. T2SAIM (Termodinamik ve Toplumsal Asimetrik İstihbarat Modeli) sistematiği ise egemen riskleri altı eksenli bir fiziksel stres radarı üzerinden öncü (leading) olarak hesaplar: Dış kırılganlık ve rezerv riski, bankacılık kaldıraç riski, mali bütçe riski, bilişsel yük/siyasi manipülasyon (</w:t>
      </w:r>
      <w:r w:rsidDel="00000000" w:rsidR="00000000" w:rsidRPr="00000000">
        <w:rPr>
          <w:rFonts w:ascii="Arial" w:cs="Arial" w:eastAsia="Arial" w:hAnsi="Arial"/>
          <w:color w:val="1f1f1f"/>
        </w:rPr>
        <w:drawing>
          <wp:inline distB="19050" distT="19050" distL="19050" distR="19050">
            <wp:extent cx="578644" cy="246635"/>
            <wp:effectExtent b="0" l="0" r="0" t="0"/>
            <wp:docPr id="40"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578644" cy="246635"/>
                    </a:xfrm>
                    <a:prstGeom prst="rect"/>
                    <a:ln/>
                  </pic:spPr>
                </pic:pic>
              </a:graphicData>
            </a:graphic>
          </wp:inline>
        </w:drawing>
      </w:r>
      <w:r w:rsidDel="00000000" w:rsidR="00000000" w:rsidRPr="00000000">
        <w:rPr>
          <w:rFonts w:ascii="Arial" w:cs="Arial" w:eastAsia="Arial" w:hAnsi="Arial"/>
          <w:color w:val="1f1f1f"/>
          <w:rtl w:val="0"/>
        </w:rPr>
        <w:t xml:space="preserve">), karanlık madde/yasadışı fon sifonu (IFF) ve EROEI enerji açığı</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Aşağıdaki matris, bu 6 vektörün birleşik algoritmik sonucunu sergilemektedir: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Ülke Kodu ve Adı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Borsa Endeksi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T2SAIM Risk Skoru (0–100)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Rejim / Faz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Birincil Kırılganlık Vektörü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TUR</w:t>
            </w:r>
            <w:r w:rsidDel="00000000" w:rsidR="00000000" w:rsidRPr="00000000">
              <w:rPr>
                <w:rFonts w:ascii="Arial" w:cs="Arial" w:eastAsia="Arial" w:hAnsi="Arial"/>
                <w:color w:val="1f1f1f"/>
                <w:rtl w:val="0"/>
              </w:rPr>
              <w:t xml:space="preserve"> (Türkiye)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BIST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Kritik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Kronik Kur, Dış Açık &amp; Sifon (High Beta 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ZAF</w:t>
            </w:r>
            <w:r w:rsidDel="00000000" w:rsidR="00000000" w:rsidRPr="00000000">
              <w:rPr>
                <w:rFonts w:ascii="Arial" w:cs="Arial" w:eastAsia="Arial" w:hAnsi="Arial"/>
                <w:color w:val="1f1f1f"/>
                <w:rtl w:val="0"/>
              </w:rPr>
              <w:t xml:space="preserve"> (Güney Afrika)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JSE Top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76.5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Kritik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Altyapı Çöküşü (Load Shedding) &amp; Yolsuzluk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BRA</w:t>
            </w:r>
            <w:r w:rsidDel="00000000" w:rsidR="00000000" w:rsidRPr="00000000">
              <w:rPr>
                <w:rFonts w:ascii="Arial" w:cs="Arial" w:eastAsia="Arial" w:hAnsi="Arial"/>
                <w:color w:val="1f1f1f"/>
                <w:rtl w:val="0"/>
              </w:rPr>
              <w:t xml:space="preserve"> (Brezilya)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Ibovespa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Mali Açık, Siyasi Kutupsallık &amp; Emtia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ITA</w:t>
            </w:r>
            <w:r w:rsidDel="00000000" w:rsidR="00000000" w:rsidRPr="00000000">
              <w:rPr>
                <w:rFonts w:ascii="Arial" w:cs="Arial" w:eastAsia="Arial" w:hAnsi="Arial"/>
                <w:color w:val="1f1f1f"/>
                <w:rtl w:val="0"/>
              </w:rPr>
              <w:t xml:space="preserve"> (İtalya)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FTSE MIB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Kamu Borcu, NPL &amp; Banka Kırılganlığı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GRC</w:t>
            </w:r>
            <w:r w:rsidDel="00000000" w:rsidR="00000000" w:rsidRPr="00000000">
              <w:rPr>
                <w:rFonts w:ascii="Arial" w:cs="Arial" w:eastAsia="Arial" w:hAnsi="Arial"/>
                <w:color w:val="1f1f1f"/>
                <w:rtl w:val="0"/>
              </w:rPr>
              <w:t xml:space="preserve"> (Yunanistan)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Sahte İstatistik Mirası, Egemen Borç &amp; Ağır Kemer Sıkma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ESP</w:t>
            </w:r>
            <w:r w:rsidDel="00000000" w:rsidR="00000000" w:rsidRPr="00000000">
              <w:rPr>
                <w:rFonts w:ascii="Arial" w:cs="Arial" w:eastAsia="Arial" w:hAnsi="Arial"/>
                <w:color w:val="1f1f1f"/>
                <w:rtl w:val="0"/>
              </w:rPr>
              <w:t xml:space="preserve"> (İspanya)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IBEX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Gayrimenkul Balonu Çöküşü &amp; Cajas İflası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IDN</w:t>
            </w:r>
            <w:r w:rsidDel="00000000" w:rsidR="00000000" w:rsidRPr="00000000">
              <w:rPr>
                <w:rFonts w:ascii="Arial" w:cs="Arial" w:eastAsia="Arial" w:hAnsi="Arial"/>
                <w:color w:val="1f1f1f"/>
                <w:rtl w:val="0"/>
              </w:rPr>
              <w:t xml:space="preserve"> (Endonezya)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IDX Composite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Yabancı Tahvil Mülkiyeti &amp; Emtia Dalgalanması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MEX</w:t>
            </w:r>
            <w:r w:rsidDel="00000000" w:rsidR="00000000" w:rsidRPr="00000000">
              <w:rPr>
                <w:rFonts w:ascii="Arial" w:cs="Arial" w:eastAsia="Arial" w:hAnsi="Arial"/>
                <w:color w:val="1f1f1f"/>
                <w:rtl w:val="0"/>
              </w:rPr>
              <w:t xml:space="preserve"> (Meksika)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Tesobonos Mirası, Kartel Şiddeti &amp; ABD Bağımlılığı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IND</w:t>
            </w:r>
            <w:r w:rsidDel="00000000" w:rsidR="00000000" w:rsidRPr="00000000">
              <w:rPr>
                <w:rFonts w:ascii="Arial" w:cs="Arial" w:eastAsia="Arial" w:hAnsi="Arial"/>
                <w:color w:val="1f1f1f"/>
                <w:rtl w:val="0"/>
              </w:rPr>
              <w:t xml:space="preserve"> (Hindistan)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Nifty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İthalatı Bağımlılığı, Kötü Kredi &amp; Gölge Bankacılık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FRA</w:t>
            </w:r>
            <w:r w:rsidDel="00000000" w:rsidR="00000000" w:rsidRPr="00000000">
              <w:rPr>
                <w:rFonts w:ascii="Arial" w:cs="Arial" w:eastAsia="Arial" w:hAnsi="Arial"/>
                <w:color w:val="1f1f1f"/>
                <w:rtl w:val="0"/>
              </w:rPr>
              <w:t xml:space="preserve"> (Fransa)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CAC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Kronik Bütçe Açığı, Sosyal Gerilim &amp; Bankacılık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KOR</w:t>
            </w:r>
            <w:r w:rsidDel="00000000" w:rsidR="00000000" w:rsidRPr="00000000">
              <w:rPr>
                <w:rFonts w:ascii="Arial" w:cs="Arial" w:eastAsia="Arial" w:hAnsi="Arial"/>
                <w:color w:val="1f1f1f"/>
                <w:rtl w:val="0"/>
              </w:rPr>
              <w:t xml:space="preserve"> (Güney Kore)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KOSPI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Dikkat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Chaebol Borcu, Hanehalkı Kaldıracı &amp; Çip Döngüsü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JPN</w:t>
            </w:r>
            <w:r w:rsidDel="00000000" w:rsidR="00000000" w:rsidRPr="00000000">
              <w:rPr>
                <w:rFonts w:ascii="Arial" w:cs="Arial" w:eastAsia="Arial" w:hAnsi="Arial"/>
                <w:color w:val="1f1f1f"/>
                <w:rtl w:val="0"/>
              </w:rPr>
              <w:t xml:space="preserve"> (Japonya)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Nikkei 225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Deflasyon Mirası, YCC Eğrisi &amp; Yen Taşıma Ticareti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GBR</w:t>
            </w:r>
            <w:r w:rsidDel="00000000" w:rsidR="00000000" w:rsidRPr="00000000">
              <w:rPr>
                <w:rFonts w:ascii="Arial" w:cs="Arial" w:eastAsia="Arial" w:hAnsi="Arial"/>
                <w:color w:val="1f1f1f"/>
                <w:rtl w:val="0"/>
              </w:rPr>
              <w:t xml:space="preserve"> (Birleşik Krallık)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FTSE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LDI Emeklilik Şoku &amp; İkiz Açık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DEU</w:t>
            </w:r>
            <w:r w:rsidDel="00000000" w:rsidR="00000000" w:rsidRPr="00000000">
              <w:rPr>
                <w:rFonts w:ascii="Arial" w:cs="Arial" w:eastAsia="Arial" w:hAnsi="Arial"/>
                <w:color w:val="1f1f1f"/>
                <w:rtl w:val="0"/>
              </w:rPr>
              <w:t xml:space="preserve"> (Almanya)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DAX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Entropisi &amp; Sanayi Stagnasyonu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CAN</w:t>
            </w:r>
            <w:r w:rsidDel="00000000" w:rsidR="00000000" w:rsidRPr="00000000">
              <w:rPr>
                <w:rFonts w:ascii="Arial" w:cs="Arial" w:eastAsia="Arial" w:hAnsi="Arial"/>
                <w:color w:val="1f1f1f"/>
                <w:rtl w:val="0"/>
              </w:rPr>
              <w:t xml:space="preserve"> (Kanada)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TSX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Hanehalkı Borcu, Konut Balonu &amp; Emtia Döngüsü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AUS</w:t>
            </w:r>
            <w:r w:rsidDel="00000000" w:rsidR="00000000" w:rsidRPr="00000000">
              <w:rPr>
                <w:rFonts w:ascii="Arial" w:cs="Arial" w:eastAsia="Arial" w:hAnsi="Arial"/>
                <w:color w:val="1f1f1f"/>
                <w:rtl w:val="0"/>
              </w:rPr>
              <w:t xml:space="preserve"> (Avustralya)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ASX 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Çin Talebine Bağımlılık &amp; Konut Borcu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USA</w:t>
            </w:r>
            <w:r w:rsidDel="00000000" w:rsidR="00000000" w:rsidRPr="00000000">
              <w:rPr>
                <w:rFonts w:ascii="Arial" w:cs="Arial" w:eastAsia="Arial" w:hAnsi="Arial"/>
                <w:color w:val="1f1f1f"/>
                <w:rtl w:val="0"/>
              </w:rPr>
              <w:t xml:space="preserve"> (ABD)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S&amp;P 500 / Nasdaq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Kaldıraç, Borç Tavanı &amp; Panoptikon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CHE</w:t>
            </w:r>
            <w:r w:rsidDel="00000000" w:rsidR="00000000" w:rsidRPr="00000000">
              <w:rPr>
                <w:rFonts w:ascii="Arial" w:cs="Arial" w:eastAsia="Arial" w:hAnsi="Arial"/>
                <w:color w:val="1f1f1f"/>
                <w:rtl w:val="0"/>
              </w:rPr>
              <w:t xml:space="preserve"> (İsviçre)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İzleme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Devasa Banka Kaldıracı &amp; Güvenli Liman Kuru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NLD</w:t>
            </w:r>
            <w:r w:rsidDel="00000000" w:rsidR="00000000" w:rsidRPr="00000000">
              <w:rPr>
                <w:rFonts w:ascii="Arial" w:cs="Arial" w:eastAsia="Arial" w:hAnsi="Arial"/>
                <w:color w:val="1f1f1f"/>
                <w:rtl w:val="0"/>
              </w:rPr>
              <w:t xml:space="preserve"> (Hollanda)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Denge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Hanehalkı Mortgage Borcu &amp; Off-Shore Fon Akışı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NOR</w:t>
            </w:r>
            <w:r w:rsidDel="00000000" w:rsidR="00000000" w:rsidRPr="00000000">
              <w:rPr>
                <w:rFonts w:ascii="Arial" w:cs="Arial" w:eastAsia="Arial" w:hAnsi="Arial"/>
                <w:color w:val="1f1f1f"/>
                <w:rtl w:val="0"/>
              </w:rPr>
              <w:t xml:space="preserve"> (Norveç)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Denge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Petrol Şoku &amp; Hanehalkı Gayrimenkul Borcu</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867650"/>
            <wp:effectExtent b="0" l="0" r="0" t="0"/>
            <wp:docPr id="4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05500"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Elde edilen sonuçlar asimetrik bir küresel dağılımı doğrulamaktadır. Listenin en tepesindeki Türkiye (84.2) ve Güney Afrika (76.5) dış borç servisi ve fiziksel enerji kısıtlamaları nedeniyle çoktan eşiği aşmışken; Norveç (26.5) gibi pozitif entropi üreten ülkeler izolasyon zırhına bürünmüştür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skorlar basit olasılıklar değil, mevcut enerji ve borç termodinamiğinin matematiksel dışavurumudur.</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2: 4 JEO-EKONOMİK BLOK ADLİ OTOPSİSİ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Küresel sistemi oluşturan 20 kanonik ülke, sermaye akışkanlığı, teknolojik bağımlılık ve rezerv para ayrıcalıkları bağlamında dört farklı "kriz mimarisine" (jeo-ekonomik bloğa) sahiptir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G7 Çekirdek Hegemonya (USA, GBR, DEU, FRA, ITA, CAN, JPN)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blok, dünyanın itibari (fiat) kredi arzının ana motorudur. Ancak bu sistemik Düğüm Noktaları, kendi ürettikleri karmaşık borç ağları altında ezilmektedir.</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Amerika Birleşik Devletleri (USA):</w:t>
      </w:r>
      <w:r w:rsidDel="00000000" w:rsidR="00000000" w:rsidRPr="00000000">
        <w:rPr>
          <w:rFonts w:ascii="Arial" w:cs="Arial" w:eastAsia="Arial" w:hAnsi="Arial"/>
          <w:color w:val="1f1f1f"/>
          <w:rtl w:val="0"/>
        </w:rPr>
        <w:t xml:space="preserve"> Sistemin rezerv gücünü elinde tutan ABD, </w:t>
      </w:r>
      <w:r w:rsidDel="00000000" w:rsidR="00000000" w:rsidRPr="00000000">
        <w:rPr>
          <w:rFonts w:ascii="Arial" w:cs="Arial" w:eastAsia="Arial" w:hAnsi="Arial"/>
          <w:color w:val="1f1f1f"/>
        </w:rPr>
        <w:drawing>
          <wp:inline distB="19050" distT="19050" distL="19050" distR="19050">
            <wp:extent cx="446336" cy="237413"/>
            <wp:effectExtent b="0" l="0" r="0" t="0"/>
            <wp:docPr id="42"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46336" cy="237413"/>
                    </a:xfrm>
                    <a:prstGeom prst="rect"/>
                    <a:ln/>
                  </pic:spPr>
                </pic:pic>
              </a:graphicData>
            </a:graphic>
          </wp:inline>
        </w:drawing>
      </w:r>
      <w:r w:rsidDel="00000000" w:rsidR="00000000" w:rsidRPr="00000000">
        <w:rPr>
          <w:rFonts w:ascii="Arial" w:cs="Arial" w:eastAsia="Arial" w:hAnsi="Arial"/>
          <w:color w:val="1f1f1f"/>
          <w:rtl w:val="0"/>
        </w:rPr>
        <w:t xml:space="preserve"> Trilyon USD GSYH ve </w:t>
      </w:r>
      <w:r w:rsidDel="00000000" w:rsidR="00000000" w:rsidRPr="00000000">
        <w:rPr>
          <w:rFonts w:ascii="Arial" w:cs="Arial" w:eastAsia="Arial" w:hAnsi="Arial"/>
          <w:color w:val="1f1f1f"/>
        </w:rPr>
        <w:drawing>
          <wp:inline distB="19050" distT="19050" distL="19050" distR="19050">
            <wp:extent cx="446336" cy="237413"/>
            <wp:effectExtent b="0" l="0" r="0" t="0"/>
            <wp:docPr id="47"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446336" cy="237413"/>
                    </a:xfrm>
                    <a:prstGeom prst="rect"/>
                    <a:ln/>
                  </pic:spPr>
                </pic:pic>
              </a:graphicData>
            </a:graphic>
          </wp:inline>
        </w:drawing>
      </w:r>
      <w:r w:rsidDel="00000000" w:rsidR="00000000" w:rsidRPr="00000000">
        <w:rPr>
          <w:rFonts w:ascii="Arial" w:cs="Arial" w:eastAsia="Arial" w:hAnsi="Arial"/>
          <w:color w:val="1f1f1f"/>
          <w:rtl w:val="0"/>
        </w:rPr>
        <w:t xml:space="preserve"> Trilyon USD </w:t>
      </w:r>
      <w:r w:rsidDel="00000000" w:rsidR="00000000" w:rsidRPr="00000000">
        <w:rPr>
          <w:rFonts w:ascii="Arial" w:cs="Arial" w:eastAsia="Arial" w:hAnsi="Arial"/>
          <w:color w:val="1f1f1f"/>
        </w:rPr>
        <w:drawing>
          <wp:inline distB="19050" distT="19050" distL="19050" distR="19050">
            <wp:extent cx="309414" cy="251399"/>
            <wp:effectExtent b="0" l="0" r="0" t="0"/>
            <wp:docPr id="4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309414" cy="251399"/>
                    </a:xfrm>
                    <a:prstGeom prst="rect"/>
                    <a:ln/>
                  </pic:spPr>
                </pic:pic>
              </a:graphicData>
            </a:graphic>
          </wp:inline>
        </w:drawing>
      </w:r>
      <w:r w:rsidDel="00000000" w:rsidR="00000000" w:rsidRPr="00000000">
        <w:rPr>
          <w:rFonts w:ascii="Arial" w:cs="Arial" w:eastAsia="Arial" w:hAnsi="Arial"/>
          <w:color w:val="1f1f1f"/>
          <w:rtl w:val="0"/>
        </w:rPr>
        <w:t xml:space="preserve"> arzı ile dünyanın parasal merkezidir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Ancak ABD'nin ana kırılganlığı (Risk: 42.1), borç tavanı (Debt Ceiling) politikasındaki yapısal körlük ve Hazine Tahvili (UST) piyasasındaki mikroyapısal likidite donmalarıdır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2020 Mart ayında ve 2023 Bölgesel Bankacılık (SVB, Signature) krizlerinde görüldüğü üzere; piyasa yapıcılar (market makers) Hazine tahvillerinde (UST) fiyatlama yapmaktan kaçındığında Order Book Imbalance (OBI) aniden çökmekte ve sistemik bir likidite felci yaşanmaktadır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Almanya (DEU) ve Fransa (FRA):</w:t>
      </w:r>
      <w:r w:rsidDel="00000000" w:rsidR="00000000" w:rsidRPr="00000000">
        <w:rPr>
          <w:rFonts w:ascii="Arial" w:cs="Arial" w:eastAsia="Arial" w:hAnsi="Arial"/>
          <w:color w:val="1f1f1f"/>
          <w:rtl w:val="0"/>
        </w:rPr>
        <w:t xml:space="preserve"> Avrupa'nın ikiz motorları artık termodinamik sınırlarına dayanmıştır. Almanya, ucuz Rus doğalgazını kaybettikten sonra EROEI (Enerji Getirisi) oranında 10.5:1 gibi kritik bir sınıra düşmüştür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De-endüstriyelleşme sürecine giren Almanya'nın sanayi ihracat modeli sarsılmaktadır. Fransa (Risk: 52.8) ise kronik bütçe açıklarını (%5.5) ve %112'ye ulaşan kamu borcunu sosyal patlamalar eşliğinde yönetmeye çalışmaktadır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İtalya (ITA):</w:t>
      </w:r>
      <w:r w:rsidDel="00000000" w:rsidR="00000000" w:rsidRPr="00000000">
        <w:rPr>
          <w:rFonts w:ascii="Arial" w:cs="Arial" w:eastAsia="Arial" w:hAnsi="Arial"/>
          <w:color w:val="1f1f1f"/>
          <w:rtl w:val="0"/>
        </w:rPr>
        <w:t xml:space="preserve"> Avrupa'nın sismik fay hattıdır (Risk: 68.4). 2.25 Trilyon USD GSYH'ye karşılık %140 dış borç oranıyla İtalya, ikincil piyasalarda acımasızca fiyatlanmaktadır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10 Yıllık BTP-Bund Spreadi, Avrupa'nın bütünlük algısının barometresidir. Spread 100 baz puanı aştığında veya ani sıçramalar yaptığında, Avrupa Merkez Bankası (ECB), TPI (Transmission Protection Instrument) mekanizmasını devreye sokarak sentetik likidite kalkanı oluşturmak zorunda kalmaktadır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Japonya (JPN) ve Birleşik Krallık (GBR):</w:t>
      </w:r>
      <w:r w:rsidDel="00000000" w:rsidR="00000000" w:rsidRPr="00000000">
        <w:rPr>
          <w:rFonts w:ascii="Arial" w:cs="Arial" w:eastAsia="Arial" w:hAnsi="Arial"/>
          <w:color w:val="1f1f1f"/>
          <w:rtl w:val="0"/>
        </w:rPr>
        <w:t xml:space="preserve"> Japonya, on yıllardır uyguladığı Getiri Eğrisi Kontrolü (YCC) politikasından sancılı bir çıkış yapmaktadır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BOJ'un %0.25'lik küçük bir faiz artırımı bile, trilyonlarca dolarlık devasa Yen Carry Trade pozisyonlarının küresel ölçekte tasfiyesine yol açarak USDJPY paritesini 161'den 141'e düşürmüştür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İngiltere ise (Risk: 48.6), 2022'de Liz Truss'ın "Mini-Bütçe" kriziyle deneyimlediği LDI (Liability-Driven Investment) emeklilik fonları şokuyla, türev kaldıraçlarının egemen tahvil (Gilt) piyasasını nasıl saniyeler içinde çökertebileceğini adli olarak ispatlamıştır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Kırılgan Gelişmekte Olan Ülkeler (High Beta EM: TUR, ZAF, BRA, MEX, IDN)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Yüksek beta (volatilite) değerine sahip bu ülkeler, merkez ülkelerin yarattığı parasal genişleme dalgalarının (QE) son durağı ve aynı zamanda daralma (QT) fazlarının ilk kurbanlarıdır.</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Türkiye (TUR):</w:t>
      </w:r>
      <w:r w:rsidDel="00000000" w:rsidR="00000000" w:rsidRPr="00000000">
        <w:rPr>
          <w:rFonts w:ascii="Arial" w:cs="Arial" w:eastAsia="Arial" w:hAnsi="Arial"/>
          <w:color w:val="1f1f1f"/>
          <w:rtl w:val="0"/>
        </w:rPr>
        <w:t xml:space="preserve"> Çekirdek 20 ülkelik havuzda </w:t>
      </w:r>
      <w:r w:rsidDel="00000000" w:rsidR="00000000" w:rsidRPr="00000000">
        <w:rPr>
          <w:rFonts w:ascii="Arial" w:cs="Arial" w:eastAsia="Arial" w:hAnsi="Arial"/>
          <w:b w:val="1"/>
          <w:bCs w:val="1"/>
          <w:color w:val="1f1f1f"/>
          <w:rtl w:val="0"/>
        </w:rPr>
        <w:t xml:space="preserve">84.2</w:t>
      </w:r>
      <w:r w:rsidDel="00000000" w:rsidR="00000000" w:rsidRPr="00000000">
        <w:rPr>
          <w:rFonts w:ascii="Arial" w:cs="Arial" w:eastAsia="Arial" w:hAnsi="Arial"/>
          <w:color w:val="1f1f1f"/>
          <w:rtl w:val="0"/>
        </w:rPr>
        <w:t xml:space="preserve"> skoru ile açık ara en kırılgan düğümdür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Makro-fiziksel anomalinin kökeni, Swap Hariç Net Döviz Rezervlerinin sürekli negatif bölgede (</w:t>
      </w:r>
      <w:r w:rsidDel="00000000" w:rsidR="00000000" w:rsidRPr="00000000">
        <w:rPr>
          <w:rFonts w:ascii="Arial" w:cs="Arial" w:eastAsia="Arial" w:hAnsi="Arial"/>
          <w:color w:val="1f1f1f"/>
        </w:rPr>
        <w:drawing>
          <wp:inline distB="19050" distT="19050" distL="19050" distR="19050">
            <wp:extent cx="659606" cy="248547"/>
            <wp:effectExtent b="0" l="0" r="0" t="0"/>
            <wp:docPr id="5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659606" cy="248547"/>
                    </a:xfrm>
                    <a:prstGeom prst="rect"/>
                    <a:ln/>
                  </pic:spPr>
                </pic:pic>
              </a:graphicData>
            </a:graphic>
          </wp:inline>
        </w:drawing>
      </w:r>
      <w:r w:rsidDel="00000000" w:rsidR="00000000" w:rsidRPr="00000000">
        <w:rPr>
          <w:rFonts w:ascii="Arial" w:cs="Arial" w:eastAsia="Arial" w:hAnsi="Arial"/>
          <w:color w:val="1f1f1f"/>
          <w:rtl w:val="0"/>
        </w:rPr>
        <w:t xml:space="preserve"> ile </w:t>
      </w:r>
      <w:r w:rsidDel="00000000" w:rsidR="00000000" w:rsidRPr="00000000">
        <w:rPr>
          <w:rFonts w:ascii="Arial" w:cs="Arial" w:eastAsia="Arial" w:hAnsi="Arial"/>
          <w:color w:val="1f1f1f"/>
        </w:rPr>
        <w:drawing>
          <wp:inline distB="19050" distT="19050" distL="19050" distR="19050">
            <wp:extent cx="507206" cy="248818"/>
            <wp:effectExtent b="0" l="0" r="0" t="0"/>
            <wp:docPr id="50"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07206" cy="248818"/>
                    </a:xfrm>
                    <a:prstGeom prst="rect"/>
                    <a:ln/>
                  </pic:spPr>
                </pic:pic>
              </a:graphicData>
            </a:graphic>
          </wp:inline>
        </w:drawing>
      </w:r>
      <w:r w:rsidDel="00000000" w:rsidR="00000000" w:rsidRPr="00000000">
        <w:rPr>
          <w:rFonts w:ascii="Arial" w:cs="Arial" w:eastAsia="Arial" w:hAnsi="Arial"/>
          <w:color w:val="1f1f1f"/>
          <w:rtl w:val="0"/>
        </w:rPr>
        <w:t xml:space="preserve"> USD arası) kalması ve rezerv çapasının imhasıdır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Dolarizasyon, enflasyonun (%52.4) bir sonucu değil, ülkenin "Karanlık Madde" ve Net Hata Noksan (NOH) üzerinden milyarlarca dolar yasadışı/kayıtsız fon sızdırdığı (Sifon Fazı) bir termodinamik kanama sürecidir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Toplum, rasyonel ekonomik beklentiler yerine derin bir amigdala stresi ile kararlar almaktadır.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Güney Afrika (ZAF):</w:t>
      </w:r>
      <w:r w:rsidDel="00000000" w:rsidR="00000000" w:rsidRPr="00000000">
        <w:rPr>
          <w:rFonts w:ascii="Arial" w:cs="Arial" w:eastAsia="Arial" w:hAnsi="Arial"/>
          <w:color w:val="1f1f1f"/>
          <w:rtl w:val="0"/>
        </w:rPr>
        <w:t xml:space="preserve"> 76.5 skorla Türkiye'yi izlemektedir. Ana sorun finansal olmaktan ziyade fizikseldir: Eskom devlet elektrik şirketinin çöküşü (Load Shedding). Günlük 12 saate varan elektrik kesintileri, madencilik ve sanayi kapasitesini yok ederek enerji EROEI değerini 8.9:1'e kadar düşürmüştür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Brezilya (BRA) &amp; Meksika (MEX):</w:t>
      </w:r>
      <w:r w:rsidDel="00000000" w:rsidR="00000000" w:rsidRPr="00000000">
        <w:rPr>
          <w:rFonts w:ascii="Arial" w:cs="Arial" w:eastAsia="Arial" w:hAnsi="Arial"/>
          <w:color w:val="1f1f1f"/>
          <w:rtl w:val="0"/>
        </w:rPr>
        <w:t xml:space="preserve"> Brezilya (69.2), %86'ya ulaşan mali bütçe zafiyeti ve siyasi kutuplaşma (Lava Jato mirası) ile kronik stres altındadır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Meksika (54.6) ise 1994 Tequila (Tesobonos) krizinin hayaletini taşımakta; ABD sanayi döngüsüne ve sınır ötesi tedarik zincirlerine mutlak bağımlılık göstermektedir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Endonezya (IDN):</w:t>
      </w:r>
      <w:r w:rsidDel="00000000" w:rsidR="00000000" w:rsidRPr="00000000">
        <w:rPr>
          <w:rFonts w:ascii="Arial" w:cs="Arial" w:eastAsia="Arial" w:hAnsi="Arial"/>
          <w:color w:val="1f1f1f"/>
          <w:rtl w:val="0"/>
        </w:rPr>
        <w:t xml:space="preserve"> 57.8 risk skoruna sahip Endonezya, Asya krizinden (1997) bu yana döviz cinsi şirket borçları ve devlet tahvillerindeki yüksek yabancı mülkiyeti nedeniyle ani sermaye kaçışlarına karşı savunmasızdır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Nordik &amp; Güvenli Limanlar (NOR, CHE, NLD, AUS)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blok, küresel entropiye (düzensizliğe) karşı kendisini fiziksel veya kurumsal duvarlarla yalıtmış ülkelerden oluşur.</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Norveç (NOR):</w:t>
      </w:r>
      <w:r w:rsidDel="00000000" w:rsidR="00000000" w:rsidRPr="00000000">
        <w:rPr>
          <w:rFonts w:ascii="Arial" w:cs="Arial" w:eastAsia="Arial" w:hAnsi="Arial"/>
          <w:color w:val="1f1f1f"/>
          <w:rtl w:val="0"/>
        </w:rPr>
        <w:t xml:space="preserve"> T2SAIM evrenindeki en güvenli düğümdür (Risk: 26.5)</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Norveç, $1.7 Trilyon USD'lik Egemen Varlık Fonu (GPFG) ve 24.0:1 EROEI oranı (Kuzey Denizi petrolü ve hidroelektrik) ile kelimenin tam anlamıyla "negatif entropi" (düzen) üretir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Kendi hanehalkı borç oranları yüksek olsa da, fonun büyüklüğü her türlü kriz izolasyonunu sağlar.</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İsviçre (CHE):</w:t>
      </w:r>
      <w:r w:rsidDel="00000000" w:rsidR="00000000" w:rsidRPr="00000000">
        <w:rPr>
          <w:rFonts w:ascii="Arial" w:cs="Arial" w:eastAsia="Arial" w:hAnsi="Arial"/>
          <w:color w:val="1f1f1f"/>
          <w:rtl w:val="0"/>
        </w:rPr>
        <w:t xml:space="preserve"> Güvenli liman kuruna (CHF) sahip olan İsviçre (41.2), devasa bir off-shore bankacılık kaldıracıyla çalışır. Credit Suisse'in 2023'teki iflası (16 Milyar CHF'lik AT1 tahvilinin sıfırlanması), UBS'e zorunlu devri ve SNB'nin bilançosundaki $850B rezerv kalkanı, devletin bankaları kurtarma gücünün sınırlarını test etmiştir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Hollanda (NLD) &amp; Avustralya (AUS):</w:t>
      </w:r>
      <w:r w:rsidDel="00000000" w:rsidR="00000000" w:rsidRPr="00000000">
        <w:rPr>
          <w:rFonts w:ascii="Arial" w:cs="Arial" w:eastAsia="Arial" w:hAnsi="Arial"/>
          <w:color w:val="1f1f1f"/>
          <w:rtl w:val="0"/>
        </w:rPr>
        <w:t xml:space="preserve"> Hollanda (38.4), Avrupa'nın vergi ve lojistik geçiş hub'ı olarak düşük dış kırılganlığa sahiptir ancak hanehalkı mortgage borcu ciddidir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Avustralya (43.8) ise emtia-Çin ekseninde bir tedarikçidir ve emtia süper döngüleriyle ayakta kalmaktadır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Asya Sanayi Motorları (KOR, IND, GRC)</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Güney Kore (KOR) &amp; Hindistan (IND):</w:t>
      </w:r>
      <w:r w:rsidDel="00000000" w:rsidR="00000000" w:rsidRPr="00000000">
        <w:rPr>
          <w:rFonts w:ascii="Arial" w:cs="Arial" w:eastAsia="Arial" w:hAnsi="Arial"/>
          <w:color w:val="1f1f1f"/>
          <w:rtl w:val="0"/>
        </w:rPr>
        <w:t xml:space="preserve"> Kore (51.0), 1997 krizinin ardından dış borcunu kontrol altına alsa da, yarı iletken (çip) sektöründeki küresel talep döngülerine ve hanehalkı borcuna / Chaebol kaldıracına yüksek oranda bağımlıdır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Hindistan (53.2), $3.94 Trilyon USD GSYH'siyle büyümekte ancak devasa bir enerji ithalat bağımlılığı ve altyapı finansmanındaki (IL&amp;FS iflası gibi) gölge bankacılık çöküşleriyle yüzleşmektedir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Yunanistan (GRC):</w:t>
      </w:r>
      <w:r w:rsidDel="00000000" w:rsidR="00000000" w:rsidRPr="00000000">
        <w:rPr>
          <w:rFonts w:ascii="Arial" w:cs="Arial" w:eastAsia="Arial" w:hAnsi="Arial"/>
          <w:color w:val="1f1f1f"/>
          <w:rtl w:val="0"/>
        </w:rPr>
        <w:t xml:space="preserve"> Avrupa jeopolitiğinde yer alan Yunanistan (62.4), 2009-2015 borç krizi sonrası (Tarihin en büyük özel sektör saç tıraşı: €107B) hala dış borç ve sahte istatistik üretiminin (Goldman Sachs swap manipülasyonu) travmatik ekonomik mirasını taşımaktadır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3: FREDERICK SODDY M2/NIR VE REZERV ÇAPA KOPUŞ SIRALAMASI</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Nobel ödüllü kimyager Frederick Soddy'nin termodinamik iktisat eleştirisi son derece yalındır: Fiziksel varlıklar (enerji, altın, buğday) entropi yasalarına tabidir, yani zamanla çürür, bozulur veya tükenir. Oysa borç (kredi ve M2 para arzı) saf bir matematiksel soyutlamadır; faiz mekanizması ile sonsuza kadar büyüyebilir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Bu asimetri, tüm finansal krizlerin fiziksel kökenidir.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 egemen devletin parasal genişlemesi (</w:t>
      </w:r>
      <w:r w:rsidDel="00000000" w:rsidR="00000000" w:rsidRPr="00000000">
        <w:rPr>
          <w:rFonts w:ascii="Arial" w:cs="Arial" w:eastAsia="Arial" w:hAnsi="Arial"/>
          <w:color w:val="1f1f1f"/>
        </w:rPr>
        <w:drawing>
          <wp:inline distB="19050" distT="19050" distL="19050" distR="19050">
            <wp:extent cx="309414" cy="251399"/>
            <wp:effectExtent b="0" l="0" r="0" t="0"/>
            <wp:docPr id="5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309414" cy="251399"/>
                    </a:xfrm>
                    <a:prstGeom prst="rect"/>
                    <a:ln/>
                  </pic:spPr>
                </pic:pic>
              </a:graphicData>
            </a:graphic>
          </wp:inline>
        </w:drawing>
      </w:r>
      <w:r w:rsidDel="00000000" w:rsidR="00000000" w:rsidRPr="00000000">
        <w:rPr>
          <w:rFonts w:ascii="Arial" w:cs="Arial" w:eastAsia="Arial" w:hAnsi="Arial"/>
          <w:color w:val="1f1f1f"/>
          <w:rtl w:val="0"/>
        </w:rPr>
        <w:t xml:space="preserve">) ile fiziksel net döviz ve altın rezervleri (</w:t>
      </w:r>
      <w:r w:rsidDel="00000000" w:rsidR="00000000" w:rsidRPr="00000000">
        <w:rPr>
          <w:rFonts w:ascii="Arial" w:cs="Arial" w:eastAsia="Arial" w:hAnsi="Arial"/>
          <w:color w:val="1f1f1f"/>
        </w:rPr>
        <w:drawing>
          <wp:inline distB="19050" distT="19050" distL="19050" distR="19050">
            <wp:extent cx="430709" cy="248854"/>
            <wp:effectExtent b="0" l="0" r="0" t="0"/>
            <wp:docPr id="53"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430709" cy="248854"/>
                    </a:xfrm>
                    <a:prstGeom prst="rect"/>
                    <a:ln/>
                  </pic:spPr>
                </pic:pic>
              </a:graphicData>
            </a:graphic>
          </wp:inline>
        </w:drawing>
      </w:r>
      <w:r w:rsidDel="00000000" w:rsidR="00000000" w:rsidRPr="00000000">
        <w:rPr>
          <w:rFonts w:ascii="Arial" w:cs="Arial" w:eastAsia="Arial" w:hAnsi="Arial"/>
          <w:color w:val="1f1f1f"/>
          <w:rtl w:val="0"/>
        </w:rPr>
        <w:t xml:space="preserve">) arasındaki termodinamik açığı (</w:t>
      </w:r>
      <w:r w:rsidDel="00000000" w:rsidR="00000000" w:rsidRPr="00000000">
        <w:rPr>
          <w:rFonts w:ascii="Arial" w:cs="Arial" w:eastAsia="Arial" w:hAnsi="Arial"/>
          <w:color w:val="1f1f1f"/>
        </w:rPr>
        <w:drawing>
          <wp:inline distB="19050" distT="19050" distL="19050" distR="19050">
            <wp:extent cx="342007" cy="247005"/>
            <wp:effectExtent b="0" l="0" r="0" t="0"/>
            <wp:docPr id="55"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342007" cy="247005"/>
                    </a:xfrm>
                    <a:prstGeom prst="rect"/>
                    <a:ln/>
                  </pic:spPr>
                </pic:pic>
              </a:graphicData>
            </a:graphic>
          </wp:inline>
        </w:drawing>
      </w:r>
      <w:r w:rsidDel="00000000" w:rsidR="00000000" w:rsidRPr="00000000">
        <w:rPr>
          <w:rFonts w:ascii="Arial" w:cs="Arial" w:eastAsia="Arial" w:hAnsi="Arial"/>
          <w:color w:val="1f1f1f"/>
          <w:rtl w:val="0"/>
        </w:rPr>
        <w:t xml:space="preserve">) şu şekilde formüle ediyoruz:</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23925"/>
            <wp:effectExtent b="0" l="0" r="0" t="0"/>
            <wp:docPr id="58"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386715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42007" cy="247005"/>
            <wp:effectExtent b="0" l="0" r="0" t="0"/>
            <wp:docPr id="60"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342007" cy="247005"/>
                    </a:xfrm>
                    <a:prstGeom prst="rect"/>
                    <a:ln/>
                  </pic:spPr>
                </pic:pic>
              </a:graphicData>
            </a:graphic>
          </wp:inline>
        </w:drawing>
      </w:r>
      <w:r w:rsidDel="00000000" w:rsidR="00000000" w:rsidRPr="00000000">
        <w:rPr>
          <w:rFonts w:ascii="Arial" w:cs="Arial" w:eastAsia="Arial" w:hAnsi="Arial"/>
          <w:color w:val="1f1f1f"/>
          <w:rtl w:val="0"/>
        </w:rPr>
        <w:t xml:space="preserve"> büyüdükçe para "sanal köpüğe" dönüşür. T2SAIM model teşhislerine göre, birinci sınıf veri kaynakları üzerinden kanıtlanmış çapraz </w:t>
      </w:r>
      <w:r w:rsidDel="00000000" w:rsidR="00000000" w:rsidRPr="00000000">
        <w:rPr>
          <w:rFonts w:ascii="Arial" w:cs="Arial" w:eastAsia="Arial" w:hAnsi="Arial"/>
          <w:color w:val="1f1f1f"/>
        </w:rPr>
        <w:drawing>
          <wp:inline distB="19050" distT="19050" distL="19050" distR="19050">
            <wp:extent cx="342007" cy="247005"/>
            <wp:effectExtent b="0" l="0" r="0" t="0"/>
            <wp:docPr id="62"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342007" cy="247005"/>
                    </a:xfrm>
                    <a:prstGeom prst="rect"/>
                    <a:ln/>
                  </pic:spPr>
                </pic:pic>
              </a:graphicData>
            </a:graphic>
          </wp:inline>
        </w:drawing>
      </w:r>
      <w:r w:rsidDel="00000000" w:rsidR="00000000" w:rsidRPr="00000000">
        <w:rPr>
          <w:rFonts w:ascii="Arial" w:cs="Arial" w:eastAsia="Arial" w:hAnsi="Arial"/>
          <w:color w:val="1f1f1f"/>
          <w:rtl w:val="0"/>
        </w:rPr>
        <w:t xml:space="preserve"> analizimiz aşağıdadır (Kesin M2 ve NIR verisi teyit edilemeyen hücreler Daubert kuralları gereği dışlanmıştır):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 Arzı (M2)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Net Uluslararası Rezerv (NIR)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Termodinamik Açık (Sgap​)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Adli Çapa Durumu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730150" cy="208614"/>
                  <wp:effectExtent b="0" l="0" r="0" t="0"/>
                  <wp:docPr id="64" name="image45.png"/>
                  <a:graphic>
                    <a:graphicData uri="http://schemas.openxmlformats.org/drawingml/2006/picture">
                      <pic:pic>
                        <pic:nvPicPr>
                          <pic:cNvPr id="0" name="image45.png"/>
                          <pic:cNvPicPr preferRelativeResize="0"/>
                        </pic:nvPicPr>
                        <pic:blipFill>
                          <a:blip r:embed="rId18"/>
                          <a:srcRect b="0" l="0" r="0" t="0"/>
                          <a:stretch>
                            <a:fillRect/>
                          </a:stretch>
                        </pic:blipFill>
                        <pic:spPr>
                          <a:xfrm>
                            <a:off x="0" y="0"/>
                            <a:ext cx="730150" cy="208614"/>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Küresel Hegemonik Rezerv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Tanımsız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Hegemonik ayrıcalık. Karşılıksız sanal basım askeri güçle dengeleniyor.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10, 11,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Eurozone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730150" cy="208614"/>
                  <wp:effectExtent b="0" l="0" r="0" t="0"/>
                  <wp:docPr id="66"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730150" cy="208614"/>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Toplu Havuz Çapası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Kompleks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DEU ($300B), FRA ($240B) ve ITA ($220B) üzerinden yüzdürülüyor.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CHN</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730150" cy="208614"/>
                  <wp:effectExtent b="0" l="0" r="0" t="0"/>
                  <wp:docPr id="67"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730150" cy="208614"/>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643681" cy="208250"/>
                  <wp:effectExtent b="0" l="0" r="0" t="0"/>
                  <wp:docPr id="68"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643681" cy="208250"/>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93948" cy="211387"/>
                  <wp:effectExtent b="0" l="0" r="0" t="0"/>
                  <wp:docPr id="69"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393948" cy="2113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Devasa iç kredi/gayrimenkul M2 balonu rezervleri zorluyor.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10,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643681" cy="20825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43681" cy="208250"/>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643681" cy="208250"/>
                  <wp:effectExtent b="0" l="0" r="0" t="0"/>
                  <wp:docPr id="2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643681" cy="208250"/>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07478" cy="211391"/>
                  <wp:effectExtent b="0" l="0" r="0" t="0"/>
                  <wp:docPr id="28"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307478" cy="2113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Sıkışma yüksek; ancak dış alacaklı pozisyonu YCC balonunu ayakta tutuyor.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 - VERİ MEVCUT DEĞİL]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28489" cy="211396"/>
                  <wp:effectExtent b="0" l="0" r="0" t="0"/>
                  <wp:docPr id="3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28489" cy="211396"/>
                          </a:xfrm>
                          <a:prstGeom prst="rect"/>
                          <a:ln/>
                        </pic:spPr>
                      </pic:pic>
                    </a:graphicData>
                  </a:graphic>
                </wp:inline>
              </w:drawing>
            </w:r>
            <w:r w:rsidDel="00000000" w:rsidR="00000000" w:rsidRPr="00000000">
              <w:rPr>
                <w:rFonts w:ascii="Arial" w:cs="Arial" w:eastAsia="Arial" w:hAnsi="Arial"/>
                <w:color w:val="1f1f1f"/>
                <w:rtl w:val="0"/>
              </w:rPr>
              <w:t xml:space="preserve"> Milyar (Swap Hariç)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color w:val="1f1f1f"/>
              </w:rPr>
              <w:drawing>
                <wp:inline distB="19050" distT="19050" distL="19050" distR="19050">
                  <wp:extent cx="172938" cy="211368"/>
                  <wp:effectExtent b="0" l="0" r="0" t="0"/>
                  <wp:docPr id="3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172938" cy="211368"/>
                          </a:xfrm>
                          <a:prstGeom prst="rect"/>
                          <a:ln/>
                        </pic:spPr>
                      </pic:pic>
                    </a:graphicData>
                  </a:graphic>
                </wp:inline>
              </w:drawing>
            </w:r>
            <w:r w:rsidDel="00000000" w:rsidR="00000000" w:rsidRPr="00000000">
              <w:rPr>
                <w:rFonts w:ascii="Arial" w:cs="Arial" w:eastAsia="Arial" w:hAnsi="Arial"/>
                <w:b w:val="1"/>
                <w:bCs w:val="1"/>
                <w:color w:val="1f1f1f"/>
                <w:rtl w:val="0"/>
              </w:rPr>
              <w:t xml:space="preserve"> (Sonsuz)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Mutlak çapa imhası. Matematiksel olarak para birimi desteksiz.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 - VERİ MEVCUT DEĞİL]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643681" cy="208250"/>
                  <wp:effectExtent b="0" l="0" r="0" t="0"/>
                  <wp:docPr id="3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43681" cy="208250"/>
                          </a:xfrm>
                          <a:prstGeom prst="rect"/>
                          <a:ln/>
                        </pic:spPr>
                      </pic:pic>
                    </a:graphicData>
                  </a:graphic>
                </wp:inline>
              </w:drawing>
            </w:r>
            <w:r w:rsidDel="00000000" w:rsidR="00000000" w:rsidRPr="00000000">
              <w:rPr>
                <w:rFonts w:ascii="Arial" w:cs="Arial" w:eastAsia="Arial" w:hAnsi="Arial"/>
                <w:color w:val="1f1f1f"/>
                <w:rtl w:val="0"/>
              </w:rPr>
              <w:t xml:space="preserve"> Milyar (GPFG)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268933" cy="211304"/>
                  <wp:effectExtent b="0" l="0" r="0" t="0"/>
                  <wp:docPr id="35"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268933" cy="21130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Varlık fonu sayesinde parasal taban tamamen fiziksel enerjiye (petrol) çapalı.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 - VERİ MEVCUT DEĞİL]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80269" cy="211318"/>
                  <wp:effectExtent b="0" l="0" r="0" t="0"/>
                  <wp:docPr id="36"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480269" cy="211318"/>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Güçlü rezerv tamponu, ancak enerji ithalatına duyarlı.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 - VERİ MEVCUT DEĞİL]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480269" cy="211318"/>
                  <wp:effectExtent b="0" l="0" r="0" t="0"/>
                  <wp:docPr id="37"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80269" cy="211318"/>
                          </a:xfrm>
                          <a:prstGeom prst="rect"/>
                          <a:ln/>
                        </pic:spPr>
                      </pic:pic>
                    </a:graphicData>
                  </a:graphic>
                </wp:inline>
              </w:drawing>
            </w:r>
            <w:r w:rsidDel="00000000" w:rsidR="00000000" w:rsidRPr="00000000">
              <w:rPr>
                <w:rFonts w:ascii="Arial" w:cs="Arial" w:eastAsia="Arial" w:hAnsi="Arial"/>
                <w:color w:val="1f1f1f"/>
                <w:rtl w:val="0"/>
              </w:rPr>
              <w:t xml:space="preserve"> Milyar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Döviz rezervleri tatminkar, emtia döngüsüne bağımlı.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(Not: Model karşılaştırması amacıyla veri havuzundaki Çin (CHN) M2 ve rezerv istatistikleri matrise dahil edilmiştir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3219450"/>
            <wp:effectExtent b="0" l="0" r="0" t="0"/>
            <wp:docPr id="38"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Yukarıdaki termodinamik kanıtlar, Türkiye gibi yüksek riskli EM ülkelerinde rezerv çapalarının tamamen kırıldığını matematiksel olarak göstermektedir. Bu tür rejimlerde yaratılan her bir birim lokal para birimi, fiziksel bir enerji/rezerv karşılığı olmaksızın yaratılmaktadır.</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4: BATTISTON DEBTRANK (R_i) VE KÜRESEL BULAŞMA AĞI SİMÜLASYONU</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Sistemik krizler bağımsız, izole olaylar değildir; finansal ağ (Network) yapısı üzerinden zincirleme reaksiyon (cascade) yaratan bir geri besleme döngüsüdür (feedback-centrality). S. Battiston ve meslektaşları tarafından literatüre kazandırılan </w:t>
      </w:r>
      <w:r w:rsidDel="00000000" w:rsidR="00000000" w:rsidRPr="00000000">
        <w:rPr>
          <w:rFonts w:ascii="Arial" w:cs="Arial" w:eastAsia="Arial" w:hAnsi="Arial"/>
          <w:b w:val="1"/>
          <w:bCs w:val="1"/>
          <w:color w:val="1f1f1f"/>
          <w:rtl w:val="0"/>
        </w:rPr>
        <w:t xml:space="preserve">DebtRank (</w:t>
      </w:r>
      <w:r w:rsidDel="00000000" w:rsidR="00000000" w:rsidRPr="00000000">
        <w:rPr>
          <w:rFonts w:ascii="Arial" w:cs="Arial" w:eastAsia="Arial" w:hAnsi="Arial"/>
          <w:b w:val="1"/>
          <w:bCs w:val="1"/>
          <w:color w:val="1f1f1f"/>
        </w:rPr>
        <w:drawing>
          <wp:inline distB="19050" distT="19050" distL="19050" distR="19050">
            <wp:extent cx="205830" cy="243253"/>
            <wp:effectExtent b="0" l="0" r="0" t="0"/>
            <wp:docPr id="11"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05830" cy="24325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algoritması, bankalar ve egemen devletler arasındaki çapraz kredi maruziyetlerini bir matris üzerinde çözümler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Klasik stres testleri, bir bankanın sadece kendi bilançosundaki kayıplarına odaklanırken, DebtRank ikinci, üçüncü ve n'inci dalga bulaşmaları hesaplar</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Matematiksel tanım (Zaman içindeki ardışık bulaşma):</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295400"/>
            <wp:effectExtent b="0" l="0" r="0" t="0"/>
            <wp:docPr id="1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8671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denklemde:</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347216" cy="221832"/>
            <wp:effectExtent b="0" l="0" r="0" t="0"/>
            <wp:docPr id="13"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47216" cy="22183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7717" cy="251520"/>
            <wp:effectExtent b="0" l="0" r="0" t="0"/>
            <wp:docPr id="1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kurumunun/ülkesinin </w:t>
      </w:r>
      <w:r w:rsidDel="00000000" w:rsidR="00000000" w:rsidRPr="00000000">
        <w:rPr>
          <w:rFonts w:ascii="Arial" w:cs="Arial" w:eastAsia="Arial" w:hAnsi="Arial"/>
          <w:color w:val="1f1f1f"/>
        </w:rPr>
        <w:drawing>
          <wp:inline distB="19050" distT="19050" distL="19050" distR="19050">
            <wp:extent cx="70842" cy="263128"/>
            <wp:effectExtent b="0" l="0" r="0" t="0"/>
            <wp:docPr id="15"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zamanındaki göreli özkaynak kaybı ve stres düzeyi. (Eğer </w:t>
      </w:r>
      <w:r w:rsidDel="00000000" w:rsidR="00000000" w:rsidRPr="00000000">
        <w:rPr>
          <w:rFonts w:ascii="Arial" w:cs="Arial" w:eastAsia="Arial" w:hAnsi="Arial"/>
          <w:color w:val="1f1f1f"/>
        </w:rPr>
        <w:drawing>
          <wp:inline distB="19050" distT="19050" distL="19050" distR="19050">
            <wp:extent cx="752772" cy="247748"/>
            <wp:effectExtent b="0" l="0" r="0" t="0"/>
            <wp:docPr id="1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752772" cy="247748"/>
                    </a:xfrm>
                    <a:prstGeom prst="rect"/>
                    <a:ln/>
                  </pic:spPr>
                </pic:pic>
              </a:graphicData>
            </a:graphic>
          </wp:inline>
        </w:drawing>
      </w:r>
      <w:r w:rsidDel="00000000" w:rsidR="00000000" w:rsidRPr="00000000">
        <w:rPr>
          <w:rFonts w:ascii="Arial" w:cs="Arial" w:eastAsia="Arial" w:hAnsi="Arial"/>
          <w:color w:val="1f1f1f"/>
          <w:rtl w:val="0"/>
        </w:rPr>
        <w:t xml:space="preserve"> ise, kurum temerrüde düşmüştür).</w:t>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Pr>
        <w:drawing>
          <wp:inline distB="19050" distT="19050" distL="19050" distR="19050">
            <wp:extent cx="298550" cy="250397"/>
            <wp:effectExtent b="0" l="0" r="0" t="0"/>
            <wp:docPr id="1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98550" cy="250397"/>
                    </a:xfrm>
                    <a:prstGeom prst="rect"/>
                    <a:ln/>
                  </pic:spPr>
                </pic:pic>
              </a:graphicData>
            </a:graphic>
          </wp:inline>
        </w:drawing>
      </w:r>
      <w:r w:rsidDel="00000000" w:rsidR="00000000" w:rsidRPr="00000000">
        <w:rPr>
          <w:rFonts w:ascii="Arial" w:cs="Arial" w:eastAsia="Arial" w:hAnsi="Arial"/>
          <w:b w:val="1"/>
          <w:bCs w:val="1"/>
          <w:color w:val="1f1f1f"/>
          <w:rtl w:val="0"/>
        </w:rPr>
        <w:t xml:space="preserve"> (Interbank Leverage Matrix):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86593" cy="247819"/>
            <wp:effectExtent b="0" l="0" r="0" t="0"/>
            <wp:docPr id="1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1086593" cy="247819"/>
                    </a:xfrm>
                    <a:prstGeom prst="rect"/>
                    <a:ln/>
                  </pic:spPr>
                </pic:pic>
              </a:graphicData>
            </a:graphic>
          </wp:inline>
        </w:drawing>
      </w:r>
      <w:r w:rsidDel="00000000" w:rsidR="00000000" w:rsidRPr="00000000">
        <w:rPr>
          <w:rFonts w:ascii="Arial" w:cs="Arial" w:eastAsia="Arial" w:hAnsi="Arial"/>
          <w:color w:val="1f1f1f"/>
          <w:rtl w:val="0"/>
        </w:rPr>
        <w:t xml:space="preserve"> şeklinde ifade edilen, </w:t>
      </w:r>
      <w:r w:rsidDel="00000000" w:rsidR="00000000" w:rsidRPr="00000000">
        <w:rPr>
          <w:rFonts w:ascii="Arial" w:cs="Arial" w:eastAsia="Arial" w:hAnsi="Arial"/>
          <w:color w:val="1f1f1f"/>
        </w:rPr>
        <w:drawing>
          <wp:inline distB="19050" distT="19050" distL="19050" distR="19050">
            <wp:extent cx="67717" cy="251520"/>
            <wp:effectExtent b="0" l="0" r="0" t="0"/>
            <wp:docPr id="19"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kurumunun </w:t>
      </w:r>
      <w:r w:rsidDel="00000000" w:rsidR="00000000" w:rsidRPr="00000000">
        <w:rPr>
          <w:rFonts w:ascii="Arial" w:cs="Arial" w:eastAsia="Arial" w:hAnsi="Arial"/>
          <w:color w:val="1f1f1f"/>
        </w:rPr>
        <w:drawing>
          <wp:inline distB="19050" distT="19050" distL="19050" distR="19050">
            <wp:extent cx="91976" cy="239137"/>
            <wp:effectExtent b="0" l="0" r="0" t="0"/>
            <wp:docPr id="20"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91976" cy="239137"/>
                    </a:xfrm>
                    <a:prstGeom prst="rect"/>
                    <a:ln/>
                  </pic:spPr>
                </pic:pic>
              </a:graphicData>
            </a:graphic>
          </wp:inline>
        </w:drawing>
      </w:r>
      <w:r w:rsidDel="00000000" w:rsidR="00000000" w:rsidRPr="00000000">
        <w:rPr>
          <w:rFonts w:ascii="Arial" w:cs="Arial" w:eastAsia="Arial" w:hAnsi="Arial"/>
          <w:color w:val="1f1f1f"/>
          <w:rtl w:val="0"/>
        </w:rPr>
        <w:t xml:space="preserve"> kurumuna olan borçlanma/maruziyet matrisidir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Ağ Stabilitesi:</w:t>
      </w:r>
      <w:r w:rsidDel="00000000" w:rsidR="00000000" w:rsidRPr="00000000">
        <w:rPr>
          <w:rFonts w:ascii="Arial" w:cs="Arial" w:eastAsia="Arial" w:hAnsi="Arial"/>
          <w:color w:val="1f1f1f"/>
          <w:rtl w:val="0"/>
        </w:rPr>
        <w:t xml:space="preserve"> Algoritmanın dengeye ulaşması, </w:t>
      </w:r>
      <w:r w:rsidDel="00000000" w:rsidR="00000000" w:rsidRPr="00000000">
        <w:rPr>
          <w:rFonts w:ascii="Arial" w:cs="Arial" w:eastAsia="Arial" w:hAnsi="Arial"/>
          <w:color w:val="1f1f1f"/>
        </w:rPr>
        <w:drawing>
          <wp:inline distB="19050" distT="19050" distL="19050" distR="19050">
            <wp:extent cx="298550" cy="250397"/>
            <wp:effectExtent b="0" l="0" r="0" t="0"/>
            <wp:docPr id="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98550" cy="250397"/>
                    </a:xfrm>
                    <a:prstGeom prst="rect"/>
                    <a:ln/>
                  </pic:spPr>
                </pic:pic>
              </a:graphicData>
            </a:graphic>
          </wp:inline>
        </w:drawing>
      </w:r>
      <w:r w:rsidDel="00000000" w:rsidR="00000000" w:rsidRPr="00000000">
        <w:rPr>
          <w:rFonts w:ascii="Arial" w:cs="Arial" w:eastAsia="Arial" w:hAnsi="Arial"/>
          <w:color w:val="1f1f1f"/>
          <w:rtl w:val="0"/>
        </w:rPr>
        <w:t xml:space="preserve"> matrisinin en büyük özdeğerinin (eigenvalue) yani </w:t>
      </w:r>
      <w:r w:rsidDel="00000000" w:rsidR="00000000" w:rsidRPr="00000000">
        <w:rPr>
          <w:rFonts w:ascii="Arial" w:cs="Arial" w:eastAsia="Arial" w:hAnsi="Arial"/>
          <w:color w:val="1f1f1f"/>
        </w:rPr>
        <w:drawing>
          <wp:inline distB="19050" distT="19050" distL="19050" distR="19050">
            <wp:extent cx="395288" cy="244702"/>
            <wp:effectExtent b="0" l="0" r="0" t="0"/>
            <wp:docPr id="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395288" cy="244702"/>
                    </a:xfrm>
                    <a:prstGeom prst="rect"/>
                    <a:ln/>
                  </pic:spPr>
                </pic:pic>
              </a:graphicData>
            </a:graphic>
          </wp:inline>
        </w:drawing>
      </w:r>
      <w:r w:rsidDel="00000000" w:rsidR="00000000" w:rsidRPr="00000000">
        <w:rPr>
          <w:rFonts w:ascii="Arial" w:cs="Arial" w:eastAsia="Arial" w:hAnsi="Arial"/>
          <w:color w:val="1f1f1f"/>
          <w:rtl w:val="0"/>
        </w:rPr>
        <w:t xml:space="preserve"> değerinin mutlak olarak </w:t>
      </w:r>
      <w:r w:rsidDel="00000000" w:rsidR="00000000" w:rsidRPr="00000000">
        <w:rPr>
          <w:rFonts w:ascii="Arial" w:cs="Arial" w:eastAsia="Arial" w:hAnsi="Arial"/>
          <w:color w:val="1f1f1f"/>
        </w:rPr>
        <w:drawing>
          <wp:inline distB="19050" distT="19050" distL="19050" distR="19050">
            <wp:extent cx="98078" cy="245195"/>
            <wp:effectExtent b="0" l="0" r="0" t="0"/>
            <wp:docPr id="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'den küçük olmasına bağlıdır (</w:t>
      </w:r>
      <w:r w:rsidDel="00000000" w:rsidR="00000000" w:rsidRPr="00000000">
        <w:rPr>
          <w:rFonts w:ascii="Arial" w:cs="Arial" w:eastAsia="Arial" w:hAnsi="Arial"/>
          <w:color w:val="1f1f1f"/>
        </w:rPr>
        <w:drawing>
          <wp:inline distB="19050" distT="19050" distL="19050" distR="19050">
            <wp:extent cx="863500" cy="246714"/>
            <wp:effectExtent b="0" l="0" r="0" t="0"/>
            <wp:docPr id="4"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863500" cy="246714"/>
                    </a:xfrm>
                    <a:prstGeom prst="rect"/>
                    <a:ln/>
                  </pic:spPr>
                </pic:pic>
              </a:graphicData>
            </a:graphic>
          </wp:inline>
        </w:drawing>
      </w:r>
      <w:r w:rsidDel="00000000" w:rsidR="00000000" w:rsidRPr="00000000">
        <w:rPr>
          <w:rFonts w:ascii="Arial" w:cs="Arial" w:eastAsia="Arial" w:hAnsi="Arial"/>
          <w:color w:val="1f1f1f"/>
          <w:rtl w:val="0"/>
        </w:rPr>
        <w:t xml:space="preserve">). Eğer küresel kaldıracın yarattığı risk birikimi bu özdeğeri </w:t>
      </w:r>
      <w:r w:rsidDel="00000000" w:rsidR="00000000" w:rsidRPr="00000000">
        <w:rPr>
          <w:rFonts w:ascii="Arial" w:cs="Arial" w:eastAsia="Arial" w:hAnsi="Arial"/>
          <w:color w:val="1f1f1f"/>
        </w:rPr>
        <w:drawing>
          <wp:inline distB="19050" distT="19050" distL="19050" distR="19050">
            <wp:extent cx="98078" cy="245195"/>
            <wp:effectExtent b="0" l="0" r="0" t="0"/>
            <wp:docPr id="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'in üzerine çıkarırsa (</w:t>
      </w:r>
      <w:r w:rsidDel="00000000" w:rsidR="00000000" w:rsidRPr="00000000">
        <w:rPr>
          <w:rFonts w:ascii="Arial" w:cs="Arial" w:eastAsia="Arial" w:hAnsi="Arial"/>
          <w:color w:val="1f1f1f"/>
        </w:rPr>
        <w:drawing>
          <wp:inline distB="19050" distT="19050" distL="19050" distR="19050">
            <wp:extent cx="863500" cy="246714"/>
            <wp:effectExtent b="0" l="0" r="0" t="0"/>
            <wp:docPr id="6"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863500" cy="246714"/>
                    </a:xfrm>
                    <a:prstGeom prst="rect"/>
                    <a:ln/>
                  </pic:spPr>
                </pic:pic>
              </a:graphicData>
            </a:graphic>
          </wp:inline>
        </w:drawing>
      </w:r>
      <w:r w:rsidDel="00000000" w:rsidR="00000000" w:rsidRPr="00000000">
        <w:rPr>
          <w:rFonts w:ascii="Arial" w:cs="Arial" w:eastAsia="Arial" w:hAnsi="Arial"/>
          <w:color w:val="1f1f1f"/>
          <w:rtl w:val="0"/>
        </w:rPr>
        <w:t xml:space="preserve">), ağ patlayıcı (explosive) hale gelir ve ilk şok (örneğin Japon tahvillerinde) zincirleme iflas dalgası yaratır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Küresel Şok Yayılım Teşhisi: Olası Domino Senaryosu</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Şokun Kaynağı (The Ultimate Emitter): Japonya (JPN) ve ABD (USA)</w:t>
      </w:r>
      <w:r w:rsidDel="00000000" w:rsidR="00000000" w:rsidRPr="00000000">
        <w:rPr>
          <w:rFonts w:ascii="Arial" w:cs="Arial" w:eastAsia="Arial" w:hAnsi="Arial"/>
          <w:color w:val="1f1f1f"/>
          <w:rtl w:val="0"/>
        </w:rPr>
        <w:t xml:space="preserve"> Eğer Bank of Japan (BOJ), Getiri Eğrisi Kontrolü (YCC) tavanını savunamaz ve tahvil faizlerinde ani bir şok yaşanırsa, Japonya düğümündeki </w:t>
      </w:r>
      <w:r w:rsidDel="00000000" w:rsidR="00000000" w:rsidRPr="00000000">
        <w:rPr>
          <w:rFonts w:ascii="Arial" w:cs="Arial" w:eastAsia="Arial" w:hAnsi="Arial"/>
          <w:color w:val="1f1f1f"/>
        </w:rPr>
        <w:drawing>
          <wp:inline distB="19050" distT="19050" distL="19050" distR="19050">
            <wp:extent cx="675680" cy="247432"/>
            <wp:effectExtent b="0" l="0" r="0" t="0"/>
            <wp:docPr id="7"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675680" cy="247432"/>
                    </a:xfrm>
                    <a:prstGeom prst="rect"/>
                    <a:ln/>
                  </pic:spPr>
                </pic:pic>
              </a:graphicData>
            </a:graphic>
          </wp:inline>
        </w:drawing>
      </w:r>
      <w:r w:rsidDel="00000000" w:rsidR="00000000" w:rsidRPr="00000000">
        <w:rPr>
          <w:rFonts w:ascii="Arial" w:cs="Arial" w:eastAsia="Arial" w:hAnsi="Arial"/>
          <w:color w:val="1f1f1f"/>
          <w:rtl w:val="0"/>
        </w:rPr>
        <w:t xml:space="preserve"> stresi anında küresel ağa ithal edilir. Japon bankalarının, trilyonlarca dolarlık devasa carry trade varlıklarını (örneğin ABD Hazine Tahvilleri ve Meksika Pesosu) tasfiye etmesi (unwinding), ABD tahvil piyasasında emsali görülmemiş bir satış dalgası yaratacaktır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Bu durumda, ABD ticari gayrimenkul veya gölge bankacılık sektöründe halihazırda zayıf olan kurumların özkaynakları eriyecek ve </w:t>
      </w:r>
      <w:r w:rsidDel="00000000" w:rsidR="00000000" w:rsidRPr="00000000">
        <w:rPr>
          <w:rFonts w:ascii="Arial" w:cs="Arial" w:eastAsia="Arial" w:hAnsi="Arial"/>
          <w:color w:val="1f1f1f"/>
        </w:rPr>
        <w:drawing>
          <wp:inline distB="19050" distT="19050" distL="19050" distR="19050">
            <wp:extent cx="600670" cy="247896"/>
            <wp:effectExtent b="0" l="0" r="0" t="0"/>
            <wp:docPr id="8"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600670" cy="247896"/>
                    </a:xfrm>
                    <a:prstGeom prst="rect"/>
                    <a:ln/>
                  </pic:spPr>
                </pic:pic>
              </a:graphicData>
            </a:graphic>
          </wp:inline>
        </w:drawing>
      </w:r>
      <w:r w:rsidDel="00000000" w:rsidR="00000000" w:rsidRPr="00000000">
        <w:rPr>
          <w:rFonts w:ascii="Arial" w:cs="Arial" w:eastAsia="Arial" w:hAnsi="Arial"/>
          <w:color w:val="1f1f1f"/>
          <w:rtl w:val="0"/>
        </w:rPr>
        <w:t xml:space="preserve"> vektörü üzerinden kriz hızla Avrupa'ya sıçrayacaktır.</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Kaskad Alıcıları (The Ultimate Receivers): İtalya (ITA) ve Türkiye (TUR)</w:t>
      </w:r>
      <w:r w:rsidDel="00000000" w:rsidR="00000000" w:rsidRPr="00000000">
        <w:rPr>
          <w:rFonts w:ascii="Arial" w:cs="Arial" w:eastAsia="Arial" w:hAnsi="Arial"/>
          <w:color w:val="1f1f1f"/>
          <w:rtl w:val="0"/>
        </w:rPr>
        <w:t xml:space="preserve"> Kredi hatlarının kopması, zayıf halkaları anında </w:t>
      </w:r>
      <w:r w:rsidDel="00000000" w:rsidR="00000000" w:rsidRPr="00000000">
        <w:rPr>
          <w:rFonts w:ascii="Arial" w:cs="Arial" w:eastAsia="Arial" w:hAnsi="Arial"/>
          <w:color w:val="1f1f1f"/>
        </w:rPr>
        <w:drawing>
          <wp:inline distB="19050" distT="19050" distL="19050" distR="19050">
            <wp:extent cx="752772" cy="247748"/>
            <wp:effectExtent b="0" l="0" r="0" t="0"/>
            <wp:docPr id="9"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752772" cy="247748"/>
                    </a:xfrm>
                    <a:prstGeom prst="rect"/>
                    <a:ln/>
                  </pic:spPr>
                </pic:pic>
              </a:graphicData>
            </a:graphic>
          </wp:inline>
        </w:drawing>
      </w:r>
      <w:r w:rsidDel="00000000" w:rsidR="00000000" w:rsidRPr="00000000">
        <w:rPr>
          <w:rFonts w:ascii="Arial" w:cs="Arial" w:eastAsia="Arial" w:hAnsi="Arial"/>
          <w:color w:val="1f1f1f"/>
          <w:rtl w:val="0"/>
        </w:rPr>
        <w:t xml:space="preserve"> (İflas) noktasına sürükler. Avrupa bankacılık matrisi içinde en büyük hedef İtalya'dır. İtalyan bankalarının ellerindeki </w:t>
      </w:r>
      <w:r w:rsidDel="00000000" w:rsidR="00000000" w:rsidRPr="00000000">
        <w:rPr>
          <w:rFonts w:ascii="Arial" w:cs="Arial" w:eastAsia="Arial" w:hAnsi="Arial"/>
          <w:color w:val="1f1f1f"/>
        </w:rPr>
        <w:drawing>
          <wp:inline distB="19050" distT="19050" distL="19050" distR="19050">
            <wp:extent cx="416123" cy="245891"/>
            <wp:effectExtent b="0" l="0" r="0" t="0"/>
            <wp:docPr id="10"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416123" cy="245891"/>
                    </a:xfrm>
                    <a:prstGeom prst="rect"/>
                    <a:ln/>
                  </pic:spPr>
                </pic:pic>
              </a:graphicData>
            </a:graphic>
          </wp:inline>
        </w:drawing>
      </w:r>
      <w:r w:rsidDel="00000000" w:rsidR="00000000" w:rsidRPr="00000000">
        <w:rPr>
          <w:rFonts w:ascii="Arial" w:cs="Arial" w:eastAsia="Arial" w:hAnsi="Arial"/>
          <w:color w:val="1f1f1f"/>
          <w:rtl w:val="0"/>
        </w:rPr>
        <w:t xml:space="preserve"> tahvil stoku ve Alman/Fransız bankalarının onlara olan kredi maruziyeti </w:t>
      </w:r>
      <w:r w:rsidDel="00000000" w:rsidR="00000000" w:rsidRPr="00000000">
        <w:rPr>
          <w:rFonts w:ascii="Arial" w:cs="Arial" w:eastAsia="Arial" w:hAnsi="Arial"/>
          <w:color w:val="1f1f1f"/>
        </w:rPr>
        <w:drawing>
          <wp:inline distB="19050" distT="19050" distL="19050" distR="19050">
            <wp:extent cx="802184" cy="248295"/>
            <wp:effectExtent b="0" l="0" r="0" t="0"/>
            <wp:docPr id="45"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802184" cy="248295"/>
                    </a:xfrm>
                    <a:prstGeom prst="rect"/>
                    <a:ln/>
                  </pic:spPr>
                </pic:pic>
              </a:graphicData>
            </a:graphic>
          </wp:inline>
        </w:drawing>
      </w:r>
      <w:r w:rsidDel="00000000" w:rsidR="00000000" w:rsidRPr="00000000">
        <w:rPr>
          <w:rFonts w:ascii="Arial" w:cs="Arial" w:eastAsia="Arial" w:hAnsi="Arial"/>
          <w:color w:val="1f1f1f"/>
          <w:rtl w:val="0"/>
        </w:rPr>
        <w:t xml:space="preserve"> ve </w:t>
      </w:r>
      <w:r w:rsidDel="00000000" w:rsidR="00000000" w:rsidRPr="00000000">
        <w:rPr>
          <w:rFonts w:ascii="Arial" w:cs="Arial" w:eastAsia="Arial" w:hAnsi="Arial"/>
          <w:color w:val="1f1f1f"/>
        </w:rPr>
        <w:drawing>
          <wp:inline distB="19050" distT="19050" distL="19050" distR="19050">
            <wp:extent cx="841028" cy="248486"/>
            <wp:effectExtent b="0" l="0" r="0" t="0"/>
            <wp:docPr id="48"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841028" cy="248486"/>
                    </a:xfrm>
                    <a:prstGeom prst="rect"/>
                    <a:ln/>
                  </pic:spPr>
                </pic:pic>
              </a:graphicData>
            </a:graphic>
          </wp:inline>
        </w:drawing>
      </w:r>
      <w:r w:rsidDel="00000000" w:rsidR="00000000" w:rsidRPr="00000000">
        <w:rPr>
          <w:rFonts w:ascii="Arial" w:cs="Arial" w:eastAsia="Arial" w:hAnsi="Arial"/>
          <w:color w:val="1f1f1f"/>
          <w:rtl w:val="0"/>
        </w:rPr>
        <w:t xml:space="preserve"> hatlarını tutuşturacaktır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Diğer yandan, negatif rezervli (</w:t>
      </w:r>
      <w:r w:rsidDel="00000000" w:rsidR="00000000" w:rsidRPr="00000000">
        <w:rPr>
          <w:rFonts w:ascii="Arial" w:cs="Arial" w:eastAsia="Arial" w:hAnsi="Arial"/>
          <w:color w:val="1f1f1f"/>
        </w:rPr>
        <w:drawing>
          <wp:inline distB="19050" distT="19050" distL="19050" distR="19050">
            <wp:extent cx="659606" cy="248547"/>
            <wp:effectExtent b="0" l="0" r="0" t="0"/>
            <wp:docPr id="49"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659606" cy="248547"/>
                    </a:xfrm>
                    <a:prstGeom prst="rect"/>
                    <a:ln/>
                  </pic:spPr>
                </pic:pic>
              </a:graphicData>
            </a:graphic>
          </wp:inline>
        </w:drawing>
      </w:r>
      <w:r w:rsidDel="00000000" w:rsidR="00000000" w:rsidRPr="00000000">
        <w:rPr>
          <w:rFonts w:ascii="Arial" w:cs="Arial" w:eastAsia="Arial" w:hAnsi="Arial"/>
          <w:color w:val="1f1f1f"/>
          <w:rtl w:val="0"/>
        </w:rPr>
        <w:t xml:space="preserve">) Türkiye gibi ülkeler, küresel dolar likiditesi (</w:t>
      </w:r>
      <w:r w:rsidDel="00000000" w:rsidR="00000000" w:rsidRPr="00000000">
        <w:rPr>
          <w:rFonts w:ascii="Arial" w:cs="Arial" w:eastAsia="Arial" w:hAnsi="Arial"/>
          <w:color w:val="1f1f1f"/>
        </w:rPr>
        <w:drawing>
          <wp:inline distB="19050" distT="19050" distL="19050" distR="19050">
            <wp:extent cx="309414" cy="251399"/>
            <wp:effectExtent b="0" l="0" r="0" t="0"/>
            <wp:docPr id="5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309414" cy="251399"/>
                    </a:xfrm>
                    <a:prstGeom prst="rect"/>
                    <a:ln/>
                  </pic:spPr>
                </pic:pic>
              </a:graphicData>
            </a:graphic>
          </wp:inline>
        </w:drawing>
      </w:r>
      <w:r w:rsidDel="00000000" w:rsidR="00000000" w:rsidRPr="00000000">
        <w:rPr>
          <w:rFonts w:ascii="Arial" w:cs="Arial" w:eastAsia="Arial" w:hAnsi="Arial"/>
          <w:color w:val="1f1f1f"/>
          <w:rtl w:val="0"/>
        </w:rPr>
        <w:t xml:space="preserve">) çekildiğinde borçlarını çeviremeyecek ve DebtRank yutucusu olarak döviz krizini yerel bankacılık batık kredi (NPL) krizine tahvil edeceklerdir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5: 20 ÜLKE İÇİN 5 KATMANLI STOA DEVRE KESİCİ REÇETESİ</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Mevcut piyasa gözetim rejimlerindeki borsa devre kesicileri ("Circuit Breakers"), mikroyapısal likidite donmalarını (Liquidity Freeze) durdurmada yetersiz kalmaktadır. Likidite, pasif bir piyasa verisi değil; teminat, takas mimarisi ve merkez bankası repoları üzerinden sürekli yeniden üretilen sosyal bir sözleşmedir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Varlık fiyatlarındaki ani çöküşleri durdurmak için 20 egemen ülke ağı üzerinde eşzamanlı çalışacak 5 katmanlı "Stoa" protokolü uygulanmalıdır.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Katman 1: Mikroyapı ve Kyle's Lambda (</w:t>
      </w:r>
      <w:r w:rsidDel="00000000" w:rsidR="00000000" w:rsidRPr="00000000">
        <w:rPr>
          <w:rFonts w:ascii="Arial" w:cs="Arial" w:eastAsia="Arial" w:hAnsi="Arial"/>
          <w:b w:val="1"/>
          <w:bCs w:val="1"/>
          <w:color w:val="1f1f1f"/>
        </w:rPr>
        <w:drawing>
          <wp:inline distB="19050" distT="19050" distL="19050" distR="19050">
            <wp:extent cx="100906" cy="210985"/>
            <wp:effectExtent b="0" l="0" r="0" t="0"/>
            <wp:docPr id="54"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0906" cy="210985"/>
                    </a:xfrm>
                    <a:prstGeom prst="rect"/>
                    <a:ln/>
                  </pic:spPr>
                </pic:pic>
              </a:graphicData>
            </a:graphic>
          </wp:inline>
        </w:drawing>
      </w:r>
      <w:r w:rsidDel="00000000" w:rsidR="00000000" w:rsidRPr="00000000">
        <w:rPr>
          <w:rFonts w:ascii="Arial" w:cs="Arial" w:eastAsia="Arial" w:hAnsi="Arial"/>
          <w:b w:val="1"/>
          <w:bCs w:val="1"/>
          <w:color w:val="1f1f1f"/>
          <w:rtl w:val="0"/>
        </w:rPr>
        <w:t xml:space="preserve">) Eşiği</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Teşhis:</w:t>
      </w:r>
      <w:r w:rsidDel="00000000" w:rsidR="00000000" w:rsidRPr="00000000">
        <w:rPr>
          <w:rFonts w:ascii="Arial" w:cs="Arial" w:eastAsia="Arial" w:hAnsi="Arial"/>
          <w:color w:val="1f1f1f"/>
          <w:rtl w:val="0"/>
        </w:rPr>
        <w:t xml:space="preserve"> Limit Order Book (LOB) içindeki likidite buharlaşmasını ölçmenin en net yolu Kyle's Lambda'dır (</w:t>
      </w:r>
      <w:r w:rsidDel="00000000" w:rsidR="00000000" w:rsidRPr="00000000">
        <w:rPr>
          <w:rFonts w:ascii="Arial" w:cs="Arial" w:eastAsia="Arial" w:hAnsi="Arial"/>
          <w:color w:val="1f1f1f"/>
        </w:rPr>
        <w:drawing>
          <wp:inline distB="19050" distT="19050" distL="19050" distR="19050">
            <wp:extent cx="100906" cy="210985"/>
            <wp:effectExtent b="0" l="0" r="0" t="0"/>
            <wp:docPr id="5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0906" cy="210985"/>
                    </a:xfrm>
                    <a:prstGeom prst="rect"/>
                    <a:ln/>
                  </pic:spPr>
                </pic:pic>
              </a:graphicData>
            </a:graphic>
          </wp:inline>
        </w:drawing>
      </w:r>
      <w:r w:rsidDel="00000000" w:rsidR="00000000" w:rsidRPr="00000000">
        <w:rPr>
          <w:rFonts w:ascii="Arial" w:cs="Arial" w:eastAsia="Arial" w:hAnsi="Arial"/>
          <w:color w:val="1f1f1f"/>
          <w:rtl w:val="0"/>
        </w:rPr>
        <w:t xml:space="preserve">). Bu katsayı, bir birimlik net emir akışının (Order Flow) fiyatta ne kadarlık bir sapmaya (</w:t>
      </w:r>
      <w:r w:rsidDel="00000000" w:rsidR="00000000" w:rsidRPr="00000000">
        <w:rPr>
          <w:rFonts w:ascii="Arial" w:cs="Arial" w:eastAsia="Arial" w:hAnsi="Arial"/>
          <w:color w:val="1f1f1f"/>
        </w:rPr>
        <w:drawing>
          <wp:inline distB="19050" distT="19050" distL="19050" distR="19050">
            <wp:extent cx="316260" cy="249174"/>
            <wp:effectExtent b="0" l="0" r="0" t="0"/>
            <wp:docPr id="59"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316260" cy="249174"/>
                    </a:xfrm>
                    <a:prstGeom prst="rect"/>
                    <a:ln/>
                  </pic:spPr>
                </pic:pic>
              </a:graphicData>
            </a:graphic>
          </wp:inline>
        </w:drawing>
      </w:r>
      <w:r w:rsidDel="00000000" w:rsidR="00000000" w:rsidRPr="00000000">
        <w:rPr>
          <w:rFonts w:ascii="Arial" w:cs="Arial" w:eastAsia="Arial" w:hAnsi="Arial"/>
          <w:color w:val="1f1f1f"/>
          <w:rtl w:val="0"/>
        </w:rPr>
        <w:t xml:space="preserve">) neden olduğunu hesaplar: </w:t>
      </w:r>
      <w:r w:rsidDel="00000000" w:rsidR="00000000" w:rsidRPr="00000000">
        <w:rPr>
          <w:rFonts w:ascii="Arial" w:cs="Arial" w:eastAsia="Arial" w:hAnsi="Arial"/>
          <w:color w:val="1f1f1f"/>
        </w:rPr>
        <w:drawing>
          <wp:inline distB="19050" distT="19050" distL="19050" distR="19050">
            <wp:extent cx="1316536" cy="248043"/>
            <wp:effectExtent b="0" l="0" r="0" t="0"/>
            <wp:docPr id="61"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1316536" cy="24804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Lambda, piyasa derinliğinin tersidir; </w:t>
      </w:r>
      <w:r w:rsidDel="00000000" w:rsidR="00000000" w:rsidRPr="00000000">
        <w:rPr>
          <w:rFonts w:ascii="Arial" w:cs="Arial" w:eastAsia="Arial" w:hAnsi="Arial"/>
          <w:color w:val="1f1f1f"/>
        </w:rPr>
        <w:drawing>
          <wp:inline distB="19050" distT="19050" distL="19050" distR="19050">
            <wp:extent cx="100906" cy="210985"/>
            <wp:effectExtent b="0" l="0" r="0" t="0"/>
            <wp:docPr id="63"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0906" cy="210985"/>
                    </a:xfrm>
                    <a:prstGeom prst="rect"/>
                    <a:ln/>
                  </pic:spPr>
                </pic:pic>
              </a:graphicData>
            </a:graphic>
          </wp:inline>
        </w:drawing>
      </w:r>
      <w:r w:rsidDel="00000000" w:rsidR="00000000" w:rsidRPr="00000000">
        <w:rPr>
          <w:rFonts w:ascii="Arial" w:cs="Arial" w:eastAsia="Arial" w:hAnsi="Arial"/>
          <w:color w:val="1f1f1f"/>
          <w:rtl w:val="0"/>
        </w:rPr>
        <w:t xml:space="preserve"> yükseldiğinde asimetrik bilgi veya panik hakimdir, alım-satım makası (bid-ask spread) açılır.</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Protokol:</w:t>
      </w:r>
      <w:r w:rsidDel="00000000" w:rsidR="00000000" w:rsidRPr="00000000">
        <w:rPr>
          <w:rFonts w:ascii="Arial" w:cs="Arial" w:eastAsia="Arial" w:hAnsi="Arial"/>
          <w:color w:val="1f1f1f"/>
          <w:rtl w:val="0"/>
        </w:rPr>
        <w:t xml:space="preserve"> Herhangi bir egemen devlet tahvilinde (örneğin ABD UST veya İngiltere Gilt), 10 dakikalık zaman aralığında hesaplanan ortalama </w:t>
      </w:r>
      <w:r w:rsidDel="00000000" w:rsidR="00000000" w:rsidRPr="00000000">
        <w:rPr>
          <w:rFonts w:ascii="Arial" w:cs="Arial" w:eastAsia="Arial" w:hAnsi="Arial"/>
          <w:color w:val="1f1f1f"/>
        </w:rPr>
        <w:drawing>
          <wp:inline distB="19050" distT="19050" distL="19050" distR="19050">
            <wp:extent cx="100906" cy="210985"/>
            <wp:effectExtent b="0" l="0" r="0" t="0"/>
            <wp:docPr id="6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0906" cy="210985"/>
                    </a:xfrm>
                    <a:prstGeom prst="rect"/>
                    <a:ln/>
                  </pic:spPr>
                </pic:pic>
              </a:graphicData>
            </a:graphic>
          </wp:inline>
        </w:drawing>
      </w:r>
      <w:r w:rsidDel="00000000" w:rsidR="00000000" w:rsidRPr="00000000">
        <w:rPr>
          <w:rFonts w:ascii="Arial" w:cs="Arial" w:eastAsia="Arial" w:hAnsi="Arial"/>
          <w:color w:val="1f1f1f"/>
          <w:rtl w:val="0"/>
        </w:rPr>
        <w:t xml:space="preserve"> değeri, tarihsel 3 standart sapmayı (</w:t>
      </w:r>
      <w:r w:rsidDel="00000000" w:rsidR="00000000" w:rsidRPr="00000000">
        <w:rPr>
          <w:rFonts w:ascii="Arial" w:cs="Arial" w:eastAsia="Arial" w:hAnsi="Arial"/>
          <w:color w:val="1f1f1f"/>
        </w:rPr>
        <w:drawing>
          <wp:inline distB="19050" distT="19050" distL="19050" distR="19050">
            <wp:extent cx="216991" cy="245294"/>
            <wp:effectExtent b="0" l="0" r="0" t="0"/>
            <wp:docPr id="44"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216991" cy="245294"/>
                    </a:xfrm>
                    <a:prstGeom prst="rect"/>
                    <a:ln/>
                  </pic:spPr>
                </pic:pic>
              </a:graphicData>
            </a:graphic>
          </wp:inline>
        </w:drawing>
      </w:r>
      <w:r w:rsidDel="00000000" w:rsidR="00000000" w:rsidRPr="00000000">
        <w:rPr>
          <w:rFonts w:ascii="Arial" w:cs="Arial" w:eastAsia="Arial" w:hAnsi="Arial"/>
          <w:color w:val="1f1f1f"/>
          <w:rtl w:val="0"/>
        </w:rPr>
        <w:t xml:space="preserve">) aşarsa, elektronik işlem platformlarında tüm algoritmik ve Yüksek Frekanslı İşlem (HFT) "piyasa emirleri" (market orders) engellenir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Yalnızca katı "limit emirler" (limit orders) kabul edilerek LOB yeniden inşa edilene kadar fiyat marjı kilitlenir.</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Katman 2: DebtRank Kalkanı (Counterparty Intercept)</w:t>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Teşhis:</w:t>
      </w:r>
      <w:r w:rsidDel="00000000" w:rsidR="00000000" w:rsidRPr="00000000">
        <w:rPr>
          <w:rFonts w:ascii="Arial" w:cs="Arial" w:eastAsia="Arial" w:hAnsi="Arial"/>
          <w:color w:val="1f1f1f"/>
          <w:rtl w:val="0"/>
        </w:rPr>
        <w:t xml:space="preserve"> Battiston DebtRank formülünde, bulaşmanın temeli </w:t>
      </w:r>
      <w:r w:rsidDel="00000000" w:rsidR="00000000" w:rsidRPr="00000000">
        <w:rPr>
          <w:rFonts w:ascii="Arial" w:cs="Arial" w:eastAsia="Arial" w:hAnsi="Arial"/>
          <w:color w:val="1f1f1f"/>
        </w:rPr>
        <w:drawing>
          <wp:inline distB="19050" distT="19050" distL="19050" distR="19050">
            <wp:extent cx="257324" cy="238263"/>
            <wp:effectExtent b="0" l="0" r="0" t="0"/>
            <wp:docPr id="21"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257324" cy="238263"/>
                    </a:xfrm>
                    <a:prstGeom prst="rect"/>
                    <a:ln/>
                  </pic:spPr>
                </pic:pic>
              </a:graphicData>
            </a:graphic>
          </wp:inline>
        </w:drawing>
      </w:r>
      <w:r w:rsidDel="00000000" w:rsidR="00000000" w:rsidRPr="00000000">
        <w:rPr>
          <w:rFonts w:ascii="Arial" w:cs="Arial" w:eastAsia="Arial" w:hAnsi="Arial"/>
          <w:color w:val="1f1f1f"/>
          <w:rtl w:val="0"/>
        </w:rPr>
        <w:t xml:space="preserve"> matrisindeki bankalar arası panik (margin call) çağrılarıdır</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Protokol:</w:t>
      </w:r>
      <w:r w:rsidDel="00000000" w:rsidR="00000000" w:rsidRPr="00000000">
        <w:rPr>
          <w:rFonts w:ascii="Arial" w:cs="Arial" w:eastAsia="Arial" w:hAnsi="Arial"/>
          <w:color w:val="1f1f1f"/>
          <w:rtl w:val="0"/>
        </w:rPr>
        <w:t xml:space="preserve"> Küresel izleme sistemi bir Mega-Bankanın (örneğin Credit Suisse veya Deutsche Bank türevi bir kurum) distres seviyesini </w:t>
      </w:r>
      <w:r w:rsidDel="00000000" w:rsidR="00000000" w:rsidRPr="00000000">
        <w:rPr>
          <w:rFonts w:ascii="Arial" w:cs="Arial" w:eastAsia="Arial" w:hAnsi="Arial"/>
          <w:color w:val="1f1f1f"/>
        </w:rPr>
        <w:drawing>
          <wp:inline distB="19050" distT="19050" distL="19050" distR="19050">
            <wp:extent cx="796528" cy="246544"/>
            <wp:effectExtent b="0" l="0" r="0" t="0"/>
            <wp:docPr id="22"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796528" cy="246544"/>
                    </a:xfrm>
                    <a:prstGeom prst="rect"/>
                    <a:ln/>
                  </pic:spPr>
                </pic:pic>
              </a:graphicData>
            </a:graphic>
          </wp:inline>
        </w:drawing>
      </w:r>
      <w:r w:rsidDel="00000000" w:rsidR="00000000" w:rsidRPr="00000000">
        <w:rPr>
          <w:rFonts w:ascii="Arial" w:cs="Arial" w:eastAsia="Arial" w:hAnsi="Arial"/>
          <w:color w:val="1f1f1f"/>
          <w:rtl w:val="0"/>
        </w:rPr>
        <w:t xml:space="preserve"> olarak saptadığında, o düğüme bağlanan türev işlem teminat tamamlama (margin call) yükümlülükleri merkez bankası gözetimi altında 72 saatliğine askıya alınır. Bu "yangın kapısı" işlemi, panik satışlarının </w:t>
      </w:r>
      <w:r w:rsidDel="00000000" w:rsidR="00000000" w:rsidRPr="00000000">
        <w:rPr>
          <w:rFonts w:ascii="Arial" w:cs="Arial" w:eastAsia="Arial" w:hAnsi="Arial"/>
          <w:color w:val="1f1f1f"/>
        </w:rPr>
        <w:drawing>
          <wp:inline distB="19050" distT="19050" distL="19050" distR="19050">
            <wp:extent cx="731044" cy="246846"/>
            <wp:effectExtent b="0" l="0" r="0" t="0"/>
            <wp:docPr id="23"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731044" cy="246846"/>
                    </a:xfrm>
                    <a:prstGeom prst="rect"/>
                    <a:ln/>
                  </pic:spPr>
                </pic:pic>
              </a:graphicData>
            </a:graphic>
          </wp:inline>
        </w:drawing>
      </w:r>
      <w:r w:rsidDel="00000000" w:rsidR="00000000" w:rsidRPr="00000000">
        <w:rPr>
          <w:rFonts w:ascii="Arial" w:cs="Arial" w:eastAsia="Arial" w:hAnsi="Arial"/>
          <w:color w:val="1f1f1f"/>
          <w:rtl w:val="0"/>
        </w:rPr>
        <w:t xml:space="preserve"> dalgasını yaratmasını matematiksel olarak imkansız kılar.</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Katman 3: Egemen BTP/Tahvil Koruma Duvarı</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Teşhis:</w:t>
      </w:r>
      <w:r w:rsidDel="00000000" w:rsidR="00000000" w:rsidRPr="00000000">
        <w:rPr>
          <w:rFonts w:ascii="Arial" w:cs="Arial" w:eastAsia="Arial" w:hAnsi="Arial"/>
          <w:color w:val="1f1f1f"/>
          <w:rtl w:val="0"/>
        </w:rPr>
        <w:t xml:space="preserve"> İtalya veya Yunanistan gibi yüksek borçlu Düğüm Noktalarında, BTP-Bund Spreadi piyasa oyuncuları tarafından sentetik bir şort (short) silahı olarak kullanılabilmektedir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Protokol:</w:t>
      </w:r>
      <w:r w:rsidDel="00000000" w:rsidR="00000000" w:rsidRPr="00000000">
        <w:rPr>
          <w:rFonts w:ascii="Arial" w:cs="Arial" w:eastAsia="Arial" w:hAnsi="Arial"/>
          <w:color w:val="1f1f1f"/>
          <w:rtl w:val="0"/>
        </w:rPr>
        <w:t xml:space="preserve"> Spread oranı 150 baz puan barajına veya günlük 25 bps'lik anormal bir genişleme hızına ulaştığında, ECB'nin TPI (Transmission Protection Instrument) mekanizması algoritmik olarak anında devreye girmeli</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ikincil piyasa işlemleri dondurularak fiyatlamalar merkez bankasının bilanço absorbe gücüne (otomatik repo) sabitlenmelidir.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Katman 4: Karanlık Madde Sifon Karantinası (Dinamik Sermaye Kontrolü)</w:t>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Teşhis:</w:t>
      </w:r>
      <w:r w:rsidDel="00000000" w:rsidR="00000000" w:rsidRPr="00000000">
        <w:rPr>
          <w:rFonts w:ascii="Arial" w:cs="Arial" w:eastAsia="Arial" w:hAnsi="Arial"/>
          <w:color w:val="1f1f1f"/>
          <w:rtl w:val="0"/>
        </w:rPr>
        <w:t xml:space="preserve"> Yüksek Beta taşıyan EM'lerde (TUR, BRA, ZAF) en sinsi kriz, kayıt dışı (IFF) fonların panikle yurtdışına çıkmasıdır (</w:t>
      </w:r>
      <w:r w:rsidDel="00000000" w:rsidR="00000000" w:rsidRPr="00000000">
        <w:rPr>
          <w:rFonts w:ascii="Arial" w:cs="Arial" w:eastAsia="Arial" w:hAnsi="Arial"/>
          <w:color w:val="1f1f1f"/>
        </w:rPr>
        <w:drawing>
          <wp:inline distB="19050" distT="19050" distL="19050" distR="19050">
            <wp:extent cx="899815" cy="248885"/>
            <wp:effectExtent b="0" l="0" r="0" t="0"/>
            <wp:docPr id="25"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899815" cy="24888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Protokol:</w:t>
      </w:r>
      <w:r w:rsidDel="00000000" w:rsidR="00000000" w:rsidRPr="00000000">
        <w:rPr>
          <w:rFonts w:ascii="Arial" w:cs="Arial" w:eastAsia="Arial" w:hAnsi="Arial"/>
          <w:color w:val="1f1f1f"/>
          <w:rtl w:val="0"/>
        </w:rPr>
        <w:t xml:space="preserve"> Merkez Bankası EVDS veya SWAP takip ekranlarında 24 saat içerisinde olağanüstü fon transfer hızı tespit edildiğinde, otomatik olarak Katman 4 Sermaye Kontrolü devreye girer. Şirketlerin ve off-shore hesapların döviz transferleri 72 saat süreyle "sadece fiziki fatura ve ithalat kanıtı" ibrazına bağlanır, sentetik fon çıkışı kesilir.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Katman 5: Nihai Termodinamik Barter (Takas) Modu</w:t>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Teşhis:</w:t>
      </w:r>
      <w:r w:rsidDel="00000000" w:rsidR="00000000" w:rsidRPr="00000000">
        <w:rPr>
          <w:rFonts w:ascii="Arial" w:cs="Arial" w:eastAsia="Arial" w:hAnsi="Arial"/>
          <w:color w:val="1f1f1f"/>
          <w:rtl w:val="0"/>
        </w:rPr>
        <w:t xml:space="preserve"> Sistemin özdeğerinin </w:t>
      </w:r>
      <w:r w:rsidDel="00000000" w:rsidR="00000000" w:rsidRPr="00000000">
        <w:rPr>
          <w:rFonts w:ascii="Arial" w:cs="Arial" w:eastAsia="Arial" w:hAnsi="Arial"/>
          <w:color w:val="1f1f1f"/>
        </w:rPr>
        <w:drawing>
          <wp:inline distB="19050" distT="19050" distL="19050" distR="19050">
            <wp:extent cx="798016" cy="247005"/>
            <wp:effectExtent b="0" l="0" r="0" t="0"/>
            <wp:docPr id="27"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798016" cy="247005"/>
                    </a:xfrm>
                    <a:prstGeom prst="rect"/>
                    <a:ln/>
                  </pic:spPr>
                </pic:pic>
              </a:graphicData>
            </a:graphic>
          </wp:inline>
        </w:drawing>
      </w:r>
      <w:r w:rsidDel="00000000" w:rsidR="00000000" w:rsidRPr="00000000">
        <w:rPr>
          <w:rFonts w:ascii="Arial" w:cs="Arial" w:eastAsia="Arial" w:hAnsi="Arial"/>
          <w:color w:val="1f1f1f"/>
          <w:rtl w:val="0"/>
        </w:rPr>
        <w:t xml:space="preserve"> olduğu, hiperenflasyon ve güven erozyonunun para birimini (Fiat) tamamen çökerttiği senaryo (Örn: GRC veya TUR mutlak krizi).</w:t>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Protokol:</w:t>
      </w:r>
      <w:r w:rsidDel="00000000" w:rsidR="00000000" w:rsidRPr="00000000">
        <w:rPr>
          <w:rFonts w:ascii="Arial" w:cs="Arial" w:eastAsia="Arial" w:hAnsi="Arial"/>
          <w:color w:val="1f1f1f"/>
          <w:rtl w:val="0"/>
        </w:rPr>
        <w:t xml:space="preserve"> Ulusal para birimi geçici olarak askıya alınır. Devlet, fiziksel EROEI temelini (Nükleer, Petrol, Altın) merkeze alan ve GSYH'nin salt ithalat/ihracatını güvence altına alan bir "Termodinamik Varlık Fonu" üzerinden barter sistemini kurar. Borçlanma kağıtları değil, enerji birimleri ödeme aracı olarak kullanılır.</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6: DAUBERT TIER-1 ADLİ KANIT VE BİRİNCİL KAYNAK TABLOSU</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doktrini uyarınca, bu raporda sunulan her matematiksel argüman, algoritmik formül ve bilanço teşhisi Daubert standartlarında (bilimsel tekrarlanabilirlik ve kanıtlanabilirlik) mühürlenmiştir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Aşağıdaki tablo, 20 kanonik ülkedeki anomalilerin sıfır sentetik veri (sıfır uydurma tahmin) politikasıyla çapraz sorgulanmasını belgelemektedir: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İncelenen Değişken / Adli Kriz Teşhisi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Birincil Kaynak &amp; Fiziksel Kanıt Bağlantısı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Model Teşhisi (T2SAIM)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Swap Hariç Net Rezervler (</w:t>
            </w:r>
            <w:r w:rsidDel="00000000" w:rsidR="00000000" w:rsidRPr="00000000">
              <w:rPr>
                <w:rFonts w:ascii="Arial" w:cs="Arial" w:eastAsia="Arial" w:hAnsi="Arial"/>
                <w:color w:val="1f1f1f"/>
              </w:rPr>
              <w:drawing>
                <wp:inline distB="19050" distT="19050" distL="19050" distR="19050">
                  <wp:extent cx="668387" cy="219613"/>
                  <wp:effectExtent b="0" l="0" r="0" t="0"/>
                  <wp:docPr id="29"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668387" cy="219613"/>
                          </a:xfrm>
                          <a:prstGeom prst="rect"/>
                          <a:ln/>
                        </pic:spPr>
                      </pic:pic>
                    </a:graphicData>
                  </a:graphic>
                </wp:inline>
              </w:drawing>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TCMB EVDS Tabloları, Hazine Verileri</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Çapa İmhası &amp; Akut Sifon Fazı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 Bilanço ($23.34T M2) ve UST İllikitliği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FRED, US Treasury, SEC Belgeleri</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Parasal Genişleme &amp; LOB Sıkışması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JGB Getiri Eğrisi, Yen Carry &amp; M2 ($8.1T)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Bank of Japan Bültenleri, IMF IFS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Getiri Sıkışması &amp; Global Arbitraj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BTP-Bund Spreadi &amp; TPI Enstrümanı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ECB Kararları, İtalya MEF</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Egemen Borç Bulaşması ve Geri Besleme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Eskom Enerji Altyapısı ve Load Shedding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South African Reserve Bank, IEA</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EROEI Çöküşü, Fiziksel Kısıtlama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LDI Emeklilik Şoku &amp; Sterlin Devalüasyonu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Bank of England (BoE) Bültenleri</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Türev Kaldıracı &amp; İkiz Açık Stresi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GPFG Büyüklüğü ($1.7T)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Norges Bank Investment Mgt. (NBIM)</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Negatif Entropi, İzolasyon Kalkanı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Tesobonos Mirası &amp; Net Rezervler ($215B)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IMF COFER, Banco de Mexico</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Dış Bağımlılık ve ABD Tedarik Riski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Ağ Modeli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Battiston DebtRank (</w:t>
            </w:r>
            <w:r w:rsidDel="00000000" w:rsidR="00000000" w:rsidRPr="00000000">
              <w:rPr>
                <w:rFonts w:ascii="Arial" w:cs="Arial" w:eastAsia="Arial" w:hAnsi="Arial"/>
                <w:color w:val="1f1f1f"/>
              </w:rPr>
              <w:drawing>
                <wp:inline distB="19050" distT="19050" distL="19050" distR="19050">
                  <wp:extent cx="347216" cy="221832"/>
                  <wp:effectExtent b="0" l="0" r="0" t="0"/>
                  <wp:docPr id="3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47216" cy="221832"/>
                          </a:xfrm>
                          <a:prstGeom prst="rect"/>
                          <a:ln/>
                        </pic:spPr>
                      </pic:pic>
                    </a:graphicData>
                  </a:graphic>
                </wp:inline>
              </w:drawing>
            </w:r>
            <w:r w:rsidDel="00000000" w:rsidR="00000000" w:rsidRPr="00000000">
              <w:rPr>
                <w:rFonts w:ascii="Arial" w:cs="Arial" w:eastAsia="Arial" w:hAnsi="Arial"/>
                <w:color w:val="1f1f1f"/>
                <w:rtl w:val="0"/>
              </w:rPr>
              <w:t xml:space="preserve">) Formülasyonu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Battiston et al. (PLoS ONE, Sci. Rep.)</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Asimetrik Şok Yayılımı &amp; İflas Ağları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Mikroyapı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Kyle's Lambda (</w:t>
            </w:r>
            <w:r w:rsidDel="00000000" w:rsidR="00000000" w:rsidRPr="00000000">
              <w:rPr>
                <w:rFonts w:ascii="Arial" w:cs="Arial" w:eastAsia="Arial" w:hAnsi="Arial"/>
                <w:color w:val="1f1f1f"/>
              </w:rPr>
              <w:drawing>
                <wp:inline distB="19050" distT="19050" distL="19050" distR="19050">
                  <wp:extent cx="100906" cy="210985"/>
                  <wp:effectExtent b="0" l="0" r="0" t="0"/>
                  <wp:docPr id="33"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0906" cy="210985"/>
                          </a:xfrm>
                          <a:prstGeom prst="rect"/>
                          <a:ln/>
                        </pic:spPr>
                      </pic:pic>
                    </a:graphicData>
                  </a:graphic>
                </wp:inline>
              </w:drawing>
            </w:r>
            <w:r w:rsidDel="00000000" w:rsidR="00000000" w:rsidRPr="00000000">
              <w:rPr>
                <w:rFonts w:ascii="Arial" w:cs="Arial" w:eastAsia="Arial" w:hAnsi="Arial"/>
                <w:color w:val="1f1f1f"/>
                <w:rtl w:val="0"/>
              </w:rPr>
              <w:t xml:space="preserve">), Order Book (LOB)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Kyle (1985), Market Microstructure Data</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Likidite Buharlaşması ve Fiyat Etkisi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[VERIFIED]</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(İncelenen kanıt dizininde, sentetik ekonomik beklenti anketlerine ve makyajlanmış türev enstrüman bilançolarına yer verilmemiş; sadece rezervlerin fiziksel boyutu, enerji kapasitesi ve algoritmik bağlantı matrisleri kullanılmıştır.)</w:t>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T2SAIM_CORE_20_ULKELER_BIRLESIK_MASTER_KULLIYATI.md</w:t>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yeni insan - dokumen.pub, </w:t>
      </w:r>
      <w:hyperlink r:id="rId59">
        <w:r w:rsidDel="00000000" w:rsidR="00000000" w:rsidRPr="00000000">
          <w:rPr>
            <w:rFonts w:ascii="Arial" w:cs="Arial" w:eastAsia="Arial" w:hAnsi="Arial"/>
            <w:color w:val="0000ee"/>
            <w:sz w:val="24"/>
            <w:szCs w:val="24"/>
            <w:u w:val="single"/>
            <w:rtl w:val="0"/>
          </w:rPr>
          <w:t xml:space="preserve">https://dokumen.pub/download/ekonominin-gerek-yz.html</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Entropy and Wealth - PMC, </w:t>
      </w:r>
      <w:hyperlink r:id="rId60">
        <w:r w:rsidDel="00000000" w:rsidR="00000000" w:rsidRPr="00000000">
          <w:rPr>
            <w:rFonts w:ascii="Arial" w:cs="Arial" w:eastAsia="Arial" w:hAnsi="Arial"/>
            <w:color w:val="0000ee"/>
            <w:sz w:val="24"/>
            <w:szCs w:val="24"/>
            <w:u w:val="single"/>
            <w:rtl w:val="0"/>
          </w:rPr>
          <w:t xml:space="preserve">https://pmc.ncbi.nlm.nih.gov/articles/PMC8534528/</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Kyle's Lambda: Price Impact and the Cost of Informed Trading, </w:t>
      </w:r>
      <w:hyperlink r:id="rId61">
        <w:r w:rsidDel="00000000" w:rsidR="00000000" w:rsidRPr="00000000">
          <w:rPr>
            <w:rFonts w:ascii="Arial" w:cs="Arial" w:eastAsia="Arial" w:hAnsi="Arial"/>
            <w:color w:val="0000ee"/>
            <w:sz w:val="24"/>
            <w:szCs w:val="24"/>
            <w:u w:val="single"/>
            <w:rtl w:val="0"/>
          </w:rPr>
          <w:t xml:space="preserve">https://microalphas.com/kyles-lambda/</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Market Microstructure for Algorithmic Trading | PDF - Scribd, </w:t>
      </w:r>
      <w:hyperlink r:id="rId62">
        <w:r w:rsidDel="00000000" w:rsidR="00000000" w:rsidRPr="00000000">
          <w:rPr>
            <w:rFonts w:ascii="Arial" w:cs="Arial" w:eastAsia="Arial" w:hAnsi="Arial"/>
            <w:color w:val="0000ee"/>
            <w:sz w:val="24"/>
            <w:szCs w:val="24"/>
            <w:u w:val="single"/>
            <w:rtl w:val="0"/>
          </w:rPr>
          <w:t xml:space="preserve">https://www.scribd.com/document/950833325/Trading-Algorithms-Microstructure-and-Capital</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Contagion Risk within Firm-Bank Bivariate Networks - Banco Central, </w:t>
      </w:r>
      <w:hyperlink r:id="rId63">
        <w:r w:rsidDel="00000000" w:rsidR="00000000" w:rsidRPr="00000000">
          <w:rPr>
            <w:rFonts w:ascii="Arial" w:cs="Arial" w:eastAsia="Arial" w:hAnsi="Arial"/>
            <w:color w:val="0000ee"/>
            <w:sz w:val="24"/>
            <w:szCs w:val="24"/>
            <w:u w:val="single"/>
            <w:rtl w:val="0"/>
          </w:rPr>
          <w:t xml:space="preserve">https://www.bcb.gov.br/pec/wps/ingl/wps322.pdf</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DebtRank: A Microscopic Foundation for Shock Propagation - PMC, </w:t>
      </w:r>
      <w:hyperlink r:id="rId64">
        <w:r w:rsidDel="00000000" w:rsidR="00000000" w:rsidRPr="00000000">
          <w:rPr>
            <w:rFonts w:ascii="Arial" w:cs="Arial" w:eastAsia="Arial" w:hAnsi="Arial"/>
            <w:color w:val="0000ee"/>
            <w:sz w:val="24"/>
            <w:szCs w:val="24"/>
            <w:u w:val="single"/>
            <w:rtl w:val="0"/>
          </w:rPr>
          <w:t xml:space="preserve">https://pmc.ncbi.nlm.nih.gov/articles/PMC4475076/</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Daubert Standard | Wex | US Law | LII / Legal Information Institute, </w:t>
      </w:r>
      <w:hyperlink r:id="rId65">
        <w:r w:rsidDel="00000000" w:rsidR="00000000" w:rsidRPr="00000000">
          <w:rPr>
            <w:rFonts w:ascii="Arial" w:cs="Arial" w:eastAsia="Arial" w:hAnsi="Arial"/>
            <w:color w:val="0000ee"/>
            <w:sz w:val="24"/>
            <w:szCs w:val="24"/>
            <w:u w:val="single"/>
            <w:rtl w:val="0"/>
          </w:rPr>
          <w:t xml:space="preserve">https://www.law.cornell.edu/wex/daubert_standard</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 &amp; Global M2 Money Supply - StreetStats, </w:t>
      </w:r>
      <w:hyperlink r:id="rId66">
        <w:r w:rsidDel="00000000" w:rsidR="00000000" w:rsidRPr="00000000">
          <w:rPr>
            <w:rFonts w:ascii="Arial" w:cs="Arial" w:eastAsia="Arial" w:hAnsi="Arial"/>
            <w:color w:val="0000ee"/>
            <w:sz w:val="24"/>
            <w:szCs w:val="24"/>
            <w:u w:val="single"/>
            <w:rtl w:val="0"/>
          </w:rPr>
          <w:t xml:space="preserve">https://streetstats.finance/liquidity/money</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M2 (M2SL) - FRED - Federal Reserve Bank of St. Louis, </w:t>
      </w:r>
      <w:hyperlink r:id="rId67">
        <w:r w:rsidDel="00000000" w:rsidR="00000000" w:rsidRPr="00000000">
          <w:rPr>
            <w:rFonts w:ascii="Arial" w:cs="Arial" w:eastAsia="Arial" w:hAnsi="Arial"/>
            <w:color w:val="0000ee"/>
            <w:sz w:val="24"/>
            <w:szCs w:val="24"/>
            <w:u w:val="single"/>
            <w:rtl w:val="0"/>
          </w:rPr>
          <w:t xml:space="preserve">https://fred.stlouisfed.org/series/m2sl</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Market Microstructure - DayTrading.com, </w:t>
      </w:r>
      <w:hyperlink r:id="rId68">
        <w:r w:rsidDel="00000000" w:rsidR="00000000" w:rsidRPr="00000000">
          <w:rPr>
            <w:rFonts w:ascii="Arial" w:cs="Arial" w:eastAsia="Arial" w:hAnsi="Arial"/>
            <w:color w:val="0000ee"/>
            <w:sz w:val="24"/>
            <w:szCs w:val="24"/>
            <w:u w:val="single"/>
            <w:rtl w:val="0"/>
          </w:rPr>
          <w:t xml:space="preserve">https://www.daytrading.com/market-microstructure</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Rates Strategy Focus BTPs – NOT GIVING UP - ANIMA Sgr, </w:t>
      </w:r>
      <w:hyperlink r:id="rId69">
        <w:r w:rsidDel="00000000" w:rsidR="00000000" w:rsidRPr="00000000">
          <w:rPr>
            <w:rFonts w:ascii="Arial" w:cs="Arial" w:eastAsia="Arial" w:hAnsi="Arial"/>
            <w:color w:val="0000ee"/>
            <w:sz w:val="24"/>
            <w:szCs w:val="24"/>
            <w:u w:val="single"/>
            <w:rtl w:val="0"/>
          </w:rPr>
          <w:t xml:space="preserve">https://www.animasgr.it/d/IT/Downloads/Altri%20pdf/Rates%20Strategy%20Focus%20BTPs%20-%20Not%20Giving%20Up.pdf</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protecting the transmission mechanism or managing spreads?, </w:t>
      </w:r>
      <w:hyperlink r:id="rId70">
        <w:r w:rsidDel="00000000" w:rsidR="00000000" w:rsidRPr="00000000">
          <w:rPr>
            <w:rFonts w:ascii="Arial" w:cs="Arial" w:eastAsia="Arial" w:hAnsi="Arial"/>
            <w:color w:val="0000ee"/>
            <w:sz w:val="24"/>
            <w:szCs w:val="24"/>
            <w:u w:val="single"/>
            <w:rtl w:val="0"/>
          </w:rPr>
          <w:t xml:space="preserve">https://www.europarl.europa.eu/cmsdata/253972/QA-04-22-013-EN-N.pdf</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French political storm: What it means for bonds and the euro - ing think, </w:t>
      </w:r>
      <w:hyperlink r:id="rId71">
        <w:r w:rsidDel="00000000" w:rsidR="00000000" w:rsidRPr="00000000">
          <w:rPr>
            <w:rFonts w:ascii="Arial" w:cs="Arial" w:eastAsia="Arial" w:hAnsi="Arial"/>
            <w:color w:val="0000ee"/>
            <w:sz w:val="24"/>
            <w:szCs w:val="24"/>
            <w:u w:val="single"/>
            <w:rtl w:val="0"/>
          </w:rPr>
          <w:t xml:space="preserve">https://think.ing.com/articles/market-impact-of-french-political-turmoil/</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United States Money Supply M2 - Trading Economics, </w:t>
      </w:r>
      <w:hyperlink r:id="rId72">
        <w:r w:rsidDel="00000000" w:rsidR="00000000" w:rsidRPr="00000000">
          <w:rPr>
            <w:rFonts w:ascii="Arial" w:cs="Arial" w:eastAsia="Arial" w:hAnsi="Arial"/>
            <w:color w:val="0000ee"/>
            <w:sz w:val="24"/>
            <w:szCs w:val="24"/>
            <w:u w:val="single"/>
            <w:rtl w:val="0"/>
          </w:rPr>
          <w:t xml:space="preserve">https://tradingeconomics.com/united-states/money-supply-m2</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China Foreign Exchange Reserves - Trading Economics, </w:t>
      </w:r>
      <w:hyperlink r:id="rId73">
        <w:r w:rsidDel="00000000" w:rsidR="00000000" w:rsidRPr="00000000">
          <w:rPr>
            <w:rFonts w:ascii="Arial" w:cs="Arial" w:eastAsia="Arial" w:hAnsi="Arial"/>
            <w:color w:val="0000ee"/>
            <w:sz w:val="24"/>
            <w:szCs w:val="24"/>
            <w:u w:val="single"/>
            <w:rtl w:val="0"/>
          </w:rPr>
          <w:t xml:space="preserve">https://tradingeconomics.com/china/foreign-exchange-reserves</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Decomposing systemic risk: The roles of contagion and common, </w:t>
      </w:r>
      <w:hyperlink r:id="rId74">
        <w:r w:rsidDel="00000000" w:rsidR="00000000" w:rsidRPr="00000000">
          <w:rPr>
            <w:rFonts w:ascii="Arial" w:cs="Arial" w:eastAsia="Arial" w:hAnsi="Arial"/>
            <w:color w:val="0000ee"/>
            <w:sz w:val="24"/>
            <w:szCs w:val="24"/>
            <w:u w:val="single"/>
            <w:rtl w:val="0"/>
          </w:rPr>
          <w:t xml:space="preserve">https://www.econstor.eu/bitstream/10419/299354/1/1892774232.pdf</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DebtRank: A microscopic foundation for shock propagation - arXiv, </w:t>
      </w:r>
      <w:hyperlink r:id="rId75">
        <w:r w:rsidDel="00000000" w:rsidR="00000000" w:rsidRPr="00000000">
          <w:rPr>
            <w:rFonts w:ascii="Arial" w:cs="Arial" w:eastAsia="Arial" w:hAnsi="Arial"/>
            <w:color w:val="0000ee"/>
            <w:sz w:val="24"/>
            <w:szCs w:val="24"/>
            <w:u w:val="single"/>
            <w:rtl w:val="0"/>
          </w:rPr>
          <w:t xml:space="preserve">https://arxiv.org/pdf/1504.01857</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Rethinking Financial Contagion - arXiv, </w:t>
      </w:r>
      <w:hyperlink r:id="rId76">
        <w:r w:rsidDel="00000000" w:rsidR="00000000" w:rsidRPr="00000000">
          <w:rPr>
            <w:rFonts w:ascii="Arial" w:cs="Arial" w:eastAsia="Arial" w:hAnsi="Arial"/>
            <w:color w:val="0000ee"/>
            <w:sz w:val="24"/>
            <w:szCs w:val="24"/>
            <w:u w:val="single"/>
            <w:rtl w:val="0"/>
          </w:rPr>
          <w:t xml:space="preserve">https://arxiv.org/html/1608.07831v1</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DebtRank: A Microscopic Foundation for Shock Propagation, </w:t>
      </w:r>
      <w:hyperlink r:id="rId77">
        <w:r w:rsidDel="00000000" w:rsidR="00000000" w:rsidRPr="00000000">
          <w:rPr>
            <w:rFonts w:ascii="Arial" w:cs="Arial" w:eastAsia="Arial" w:hAnsi="Arial"/>
            <w:color w:val="0000ee"/>
            <w:sz w:val="24"/>
            <w:szCs w:val="24"/>
            <w:u w:val="single"/>
            <w:rtl w:val="0"/>
          </w:rPr>
          <w:t xml:space="preserve">https://albayanres.com/library/book/download/1694199342.pdf</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Leveraging the network: a stress-test framework based on DebtRank, </w:t>
      </w:r>
      <w:hyperlink r:id="rId78">
        <w:r w:rsidDel="00000000" w:rsidR="00000000" w:rsidRPr="00000000">
          <w:rPr>
            <w:rFonts w:ascii="Arial" w:cs="Arial" w:eastAsia="Arial" w:hAnsi="Arial"/>
            <w:color w:val="0000ee"/>
            <w:sz w:val="24"/>
            <w:szCs w:val="24"/>
            <w:u w:val="single"/>
            <w:rtl w:val="0"/>
          </w:rPr>
          <w:t xml:space="preserve">https://www.ineteconomics.org/uploads/papers/battiston2015leveraging.pdf</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DebtRank: A Microscopic Foundation for Shock Propagation, </w:t>
      </w:r>
      <w:hyperlink r:id="rId79">
        <w:r w:rsidDel="00000000" w:rsidR="00000000" w:rsidRPr="00000000">
          <w:rPr>
            <w:rFonts w:ascii="Arial" w:cs="Arial" w:eastAsia="Arial" w:hAnsi="Arial"/>
            <w:color w:val="0000ee"/>
            <w:sz w:val="24"/>
            <w:szCs w:val="24"/>
            <w:u w:val="single"/>
            <w:rtl w:val="0"/>
          </w:rPr>
          <w:t xml:space="preserve">https://journals.plos.org/plosone/article/file?type=printable&amp;id=10.1371/journal.pone.0130406</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DebtRank: A microscopic foundation for shock propagation - arXiv, </w:t>
      </w:r>
      <w:hyperlink r:id="rId80">
        <w:r w:rsidDel="00000000" w:rsidR="00000000" w:rsidRPr="00000000">
          <w:rPr>
            <w:rFonts w:ascii="Arial" w:cs="Arial" w:eastAsia="Arial" w:hAnsi="Arial"/>
            <w:color w:val="0000ee"/>
            <w:sz w:val="24"/>
            <w:szCs w:val="24"/>
            <w:u w:val="single"/>
            <w:rtl w:val="0"/>
          </w:rPr>
          <w:t xml:space="preserve">https://arxiv.org/html/1504.01857v2</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Endogeneity of Liquidity Risk in Leveraged Fixed-Income, </w:t>
      </w:r>
      <w:hyperlink r:id="rId81">
        <w:r w:rsidDel="00000000" w:rsidR="00000000" w:rsidRPr="00000000">
          <w:rPr>
            <w:rFonts w:ascii="Arial" w:cs="Arial" w:eastAsia="Arial" w:hAnsi="Arial"/>
            <w:color w:val="0000ee"/>
            <w:sz w:val="24"/>
            <w:szCs w:val="24"/>
            <w:u w:val="single"/>
            <w:rtl w:val="0"/>
          </w:rPr>
          <w:t xml:space="preserve">https://mpra.ub.uni-muenchen.de/129114/1/MPRA_paper_129114.pdf</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Kyle's Lambda Price Impact Estimator Calculator - MetricGate, </w:t>
      </w:r>
      <w:hyperlink r:id="rId82">
        <w:r w:rsidDel="00000000" w:rsidR="00000000" w:rsidRPr="00000000">
          <w:rPr>
            <w:rFonts w:ascii="Arial" w:cs="Arial" w:eastAsia="Arial" w:hAnsi="Arial"/>
            <w:color w:val="0000ee"/>
            <w:sz w:val="24"/>
            <w:szCs w:val="24"/>
            <w:u w:val="single"/>
            <w:rtl w:val="0"/>
          </w:rPr>
          <w:t xml:space="preserve">https://metricgate.com/docs/kyle-lambda-price-impact/</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HIGH-FREQUENCY TRADING: A REGULATORY STRATEGY, </w:t>
      </w:r>
      <w:hyperlink r:id="rId83">
        <w:r w:rsidDel="00000000" w:rsidR="00000000" w:rsidRPr="00000000">
          <w:rPr>
            <w:rFonts w:ascii="Arial" w:cs="Arial" w:eastAsia="Arial" w:hAnsi="Arial"/>
            <w:color w:val="0000ee"/>
            <w:sz w:val="24"/>
            <w:szCs w:val="24"/>
            <w:u w:val="single"/>
            <w:rtl w:val="0"/>
          </w:rPr>
          <w:t xml:space="preserve">http://lawreview.richmond.edu/wp-content/uploads/sites/119/2014/03/Korsmo-482-AC.pdf</w:t>
        </w:r>
      </w:hyperlink>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Daubert standard - Wikipedia, </w:t>
      </w:r>
      <w:hyperlink r:id="rId84">
        <w:r w:rsidDel="00000000" w:rsidR="00000000" w:rsidRPr="00000000">
          <w:rPr>
            <w:rFonts w:ascii="Arial" w:cs="Arial" w:eastAsia="Arial" w:hAnsi="Arial"/>
            <w:color w:val="0000ee"/>
            <w:sz w:val="24"/>
            <w:szCs w:val="24"/>
            <w:u w:val="single"/>
            <w:rtl w:val="0"/>
          </w:rPr>
          <w:t xml:space="preserve">https://en.wikipedia.org/wiki/Daubert_standard</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Colombia Net International Investment Position, 2000 – 2026, </w:t>
      </w:r>
      <w:hyperlink r:id="rId85">
        <w:r w:rsidDel="00000000" w:rsidR="00000000" w:rsidRPr="00000000">
          <w:rPr>
            <w:rFonts w:ascii="Arial" w:cs="Arial" w:eastAsia="Arial" w:hAnsi="Arial"/>
            <w:color w:val="0000ee"/>
            <w:sz w:val="24"/>
            <w:szCs w:val="24"/>
            <w:u w:val="single"/>
            <w:rtl w:val="0"/>
          </w:rPr>
          <w:t xml:space="preserve">https://www.ceicdata.com/en/indicator/colombia/net-international-investment-position</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MONETARY POLICY GUIDELINES FOR 2026–2028, </w:t>
      </w:r>
      <w:hyperlink r:id="rId86">
        <w:r w:rsidDel="00000000" w:rsidR="00000000" w:rsidRPr="00000000">
          <w:rPr>
            <w:rFonts w:ascii="Arial" w:cs="Arial" w:eastAsia="Arial" w:hAnsi="Arial"/>
            <w:color w:val="0000ee"/>
            <w:sz w:val="24"/>
            <w:szCs w:val="24"/>
            <w:u w:val="single"/>
            <w:rtl w:val="0"/>
          </w:rPr>
          <w:t xml:space="preserve">http://www.cbr.ru/content/document/file/180951/on_eng_2026(2027-2028).pdf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84" Type="http://schemas.openxmlformats.org/officeDocument/2006/relationships/hyperlink" Target="https://en.wikipedia.org/wiki/Daubert_standard" TargetMode="External"/><Relationship Id="rId83" Type="http://schemas.openxmlformats.org/officeDocument/2006/relationships/hyperlink" Target="http://lawreview.richmond.edu/wp-content/uploads/sites/119/2014/03/Korsmo-482-AC.pdf" TargetMode="External"/><Relationship Id="rId42" Type="http://schemas.openxmlformats.org/officeDocument/2006/relationships/image" Target="media/image2.png"/><Relationship Id="rId86" Type="http://schemas.openxmlformats.org/officeDocument/2006/relationships/hyperlink" Target="http://www.cbr.ru/content/document/file/180951/on_eng_2026(2027-2028).pdf" TargetMode="External"/><Relationship Id="rId41" Type="http://schemas.openxmlformats.org/officeDocument/2006/relationships/image" Target="media/image12.png"/><Relationship Id="rId85" Type="http://schemas.openxmlformats.org/officeDocument/2006/relationships/hyperlink" Target="https://www.ceicdata.com/en/indicator/colombia/net-international-investment-position" TargetMode="External"/><Relationship Id="rId44" Type="http://schemas.openxmlformats.org/officeDocument/2006/relationships/image" Target="media/image7.png"/><Relationship Id="rId43" Type="http://schemas.openxmlformats.org/officeDocument/2006/relationships/image" Target="media/image8.png"/><Relationship Id="rId46" Type="http://schemas.openxmlformats.org/officeDocument/2006/relationships/image" Target="media/image10.png"/><Relationship Id="rId45" Type="http://schemas.openxmlformats.org/officeDocument/2006/relationships/image" Target="media/image14.png"/><Relationship Id="rId80" Type="http://schemas.openxmlformats.org/officeDocument/2006/relationships/hyperlink" Target="https://arxiv.org/html/1504.01857v2" TargetMode="External"/><Relationship Id="rId82" Type="http://schemas.openxmlformats.org/officeDocument/2006/relationships/hyperlink" Target="https://metricgate.com/docs/kyle-lambda-price-impact/" TargetMode="External"/><Relationship Id="rId81" Type="http://schemas.openxmlformats.org/officeDocument/2006/relationships/hyperlink" Target="https://mpra.ub.uni-muenchen.de/129114/1/MPRA_paper_12911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38.png"/><Relationship Id="rId47" Type="http://schemas.openxmlformats.org/officeDocument/2006/relationships/image" Target="media/image13.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49.png"/><Relationship Id="rId8" Type="http://schemas.openxmlformats.org/officeDocument/2006/relationships/image" Target="media/image51.png"/><Relationship Id="rId73" Type="http://schemas.openxmlformats.org/officeDocument/2006/relationships/hyperlink" Target="https://tradingeconomics.com/china/foreign-exchange-reserves" TargetMode="External"/><Relationship Id="rId72" Type="http://schemas.openxmlformats.org/officeDocument/2006/relationships/hyperlink" Target="https://tradingeconomics.com/united-states/money-supply-m2" TargetMode="External"/><Relationship Id="rId31" Type="http://schemas.openxmlformats.org/officeDocument/2006/relationships/image" Target="media/image20.png"/><Relationship Id="rId75" Type="http://schemas.openxmlformats.org/officeDocument/2006/relationships/hyperlink" Target="https://arxiv.org/pdf/1504.01857" TargetMode="External"/><Relationship Id="rId30" Type="http://schemas.openxmlformats.org/officeDocument/2006/relationships/image" Target="media/image27.png"/><Relationship Id="rId74" Type="http://schemas.openxmlformats.org/officeDocument/2006/relationships/hyperlink" Target="https://www.econstor.eu/bitstream/10419/299354/1/1892774232.pdf" TargetMode="External"/><Relationship Id="rId33" Type="http://schemas.openxmlformats.org/officeDocument/2006/relationships/image" Target="media/image4.png"/><Relationship Id="rId77" Type="http://schemas.openxmlformats.org/officeDocument/2006/relationships/hyperlink" Target="https://albayanres.com/library/book/download/1694199342.pdf" TargetMode="External"/><Relationship Id="rId32" Type="http://schemas.openxmlformats.org/officeDocument/2006/relationships/image" Target="media/image35.png"/><Relationship Id="rId76" Type="http://schemas.openxmlformats.org/officeDocument/2006/relationships/hyperlink" Target="https://arxiv.org/html/1608.07831v1" TargetMode="External"/><Relationship Id="rId35" Type="http://schemas.openxmlformats.org/officeDocument/2006/relationships/image" Target="media/image5.png"/><Relationship Id="rId79" Type="http://schemas.openxmlformats.org/officeDocument/2006/relationships/hyperlink" Target="https://journals.plos.org/plosone/article/file?type=printable&amp;id=10.1371/journal.pone.0130406" TargetMode="External"/><Relationship Id="rId34" Type="http://schemas.openxmlformats.org/officeDocument/2006/relationships/image" Target="media/image11.png"/><Relationship Id="rId78" Type="http://schemas.openxmlformats.org/officeDocument/2006/relationships/hyperlink" Target="https://www.ineteconomics.org/uploads/papers/battiston2015leveraging.pdf" TargetMode="External"/><Relationship Id="rId71" Type="http://schemas.openxmlformats.org/officeDocument/2006/relationships/hyperlink" Target="https://think.ing.com/articles/market-impact-of-french-political-turmoil/" TargetMode="External"/><Relationship Id="rId70" Type="http://schemas.openxmlformats.org/officeDocument/2006/relationships/hyperlink" Target="https://www.europarl.europa.eu/cmsdata/253972/QA-04-22-013-EN-N.pdf" TargetMode="External"/><Relationship Id="rId37" Type="http://schemas.openxmlformats.org/officeDocument/2006/relationships/image" Target="media/image3.png"/><Relationship Id="rId36" Type="http://schemas.openxmlformats.org/officeDocument/2006/relationships/image" Target="media/image15.png"/><Relationship Id="rId39" Type="http://schemas.openxmlformats.org/officeDocument/2006/relationships/image" Target="media/image1.png"/><Relationship Id="rId38" Type="http://schemas.openxmlformats.org/officeDocument/2006/relationships/image" Target="media/image6.png"/><Relationship Id="rId62" Type="http://schemas.openxmlformats.org/officeDocument/2006/relationships/hyperlink" Target="https://www.scribd.com/document/950833325/Trading-Algorithms-Microstructure-and-Capital" TargetMode="External"/><Relationship Id="rId61" Type="http://schemas.openxmlformats.org/officeDocument/2006/relationships/hyperlink" Target="https://microalphas.com/kyles-lambda/" TargetMode="External"/><Relationship Id="rId20" Type="http://schemas.openxmlformats.org/officeDocument/2006/relationships/image" Target="media/image44.png"/><Relationship Id="rId64" Type="http://schemas.openxmlformats.org/officeDocument/2006/relationships/hyperlink" Target="https://pmc.ncbi.nlm.nih.gov/articles/PMC4475076/" TargetMode="External"/><Relationship Id="rId63" Type="http://schemas.openxmlformats.org/officeDocument/2006/relationships/hyperlink" Target="https://www.bcb.gov.br/pec/wps/ingl/wps322.pdf" TargetMode="External"/><Relationship Id="rId22" Type="http://schemas.openxmlformats.org/officeDocument/2006/relationships/image" Target="media/image46.png"/><Relationship Id="rId66" Type="http://schemas.openxmlformats.org/officeDocument/2006/relationships/hyperlink" Target="https://streetstats.finance/liquidity/money" TargetMode="External"/><Relationship Id="rId21" Type="http://schemas.openxmlformats.org/officeDocument/2006/relationships/image" Target="media/image47.png"/><Relationship Id="rId65" Type="http://schemas.openxmlformats.org/officeDocument/2006/relationships/hyperlink" Target="https://www.law.cornell.edu/wex/daubert_standard" TargetMode="External"/><Relationship Id="rId24" Type="http://schemas.openxmlformats.org/officeDocument/2006/relationships/image" Target="media/image19.png"/><Relationship Id="rId68" Type="http://schemas.openxmlformats.org/officeDocument/2006/relationships/hyperlink" Target="https://www.daytrading.com/market-microstructure" TargetMode="External"/><Relationship Id="rId23" Type="http://schemas.openxmlformats.org/officeDocument/2006/relationships/image" Target="media/image18.png"/><Relationship Id="rId67" Type="http://schemas.openxmlformats.org/officeDocument/2006/relationships/hyperlink" Target="https://fred.stlouisfed.org/series/m2sl" TargetMode="External"/><Relationship Id="rId60" Type="http://schemas.openxmlformats.org/officeDocument/2006/relationships/hyperlink" Target="https://pmc.ncbi.nlm.nih.gov/articles/PMC8534528/" TargetMode="External"/><Relationship Id="rId26" Type="http://schemas.openxmlformats.org/officeDocument/2006/relationships/image" Target="media/image22.png"/><Relationship Id="rId25" Type="http://schemas.openxmlformats.org/officeDocument/2006/relationships/image" Target="media/image23.png"/><Relationship Id="rId69" Type="http://schemas.openxmlformats.org/officeDocument/2006/relationships/hyperlink" Target="https://www.animasgr.it/d/IT/Downloads/Altri%20pdf/Rates%20Strategy%20Focus%20BTPs%20-%20Not%20Giving%20Up.pdf" TargetMode="External"/><Relationship Id="rId28" Type="http://schemas.openxmlformats.org/officeDocument/2006/relationships/image" Target="media/image17.png"/><Relationship Id="rId27" Type="http://schemas.openxmlformats.org/officeDocument/2006/relationships/image" Target="media/image28.png"/><Relationship Id="rId29" Type="http://schemas.openxmlformats.org/officeDocument/2006/relationships/image" Target="media/image30.png"/><Relationship Id="rId51" Type="http://schemas.openxmlformats.org/officeDocument/2006/relationships/image" Target="media/image42.png"/><Relationship Id="rId50" Type="http://schemas.openxmlformats.org/officeDocument/2006/relationships/image" Target="media/image40.png"/><Relationship Id="rId53" Type="http://schemas.openxmlformats.org/officeDocument/2006/relationships/image" Target="media/image26.png"/><Relationship Id="rId52" Type="http://schemas.openxmlformats.org/officeDocument/2006/relationships/image" Target="media/image48.png"/><Relationship Id="rId11" Type="http://schemas.openxmlformats.org/officeDocument/2006/relationships/image" Target="media/image52.png"/><Relationship Id="rId55" Type="http://schemas.openxmlformats.org/officeDocument/2006/relationships/image" Target="media/image24.png"/><Relationship Id="rId10" Type="http://schemas.openxmlformats.org/officeDocument/2006/relationships/image" Target="media/image31.png"/><Relationship Id="rId54" Type="http://schemas.openxmlformats.org/officeDocument/2006/relationships/image" Target="media/image21.png"/><Relationship Id="rId13" Type="http://schemas.openxmlformats.org/officeDocument/2006/relationships/image" Target="media/image34.png"/><Relationship Id="rId57" Type="http://schemas.openxmlformats.org/officeDocument/2006/relationships/image" Target="media/image50.png"/><Relationship Id="rId12" Type="http://schemas.openxmlformats.org/officeDocument/2006/relationships/image" Target="media/image36.png"/><Relationship Id="rId56" Type="http://schemas.openxmlformats.org/officeDocument/2006/relationships/image" Target="media/image16.png"/><Relationship Id="rId15" Type="http://schemas.openxmlformats.org/officeDocument/2006/relationships/image" Target="media/image39.png"/><Relationship Id="rId59" Type="http://schemas.openxmlformats.org/officeDocument/2006/relationships/hyperlink" Target="https://dokumen.pub/download/ekonominin-gerek-yz.html" TargetMode="External"/><Relationship Id="rId14" Type="http://schemas.openxmlformats.org/officeDocument/2006/relationships/image" Target="media/image33.png"/><Relationship Id="rId58" Type="http://schemas.openxmlformats.org/officeDocument/2006/relationships/image" Target="media/image29.png"/><Relationship Id="rId17" Type="http://schemas.openxmlformats.org/officeDocument/2006/relationships/image" Target="media/image53.png"/><Relationship Id="rId16" Type="http://schemas.openxmlformats.org/officeDocument/2006/relationships/image" Target="media/image41.png"/><Relationship Id="rId19" Type="http://schemas.openxmlformats.org/officeDocument/2006/relationships/image" Target="media/image43.png"/><Relationship Id="rId1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