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T2SAIM Karanlık Madde Metodolojisi ve Kara Para Hazne Dinamiği: Kapsamlı Adli Finans ve Diferansiyel Makro-Model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Giriş: Ekonomik Karanlık Madde Kavramı ve Küresel Ölçek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Ekonomik sistemlerde kayıt dışı faaliyetler, vergi kaçakçılığı, kara para aklama süreçleri ve yasa dışı finansal akışlar (Illicit Financial Flows - IFF), doğaları gereği resmi istatistik bültenlerinde, bilançolarda veya makroekonomik veri setlerinde doğrudan gözlemlenemezler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durum salt bir eksik veri (missing data) problemi değil, küresel finansal mimarinin yapısal bir asimetrisidir. Astrofizikte karanlık maddenin (dark matter) herhangi bir foton yaymadığı için teleskoplarla doğrudan görülememesi, ancak devasa kütlesinin çevre galaksiler ve uzay-zaman dokusu üzerinde yarattığı yerçekimsel bükülme (gravitational lensing) sayesinde tespit edilebilmesi gibi; yasa dışı finansal akışlar da ekonomik dokuda yarattıkları makroekonomik anomaliler, fiyatlama sapmaları ve istatistiksel asimetriler üzerinden dolaylı olarak tespit edilebilir.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gayrisafi yurt içi hasılanın (GSYH) yaklaşık %11.8 ile aritmetik ortalamalara vurulduğunda %19.3'ü arasında bir büyüklüğe ulaştığı tahmin edilen kayıt dışı ekonomi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makroekonomik dengeleri derinden sarsan devasa bir kütleçekim merkezidir. Uluslararası Para Fonu (IMF) ve Birleşmiş Milletler Uyuşturucu ve Suç Ofisi (UNODC) araştırmaları ve meta-analizlerine göre, aklanmaya çalışılan yasa dışı fonların küresel GSYH'ye oranı %2 ile %5 arasında, yani bir "konsensüs aralığı" içerisinde değişmekte olup, yıllık trilyonlarca dolarlık (yaklaşık 1.6 ila 2.1 trilyon ABD Doları) bir hacme işaret etmektedir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denli büyük bir finansal kütle, yerel ve küresel piyasalarda emlak fiyatlarından döviz kurlarına, dış ticaret istatistiklerinden lüks tüketim ithalatına kadar geniş bir yelpazede sistematik sapmalara yol açmaktadır.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rapor, söz konusu yasa dışı fon birikimini ve hareketliliğini analiz etmek üzere tasarlanmış T2SAIM (Karanlık Madde Metodolojisi ve Kara Para Hazne Dinamiği) adli tıp (forensics) motorunu tanıtmaktadır. New York ve Miami gibi küresel finans merkezlerinde uygulanan ileri düzey adli finans tekniklerinden ilham alınarak, gizli servet birikimini (Hazne) ve bu servetin ani sınır ötesi kaçışını (Sifon) modelleyen matematiksel, ekonometrik ve diferansiyel bir doktrin inşa edilmiştir. Model; yapısal eşitlik modelleri (MIMIC), Markov değişimli durum-uzay (state-space) algoritmaları, Benford Kanunu istatistiksel filtreleri ve Walker Kütleçekimsel Akış denklemlerinin sofistike bir entegrasyonunu sunmaktadır.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Düzenleyici Doktrinleri: Coğrafi Hedefleme ve Ticaret Filtreleri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Karanlık maddeyi dolaylı sensörlerle tespit edebilmek için, öncelikle gelişmiş düzenleyici otoritelerin mikro ölçekte kullandıkları veri madenciliği ve uyum (compliance) altyapılarını incelemek elzemdir. Amerika Birleşik Devletleri Hazine Bakanlığı ve Mali Eylem Görev Gücü (FATF) standartları, bu alanda oluşturulacak makro-modellerin genetik kodunu barındırır.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FinCEN Gayrimenkul Coğrafi Hedefleme Kararları (Geographic Targeting Orders)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Amerika Birleşik Devletleri Hazine Bakanlığı'na bağlı Finansal Suçları Araştırma Ağı (FinCEN), gayrimenkul piyasalarındaki kara para aklama faaliyetlerini tespit edebilmek ve anonim alımların ardındaki asıl aktörleri deşifre etmek için "Coğrafi Hedefleme Kararları" (Geographic Targeting Orders - GTO) adlı yenilikçi bir istihbarat ve regülasyon mekanizması geliştirmiştir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GTO mekanizması, geleneksel şüpheli işlem bildirimlerinin (SAR) ötesine geçerek doğrudan belirli coğrafyalardaki varlık balonsal hareketlerini hedefler.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Yasa dışı fon sahipleri, bankacılık sisteminin uyguladığı sıkı Müşterini Tanı (KYC) ve Kara Para Aklamayı Önleme (AML) prosedürlerini atlatmak amacıyla banka kredisi (mortgage) kullanımından kaçınmaktadırlar. Bunun yerine, paravan şirketler (shell companies, limited liability companies - LLC) aracılığıyla yüksek meblağlı lüks konutlar tamamen nakit, banka çeki, seyahat çeki veya doğrudan banka havalesi yoluyla satın alınmaktadır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süreç, fonların fiziksel olarak sisteme sokulduğu (placement), gayrimenkulün alınıp satılarak kaynağın karmaşıklaştırıldığı (layering) ve nihayetinde temiz para olarak sisteme geri döndüğü (integration) üç aşamalı klasik aklama döngüsünün kusursuz bir örneğidir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Banka Gizliliği Yasası (Bank Secrecy Act - BSA) çerçevesinde yetkilendirilen FinCEN, GTO'lar vasıtasıyla tapu sigorta şirketlerini (title insurance companies) doğrudan sorumlu tutmaktadır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Belirli metropol alanlarında (New York City'nin tüm bölgeleri -Manhattan, Brooklyn, Queens, Bronx, Staten Island-, Florida'da Miami-Dade, California'da Los Angeles ve San Francisco, Teksas'ta Bexar ve Dallas gibi) 300.000 ABD Doları eşiğini (bazı bölgelerde 50.000 ABD Doları) aşan kredisiz (peşin) kurumsal alımlar GTO kapsamına alınmıştır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Bu şirketler, işlemin kapanışından itibaren 30 gün içerisinde FinCEN Form 8300 (Currency Transaction Report) doldurmak zorundadır. Bu form; satın alma fiyatını, mülkün adresini, ödeme tipini ve en önemlisi tüzel kişiliğin nihai faydalanıcılarını (beneficial owners - şirketin %25 veya daha fazlasına doğrudan veya dolaylı sahip olan gerçek kişiler) pasaport ve sürücü belgesi gibi resmi kimlik belgeleriyle birlikte ifşa etmek mecburiyetindedir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Önceleri sadece 60 gün geçerli olan ancak USA Patriot Act ile süreleri 180 güne çıkarılan ve sürekli yenilenen bu kararlara uymamanın cezası oldukça ağırdır; kasıtlı ihlaller (willful violations) durumunda tüzel kişi veya bireyler 250.000 ila 500.000 ABD Doları arası para cezalarına ve 5 ila 10 yıl arası hapis cezalarına çarptırılabilmektedir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GTO stratejisinin başarısı ve gayrimenkul piyasasına giren kayıt dışı sıcak paranın (hot money) gayrimenkul fiyatlarını yerel gelirlerden nasıl kopardığı gerçeği, T2SAIM metodolojisindeki "Emlak Fiyat / Medyan Gelir Kopuşu" sensörünün doğrudan kavramsal ve ampirik temelini oluşturur.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Ticarete Dayalı Kara Para Aklama (TBML) ve Benford Kanunu Anomalileri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Gayrimenkul piyasalarındaki statik fon birikiminin yanı sıra, fonların uluslararası boyutta hareket ettirilmesinde dış ticaret sistemi en büyük aklama otoyolunu oluşturmaktadır. FATF (Mali Eylem Görev Gücü) tipolojilerine göre Ticarete Dayalı Kara Para Aklama (Trade-Based Money Laundering - TBML), uluslararası ticaret işlemlerinin fiyat, miktar veya kalitesinin yanlış beyan edilerek değerin (fonların) sınırlar ötesine aktarılması işlemidir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Dünyadaki yasa dışı fon aklama faaliyetlerinin yaklaşık %20 ila %30'unun TBML üzerinden yürütüldüğü tahmin edilmektedir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TBML temel olarak dört sofistike teknik kullanır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İhracatın Fazla Faturalandırılması (Over-invoicing of exports):</w:t>
      </w:r>
      <w:r w:rsidDel="00000000" w:rsidR="00000000" w:rsidRPr="00000000">
        <w:rPr>
          <w:rFonts w:ascii="Google Sans" w:cs="Google Sans" w:eastAsia="Google Sans" w:hAnsi="Google Sans"/>
          <w:color w:val="1f1f1f"/>
          <w:rtl w:val="0"/>
        </w:rPr>
        <w:t xml:space="preserve"> Satıcı, gönderilen malların gerçek piyasa değerinden çok daha yüksek bir meblağ tahsil eder. Buradaki net ekonomik etki, ihracatçı ülkeye yasa dışı değerin (sermayenin) transfer edilmesidir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Bu, sermaye kontrollerini aşmak veya yurt dışındaki yasa dışı fonları ülkeye sokmak için kullanılır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İthalatın Eksik Faturalandırılması (Under-invoicing of imports):</w:t>
      </w:r>
      <w:r w:rsidDel="00000000" w:rsidR="00000000" w:rsidRPr="00000000">
        <w:rPr>
          <w:rFonts w:ascii="Google Sans" w:cs="Google Sans" w:eastAsia="Google Sans" w:hAnsi="Google Sans"/>
          <w:color w:val="1f1f1f"/>
          <w:rtl w:val="0"/>
        </w:rPr>
        <w:t xml:space="preserve"> Alıcı, ithal ettiği mala piyasa değerinin altında bir resmi ödeme yapar. Ancak malın gerçek değeri ile beyan edilen değer arasındaki fark, bankacılık sistemi dışında, çoğu zaman hawala gibi geleneksel ve kayıtsız değer transferi ağları veya fiziki kuryeler aracılığıyla kapatılır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Çoklu Faturalandırma (Multiple invoicing):</w:t>
      </w:r>
      <w:r w:rsidDel="00000000" w:rsidR="00000000" w:rsidRPr="00000000">
        <w:rPr>
          <w:rFonts w:ascii="Google Sans" w:cs="Google Sans" w:eastAsia="Google Sans" w:hAnsi="Google Sans"/>
          <w:color w:val="1f1f1f"/>
          <w:rtl w:val="0"/>
        </w:rPr>
        <w:t xml:space="preserve"> Aynı sevkiyat için farklı kurumlara ve bankalara birden fazla fatura kesilerek, tek bir reel ticaret üzerinden sisteme mükerrer fon sokulması veya çıkarılması sağlanır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Malların Yanlış Beyanı (Falsely described goods):</w:t>
      </w:r>
      <w:r w:rsidDel="00000000" w:rsidR="00000000" w:rsidRPr="00000000">
        <w:rPr>
          <w:rFonts w:ascii="Google Sans" w:cs="Google Sans" w:eastAsia="Google Sans" w:hAnsi="Google Sans"/>
          <w:color w:val="1f1f1f"/>
          <w:rtl w:val="0"/>
        </w:rPr>
        <w:t xml:space="preserve"> Gümrük vergilerini düşürmek veya dikkat çekmemek amacıyla yüksek değerli ürünlerin (elektronik, altın vb.) düşük değerli kategorilerde (örneğin hurda veya tekstil atığı) beyan edilmesidir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manipülasyonları tespit etmek, milyonlarca gümrük beyannamesi arasında bir iğne aramaya benzer; zira kural tabanlı (rule-based) klasik izleme sistemleri, her iki tarafın da (alıcı ve satıcı) suç ortağı olduğu ve evrakların görünürde yasal (banka akreditifleri, faturalar, konşimentolar) olduğu bu işlemleri tespit edemez</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İşte bu noktada, fiyatlandırma anomalilerini yakalamak için veri bilimi devreye girer. Spesifik olarak </w:t>
      </w:r>
      <w:r w:rsidDel="00000000" w:rsidR="00000000" w:rsidRPr="00000000">
        <w:rPr>
          <w:rFonts w:ascii="Google Sans" w:cs="Google Sans" w:eastAsia="Google Sans" w:hAnsi="Google Sans"/>
          <w:i w:val="1"/>
          <w:iCs w:val="1"/>
          <w:color w:val="1f1f1f"/>
          <w:rtl w:val="0"/>
        </w:rPr>
        <w:t xml:space="preserve">Benford Kanunu</w:t>
      </w:r>
      <w:r w:rsidDel="00000000" w:rsidR="00000000" w:rsidRPr="00000000">
        <w:rPr>
          <w:rFonts w:ascii="Google Sans" w:cs="Google Sans" w:eastAsia="Google Sans" w:hAnsi="Google Sans"/>
          <w:color w:val="1f1f1f"/>
          <w:rtl w:val="0"/>
        </w:rPr>
        <w:t xml:space="preserve"> (İlk Rakam Kanunu), fiyat ve hacim anomalilerini tespit etmek için güçlü bir adli istatistiksel filtre (Price Filter Method - PFM) sunmaktadır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1881'de astronom Simon Newcomb tarafından fark edilen ve 1938'de fizikçi Frank Albert Benford tarafından kapsamlı bir şekilde formüle edilen bu ampirik yasa, doğal yollarla oluşan veri setlerinde (nehir uzunlukları, ölüm oranları, borsa fiyatları, fatura tutarları) sayıların ilk basamak rakamlarının eşit frekansta (yaklaşık %11.1) dağılmadığını, logaritmik bir patern izlediğini kanıtlar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Kanunun matematiksel genel formülü şöyledir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1009650"/>
            <wp:effectExtent b="0" l="0" r="0" t="0"/>
            <wp:docPr id="46"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38671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103733" cy="245187"/>
            <wp:effectExtent b="0" l="0" r="0" t="0"/>
            <wp:docPr id="48"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03733" cy="24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sayının ilk rakamını (1, 2, ..., 9) temsil eder; </w:t>
      </w:r>
      <w:r w:rsidDel="00000000" w:rsidR="00000000" w:rsidRPr="00000000">
        <w:rPr>
          <w:rFonts w:ascii="Google Sans" w:cs="Google Sans" w:eastAsia="Google Sans" w:hAnsi="Google Sans"/>
          <w:color w:val="1f1f1f"/>
        </w:rPr>
        <w:drawing>
          <wp:inline distB="19050" distT="19050" distL="19050" distR="19050">
            <wp:extent cx="208359" cy="246243"/>
            <wp:effectExtent b="0" l="0" r="0" t="0"/>
            <wp:docPr id="47"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208359" cy="246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bu rakamın bulunma olasılığını gösterir. Beklenen dağılıma göre, fatura veya işlem tutarlarının ilk rakamının '1' olma olasılığı %30.10, '2' olma olasılığı %17.61, '3' olma olasılığı %12.49 iken, logaritmik azalışla ilk rakamın '9' olma olasılığı sadece %4.58'dir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Benford Kanunu sadece ilk rakam için değil, ikinci rakamlar ve rakam dizilerinin yapıları (second order tests) için de geçerli matematiksel dağılımlar sunar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Yasa dışı fon transferi, vergi kaçakçılığı veya hayali ihracat amacıyla sahte fatura veya muhasebe kaydı üreten aktörler, insan doğası gereği genellikle rastgele veya yapılandırılmış sayılar kullanırlar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Faturalardaki birim fiyatların, ithalat miktarlarının veya toplam transfer tutarlarının ilk basamak frekansları Kurumsal Kaynak Planlama (ERP) ve SAP sistemlerinde algoritmik olarak incelendiğinde (continuous monitoring), ampirik frekanslar ile Benford teorik frekansları arasındaki mesafe (Kullback-Leibler Divergence veya Z-istatistiği testleriyle) ölçülür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Gözlemlenen oran (</w:t>
      </w:r>
      <w:r w:rsidDel="00000000" w:rsidR="00000000" w:rsidRPr="00000000">
        <w:rPr>
          <w:rFonts w:ascii="Google Sans" w:cs="Google Sans" w:eastAsia="Google Sans" w:hAnsi="Google Sans"/>
          <w:color w:val="1f1f1f"/>
        </w:rPr>
        <w:drawing>
          <wp:inline distB="19050" distT="19050" distL="19050" distR="19050">
            <wp:extent cx="212973" cy="251696"/>
            <wp:effectExtent b="0" l="0" r="0" t="0"/>
            <wp:docPr id="50"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212973" cy="251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beklenen oran (</w:t>
      </w:r>
      <w:r w:rsidDel="00000000" w:rsidR="00000000" w:rsidRPr="00000000">
        <w:rPr>
          <w:rFonts w:ascii="Google Sans" w:cs="Google Sans" w:eastAsia="Google Sans" w:hAnsi="Google Sans"/>
          <w:color w:val="1f1f1f"/>
        </w:rPr>
        <w:drawing>
          <wp:inline distB="19050" distT="19050" distL="19050" distR="19050">
            <wp:extent cx="211038" cy="249408"/>
            <wp:effectExtent b="0" l="0" r="0" t="0"/>
            <wp:docPr id="49"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211038" cy="249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arasında istatistiksel olarak anlamlı bir sapma görülmesi, yapay veri üretimine, aşırı veya eksik faturalandırmaya ve dolayısıyla ticarete dayalı para aklama faaliyetine işaret eden kesin bir matematiksel "kırmızı bayraktır" (red flag)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Analitik ve Kavramsal Çerçeve: T2SAIM 5 Kütleçekimsel Sapma Sensörü</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Yukarıda bahsedilen mikro ölçekli tespit mantıkları (GTO ve Benford), makroekonomik düzleme taşındığında T2SAIM modelinin kalbini oluşturur. Ekonomideki kara para akışları ve yasa dışı fonların birikimi, doğrudan ölçülemeyen bir "Karanlık Madde" (Dark Matter) kütlesi olarak kabul edilir. Bu gizli kütle, 5 makro anomali sensörü ile dolaylı olarak formüle edilmiştir. Bu sensörlerin tarihsel ortalamadan sapmalarının standartlaştırılarak (z-score) ağırlıklı toplamı alınmasıyla, zamanın bir fonksiyonu olan kompozit Karanlık Madde Endeksi (Dark Matter Index) </w:t>
      </w:r>
      <w:r w:rsidDel="00000000" w:rsidR="00000000" w:rsidRPr="00000000">
        <w:rPr>
          <w:rFonts w:ascii="Google Sans" w:cs="Google Sans" w:eastAsia="Google Sans" w:hAnsi="Google Sans"/>
          <w:color w:val="1f1f1f"/>
        </w:rPr>
        <w:drawing>
          <wp:inline distB="19050" distT="19050" distL="19050" distR="19050">
            <wp:extent cx="602605" cy="248694"/>
            <wp:effectExtent b="0" l="0" r="0" t="0"/>
            <wp:docPr id="54"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602605" cy="248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üretilir.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Endeksin genel formu şu şekildedir: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1162050"/>
            <wp:effectExtent b="0" l="0" r="0" t="0"/>
            <wp:docPr id="53"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38671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197347" cy="244334"/>
            <wp:effectExtent b="0" l="0" r="0" t="0"/>
            <wp:docPr id="59"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197347" cy="24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her bir sensörün modele özgü optimize edilmiş ağırlığını, </w:t>
      </w:r>
      <w:r w:rsidDel="00000000" w:rsidR="00000000" w:rsidRPr="00000000">
        <w:rPr>
          <w:rFonts w:ascii="Google Sans" w:cs="Google Sans" w:eastAsia="Google Sans" w:hAnsi="Google Sans"/>
          <w:color w:val="1f1f1f"/>
        </w:rPr>
        <w:drawing>
          <wp:inline distB="19050" distT="19050" distL="19050" distR="19050">
            <wp:extent cx="442019" cy="249837"/>
            <wp:effectExtent b="0" l="0" r="0" t="0"/>
            <wp:docPr id="5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442019" cy="2498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64"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sensörünün </w:t>
      </w:r>
      <w:r w:rsidDel="00000000" w:rsidR="00000000" w:rsidRPr="00000000">
        <w:rPr>
          <w:rFonts w:ascii="Google Sans" w:cs="Google Sans" w:eastAsia="Google Sans" w:hAnsi="Google Sans"/>
          <w:color w:val="1f1f1f"/>
        </w:rPr>
        <w:drawing>
          <wp:inline distB="19050" distT="19050" distL="19050" distR="19050">
            <wp:extent cx="70842" cy="263128"/>
            <wp:effectExtent b="0" l="0" r="0" t="0"/>
            <wp:docPr id="60"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70842" cy="263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periyodundaki standartlaştırılmış anomali skorunu ifade eder. Beş farklı makroekonomik sensörün (NOH, emlak, FX makası, kripto primi ve lüks ithalat) tarihsel ortalamalardan sapmalarının aynı zaman çizgisinde üst üste bindirilmesiyle, birbirinden bağımsız görünen ekonomik değişkenlerin aslında tek bir gizli değişkenin (Karanlık Madde) kütleçekimsel etkisiyle eş zamanlı olarak bozulduğu (anomali gösterdiği) görselleştirilip ölçülebilir. Yüksek standart sapmalar ve ısıl haritalardaki (heatmap) kırmızı yoğunlaşmalar, yapısal kopuşların şiddetini doğrular.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Sensör 1 (A1): Net Hata ve Noksan Akışları (Ağırlık: %25)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Ödemeler Dengesi (Balance of Payments - BoP) bilançosu çift kayıtlı muhasebe prensibine göre hazırlanır. İdeal koşullarda, Cari İşlemler Hesabı ile Sermaye ve Finans Hesapları toplamının sıfır olması gerekir. Ancak veri toplama kısıtlamaları, zamanlama farklılıkları, değerleme ölçütleri ve daha da önemlisi kayıt dışı işlemler nedeniyle bu denklik hiçbir zaman kendiliğinden sağlanamaz</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istatistiksel tutarsızlıkları eşitlemek ve bilançoyu dengelemek için kullanılan kalıcı ve yüksek montanlı dengeleme kalemine "Net Hata ve Noksan" (Net Errors and Omissions - NEO/NOH) adı verilir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Ekonomik literatürde NOH, bir istatistiksel hatanın ötesinde; kayıt dışı sermaye hareketleri, yasa dışı finansal akışlar (IFF), uyuşturucu/kaçakçılık gelirleri, rüşvet fonları veya beyan edilmemiş turizm ve dış ticaret gelirlerinin en temel makroekonomik proksisi (hot-money-narrow measure) olarak değerlendirilir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T2SAIM modelinde NOH, en güçlü (ağırlık: %25) sensör konumundadır. Uzun süreli ve GSYH'nin belirli bir yüzdesini aşan yüksek pozitif NOH birikimi, ülkeye kaynağı belirsiz döviz girişini ve Hazne'nin dolumunu gösterirken; ani ve akut negatif NOH patlamaları (NOH'un milyarlarca dolar eksi yazması), sistemden ani sermaye kaçışını (capital flight) ve Hazne'nin sifonlanmasını (flash drain) net olarak belgeler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Sensör 2 (A2): Emlak Fiyatı / Medyan Gelir Kopuşu (Ağırlık: %25)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FinCEN'in New York ve Miami GTO stratejisiyle kavramsal olarak doğrudan örtüşen bu sensör, ulusal veya bölgesel konut fiyat endeksinin (örneğin TCMB Konut Fiyat Endeksi), o bölgedeki hanehalkı medyan harcanabilir gelir endeksinden standart sapmalar ötesinde ayrışmasını ölçer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Yasa dışı veya kayıt dışı sermaye (Karanlık Madde), likiditeyi hızlıca bankacılık dışı yollarla park etmek ve enflasyonist erimeden korumak için gayrimenkul piyasasına saldırdığında, konut arz-talep dengesi yerel halkın alım gücünden (bordrolu gelirlerden) tamamen bağımsızlaşır. Bu ayrışma (decoupling), ipoteksiz (kredisiz - all-cash) kurumsal veya peşin alım oranlarındaki keskin artışla birleştiğinde, karanlık madde kütlesinin makroekonomideki en net ve yıkıcı fiziksel tezahürünü oluşturur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Sensör 3 (A3): Kapalıçarşı / Resmi TCMB Kur Makası (Ağırlık: %15)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Paralel döviz piyasaları veya fiziksel döviz bürolarının yarattığı piyasa kurları ile resmi merkez bankası referans kurları (Örn: Kapalıçarşı vs. TCMB) arasındaki spread (makas), kayıt dışı nakit talebinin anlık ve en hassas nabzıdır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Ticari veya yasa dışı gelirlerini bankacılık sistemi dışına çıkarmak (layering) isteyen veya dış ticaret faturasını hawala/fiziki kurye yoluyla ödemek zorunda olan (under-invoicing) aktörler efektif (banknot) dövize yöneldiğinde, fiziksel piyasadaki kur primi resmi kurun belirgin şekilde üzerine çıkar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Bu kur makasının tarihsel işlem bantlarının (bollinger bands) dışına taşması, likiditenin kayıt dışı bir şekilde sınır ötesine çıkma stresini fiyatlar.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Sensör 4 (A4): Kripto / USDT Yerel Arbitraj Primi (Ağırlık: %15)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Sınır ötesi yasa dışı değer transferinde, FATF'in FATCA veya geleneksel SWIFT kanallarındaki yoğun KYC uyum kontrolleri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karanlık sermayeyi merkeziyetsiz defterlere ve kripto varlıklara itmiştir. Özellikle Tether (USDT) gibi Amerikan Dolarına sabitlenmiş stabil kripto paralar (stablecoins), yasa dışı ve kayıt dışı sınır ötesi akışların yeni kan damarlarıdır. Türkiye, Arjantin, Bolivya veya Venezuela gibi yerel para biriminin zayıfladığı ve kayıt dışı ekonominin büyük olduğu ülkelerde, USDT'nin yerel kripto para borsalarındaki alım-satım fiyatı ile küresel piyasa fiyatı (veya resmi döviz kuru) arasında kalıcı bir "kripto primi" (crypto premium) oluşur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Geleneksel AML filtrelerine takılmayan, peer-to-peer (P2P) veya soğuk cüzdanlar arası kripto transferleri, GSYH'den sessizce likidite çeker ve bu işlemler T2SAIM modelinde USDT arbitraj primi üzerinden ölçümlenir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Sensör 5 (A5): Lüks İthalat / Vergi Tabanı Uyuşmazlığı (Ağırlık: %20)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Lüks otomobil, özel yat, sanat eseri, değerli maden (altın) ve yüksek işçilikli mücevher ithalatında görülen ani hacimsel artışların, aynı dönemdeki kurumlar vergisi, gelir vergisi veya servet beyannamelerindeki matrah artışlarıyla desteklenmemesi (uyuşmazlığı) durumunu nicel olarak ölçer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FATF yasa dışı finans tipolojilerinde ve risk göstergelerinde de altı çizildiği üzere; suç şebekeleri ve yasa dışı fon aktörleri, ellerindeki likiditeyi yüksek değerli lüks mallara dönüştürerek aklama sürecinin son aşaması olan entegrasyon (integration) fazını tamamlarlar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Ülkenin vergi tabanında hiçbir şekilde görünmeyen, ancak uluslararası ticaret ve gümrük kayıtlarında lüks ithalat faturaları olarak patlayan bir değer, kayıt dışı Karanlık Madde Haznesi'nin fiziksel sınırlarına kadar dolu olduğunu teyit eder.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MIMIC Modeli ve Yapısal Eşitlik Formülasyonu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T2SAIM'in 5 kütleçekimsel sensörünün verilerinin matematiksel olarak kalibre edilmesi, ağırlıklandırılması ve nihayetinde kompozit bir endekse dönüştürülmesi, ekonometri literatüründe "Kayıt Dışı Ekonomi" (Shadow Economy) tahmininde altın standart (gold standard) olarak kabul edilen MIMIC (Multiple Indicators Multiple Causes - Çoklu Göstergeler Çoklu Nedenler) yaklaşımına dayanır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1970 yılında Zellner, 1975 yılında ise Jöreskog ve Goldberger tarafından istatistiksel temelleri atılan MIMIC modeli, psikometri ve sosyal bilimlerde yaygın olarak kullanılan bir Yapısal Eşitlik Modeli (Structural Equation Modeling - SEM) türüdür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Bu modelin temel felsefesi; tıpkı zeka veya depresyon gibi doğrudan gözlemlenemeyen (latent/unobserved) bir değişkenin (örneğimizde 'Kara Para / Kayıt Dışı Ekonomi'), onu tetikleyen dışsal nedenler (causes) ile onun ekonomide bıraktığı izler/göstergeler (indicators) arasındaki eş zamanlı ilişkiler ağı üzerinden nicel olarak tahmin edilmesidir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MIMIC modeli matematiksel olarak birbiriyle entegre çalışan iki temel eşitlik setinden oluşur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Yapısal Model (Structural Equation):</w:t>
      </w:r>
      <w:r w:rsidDel="00000000" w:rsidR="00000000" w:rsidRPr="00000000">
        <w:rPr>
          <w:rFonts w:ascii="Google Sans" w:cs="Google Sans" w:eastAsia="Google Sans" w:hAnsi="Google Sans"/>
          <w:color w:val="1f1f1f"/>
          <w:rtl w:val="0"/>
        </w:rPr>
        <w:t xml:space="preserve"> Gözlemlenemeyen gizli değişkenin ( </w:t>
      </w:r>
      <w:r w:rsidDel="00000000" w:rsidR="00000000" w:rsidRPr="00000000">
        <w:rPr>
          <w:rFonts w:ascii="Google Sans" w:cs="Google Sans" w:eastAsia="Google Sans" w:hAnsi="Google Sans"/>
          <w:color w:val="1f1f1f"/>
        </w:rPr>
        <w:drawing>
          <wp:inline distB="19050" distT="19050" distL="19050" distR="19050">
            <wp:extent cx="156716" cy="254663"/>
            <wp:effectExtent b="0" l="0" r="0" t="0"/>
            <wp:docPr id="62"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56716" cy="254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Karanlık Madde), kendisini var eden ve boyutunu etkileyen gözlemlenebilir dışsal nedensel değişkenlerin bir lineer fonksiyonu olarak tanımlandığı modeldir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86150" cy="742950"/>
            <wp:effectExtent b="0" l="0" r="0" t="0"/>
            <wp:docPr id="65"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3486150" cy="742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1722682" cy="247457"/>
            <wp:effectExtent b="0" l="0" r="0" t="0"/>
            <wp:docPr id="67"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1722682" cy="247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vergi yükü, işsizlik oranı, regülasyonların yoğunluğu, kurumların yozlaşması (yolsuzluk endeksi) ve kişi başı gelir gibi doğrudan kayıt dışı ekonomiye geçişi teşvik eden nedensel değişkenlerin (causes) bir vektörüdür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2365" cy="243459"/>
            <wp:effectExtent b="0" l="0" r="0" t="0"/>
            <wp:docPr id="69"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112365" cy="2434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 nedenlerin gizli değişken üzerindeki etkisini belirleyen katsayıların (skalerlerin) vektörü; </w:t>
      </w:r>
      <w:r w:rsidDel="00000000" w:rsidR="00000000" w:rsidRPr="00000000">
        <w:rPr>
          <w:rFonts w:ascii="Google Sans" w:cs="Google Sans" w:eastAsia="Google Sans" w:hAnsi="Google Sans"/>
          <w:color w:val="1f1f1f"/>
        </w:rPr>
        <w:drawing>
          <wp:inline distB="19050" distT="19050" distL="19050" distR="19050">
            <wp:extent cx="145108" cy="251520"/>
            <wp:effectExtent b="0" l="0" r="0" t="0"/>
            <wp:docPr id="71"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145108"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modelin açıklayamadığı varyansı temsil eden yapısal bozulma (hata) terimidir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Ölçüm Modeli (Measurement Equation):</w:t>
      </w:r>
      <w:r w:rsidDel="00000000" w:rsidR="00000000" w:rsidRPr="00000000">
        <w:rPr>
          <w:rFonts w:ascii="Google Sans" w:cs="Google Sans" w:eastAsia="Google Sans" w:hAnsi="Google Sans"/>
          <w:color w:val="1f1f1f"/>
          <w:rtl w:val="0"/>
        </w:rPr>
        <w:t xml:space="preserve"> Gizli değişkenin ekonomideki etkilerini, yani gözlemlenebilir makroekonomik sensörlere (T2SAIM 5 Sensörü) nasıl yansıdığını tanımlar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86150" cy="742950"/>
            <wp:effectExtent b="0" l="0" r="0" t="0"/>
            <wp:docPr id="73"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3486150" cy="742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1666132" cy="247540"/>
            <wp:effectExtent b="0" l="0" r="0" t="0"/>
            <wp:docPr id="74"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1666132" cy="247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modelimizin merkezinde yer alan gösterge değişkenlerinin vektörüdür (NOH, emlak kopuşu, kripto primi vb.)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4300" cy="247650"/>
            <wp:effectExtent b="0" l="0" r="0" t="0"/>
            <wp:docPr id="7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1143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gizli değişkendeki bir birimlik değişimin göstergelerde yaratacağı beklenen büyüklüğü (magnitude) temsil eden faktör yüklemeleri (factor loadings) vektörü; </w:t>
      </w:r>
      <w:r w:rsidDel="00000000" w:rsidR="00000000" w:rsidRPr="00000000">
        <w:rPr>
          <w:rFonts w:ascii="Google Sans" w:cs="Google Sans" w:eastAsia="Google Sans" w:hAnsi="Google Sans"/>
          <w:color w:val="1f1f1f"/>
        </w:rPr>
        <w:drawing>
          <wp:inline distB="19050" distT="19050" distL="19050" distR="19050">
            <wp:extent cx="138856" cy="240684"/>
            <wp:effectExtent b="0" l="0" r="0" t="0"/>
            <wp:docPr id="76"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138856" cy="240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ölçüm aşamasındaki hata terimidir (measurement error)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MIMIC modeli, R tabanlı lavaan (latent variable analysis), LISREL veya AMOS gibi gelişmiş istatistiksel yazılımlar kullanılarak tahmin edilir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Bu tahmin süreci, modele sunulan ampirik verilerden elde edilen örneklem kovaryans matrisi (</w:t>
      </w:r>
      <w:r w:rsidDel="00000000" w:rsidR="00000000" w:rsidRPr="00000000">
        <w:rPr>
          <w:rFonts w:ascii="Google Sans" w:cs="Google Sans" w:eastAsia="Google Sans" w:hAnsi="Google Sans"/>
          <w:color w:val="1f1f1f"/>
        </w:rPr>
        <w:drawing>
          <wp:inline distB="19050" distT="19050" distL="19050" distR="19050">
            <wp:extent cx="131415" cy="244057"/>
            <wp:effectExtent b="0" l="0" r="0" t="0"/>
            <wp:docPr id="3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131415" cy="244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denklem sisteminin matematiksel olarak dayattığı teorik yapısal kovaryans matrisi (model-implied covariance matrix - </w:t>
      </w:r>
      <w:r w:rsidDel="00000000" w:rsidR="00000000" w:rsidRPr="00000000">
        <w:rPr>
          <w:rFonts w:ascii="Google Sans" w:cs="Google Sans" w:eastAsia="Google Sans" w:hAnsi="Google Sans"/>
          <w:color w:val="1f1f1f"/>
        </w:rPr>
        <w:drawing>
          <wp:inline distB="19050" distT="19050" distL="19050" distR="19050">
            <wp:extent cx="391567" cy="248311"/>
            <wp:effectExtent b="0" l="0" r="0" t="0"/>
            <wp:docPr id="3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91567" cy="248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arasındaki istatistiksel mesafenin minimize edilmesi esasına dayanır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İki matris birbirine ne kadar yakınsarsa (</w:t>
      </w:r>
      <w:r w:rsidDel="00000000" w:rsidR="00000000" w:rsidRPr="00000000">
        <w:rPr>
          <w:rFonts w:ascii="Google Sans" w:cs="Google Sans" w:eastAsia="Google Sans" w:hAnsi="Google Sans"/>
          <w:color w:val="1f1f1f"/>
        </w:rPr>
        <w:drawing>
          <wp:inline distB="19050" distT="19050" distL="19050" distR="19050">
            <wp:extent cx="534144" cy="247995"/>
            <wp:effectExtent b="0" l="0" r="0" t="0"/>
            <wp:docPr id="3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34144" cy="247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 veriye o kadar iyi uyum (fit) sağlamış demektir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lavaan paketinin sezgisel sözdizimi, yapısal modeli regresyon operatörü (~) ile, ölçüm (faktör) modelini ise (=~) operatörü ile birleştirerek Emlak Fiyatı, NOH ve Kripto Primi gibi değişkenlerin tek bir gizli </w:t>
      </w:r>
      <w:r w:rsidDel="00000000" w:rsidR="00000000" w:rsidRPr="00000000">
        <w:rPr>
          <w:rFonts w:ascii="Google Sans" w:cs="Google Sans" w:eastAsia="Google Sans" w:hAnsi="Google Sans"/>
          <w:color w:val="1f1f1f"/>
        </w:rPr>
        <w:drawing>
          <wp:inline distB="19050" distT="19050" distL="19050" distR="19050">
            <wp:extent cx="156716" cy="254663"/>
            <wp:effectExtent b="0" l="0" r="0" t="0"/>
            <wp:docPr id="3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156716" cy="254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etrafında nasıl kümelendiğini tahmin eder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Önemli bir ekonometrik kısıt olarak, gizli değişkenin ölçü birimi (scale) olmadığından modelin tanımlanabilmesi (identification) için faktör yüklerinden (</w:t>
      </w:r>
      <w:r w:rsidDel="00000000" w:rsidR="00000000" w:rsidRPr="00000000">
        <w:rPr>
          <w:rFonts w:ascii="Google Sans" w:cs="Google Sans" w:eastAsia="Google Sans" w:hAnsi="Google Sans"/>
          <w:color w:val="1f1f1f"/>
        </w:rPr>
        <w:drawing>
          <wp:inline distB="19050" distT="19050" distL="19050" distR="19050">
            <wp:extent cx="114300" cy="247650"/>
            <wp:effectExtent b="0" l="0" r="0" t="0"/>
            <wp:docPr id="3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1143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birinin 1'e veya -1'e eşitlenerek sabitlenmesi (normalization) gerekir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Breusch ve diğer araştırmacıların da belirttiği gibi, bu referans ataması üzerinden gizli değişkenin baz yıl (base year) endeks değerleri hesaplanır ve ardından para talebi yaklaşımları (currency demand approach) kullanılarak, Karanlık Madde'nin Reel GSYH içerisindeki milyar dolarlık oransal büyüklüğü ekstrakte edilir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Hazne ve Hidrolik Sifon Çöküş Modeli (Flash Drain)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Kayıt dışı fonların ve kara paranın makroekonomi içerisindeki davranışı, doğrusal, sabit veya monoton bir nakit akışı teorisiyle anlaşılamaz. Kara para rejimleri, yavaş ve sinsi bir "damla damla dolum ve birikim" (Accumulation/Reservoir) ile jeopolitik veya regülatif bir şok anında (FATF gri liste, vergi incelemeleri vb.) tetiklenen akut ve şiddetli "sifon tahliyesi" (Flash Drain) gibi dualitik (iki farklı duruma sahip) bir mekanizma ile çalışır. Bu dinamikler, Diferansiyel Denklemler ve Markov Değişimli Durum-Uzay Modelleri ile kusursuz bir şekilde haritalandırılır.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dinamiklerin kavramsal bir izdüşümü olarak, sistemi bir akışkanlar mekaniği metaforuyla tasvir etmek mümkündür. Kayıt dışı ekonomiyi devasa bir sıvı tankı (Karanlık Madde Haznesi) olarak düşünün; bu tanka giren sular (vergi afları ve ticari manipülasyonlarla oluşan gelirler) yavaş yavaş yükselir ve emlak, lüks tüketim ile borsadaki varlık katmanlarını doygunluğa ulaştırır. Tankın alt kısmında ise Markov durum denklemleriyle kontrol edilen bir "Sifon Valfi" bulunur. Sistem birinci durumdayken (Birikim) valf kapalıdır; ancak dışsal bir regülasyon şoku yaşandığında sistem ikinci duruma (Sifon Rejimi) geçer, valf tam kapasite açılır ve tanktaki milyarlarca dolarlık likidite iz bırakmadan yurt dışı kanallara doğru şiddetle tahliye edilir.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Diferansiyel Hazne Denklemi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Zamanın (</w:t>
      </w:r>
      <w:r w:rsidDel="00000000" w:rsidR="00000000" w:rsidRPr="00000000">
        <w:rPr>
          <w:rFonts w:ascii="Google Sans" w:cs="Google Sans" w:eastAsia="Google Sans" w:hAnsi="Google Sans"/>
          <w:color w:val="1f1f1f"/>
        </w:rPr>
        <w:drawing>
          <wp:inline distB="19050" distT="19050" distL="19050" distR="19050">
            <wp:extent cx="70842" cy="263128"/>
            <wp:effectExtent b="0" l="0" r="0" t="0"/>
            <wp:docPr id="40"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70842" cy="263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sürekli bir fonksiyonu olarak Hazne'de biriken Karanlık Madde hacmini </w:t>
      </w:r>
      <w:r w:rsidDel="00000000" w:rsidR="00000000" w:rsidRPr="00000000">
        <w:rPr>
          <w:rFonts w:ascii="Google Sans" w:cs="Google Sans" w:eastAsia="Google Sans" w:hAnsi="Google Sans"/>
          <w:color w:val="1f1f1f"/>
        </w:rPr>
        <w:drawing>
          <wp:inline distB="19050" distT="19050" distL="19050" distR="19050">
            <wp:extent cx="373856" cy="249238"/>
            <wp:effectExtent b="0" l="0" r="0" t="0"/>
            <wp:docPr id="4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73856" cy="249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tanımlayalım. Sistem, </w:t>
      </w:r>
      <w:r w:rsidDel="00000000" w:rsidR="00000000" w:rsidRPr="00000000">
        <w:rPr>
          <w:rFonts w:ascii="Google Sans" w:cs="Google Sans" w:eastAsia="Google Sans" w:hAnsi="Google Sans"/>
          <w:color w:val="1f1f1f"/>
        </w:rPr>
        <w:drawing>
          <wp:inline distB="19050" distT="19050" distL="19050" distR="19050">
            <wp:extent cx="429816" cy="248338"/>
            <wp:effectExtent b="0" l="0" r="0" t="0"/>
            <wp:docPr id="43"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29816" cy="2483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adlı, o ülkenin finansal ve fiziki (emlak) varlıklarının şüphe çekmeden absorbe edebileceği maksimum kayıt dışı likidite kapasitesine sahiptir. Sistemdeki değişimi gösteren diferansiyel denklem şu şekilde kurulur: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1057275"/>
            <wp:effectExtent b="0" l="0" r="0" t="0"/>
            <wp:docPr id="44"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8671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49597" cy="245663"/>
            <wp:effectExtent b="0" l="0" r="0" t="0"/>
            <wp:docPr id="45"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349597" cy="245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İlgili dönemdeki makroekonomik regülasyon gevşekliğini, sisteme giriş kolaylığını (örneğin Varlık Barışı, vergi affı kanunları, sınır geçiş toleransları) belirleyen katsayıdır.</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32437" cy="247423"/>
            <wp:effectExtent b="0" l="0" r="0" t="0"/>
            <wp:docPr id="1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1132437" cy="247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Küresel uyuşturucu, yolsuzluk ve kayıt dışı ticaretten ülkeye yönelen yasa dışı fon arzı fonksiyonudur.</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11386" cy="248376"/>
            <wp:effectExtent b="0" l="0" r="0" t="0"/>
            <wp:docPr id="1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611386" cy="248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kritik parametre olan "Sifon Valfi İletkenliğidir". Tahliye hızını belirleyen </w:t>
      </w:r>
      <w:r w:rsidDel="00000000" w:rsidR="00000000" w:rsidRPr="00000000">
        <w:rPr>
          <w:rFonts w:ascii="Google Sans" w:cs="Google Sans" w:eastAsia="Google Sans" w:hAnsi="Google Sans"/>
          <w:color w:val="1f1f1f"/>
        </w:rPr>
        <w:drawing>
          <wp:inline distB="19050" distT="19050" distL="19050" distR="19050">
            <wp:extent cx="344835" cy="249047"/>
            <wp:effectExtent b="0" l="0" r="0" t="0"/>
            <wp:docPr id="1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44835" cy="249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doğrusal olmayan, Markov durum değişkeni </w:t>
      </w:r>
      <w:r w:rsidDel="00000000" w:rsidR="00000000" w:rsidRPr="00000000">
        <w:rPr>
          <w:rFonts w:ascii="Google Sans" w:cs="Google Sans" w:eastAsia="Google Sans" w:hAnsi="Google Sans"/>
          <w:color w:val="1f1f1f"/>
        </w:rPr>
        <w:drawing>
          <wp:inline distB="19050" distT="19050" distL="19050" distR="19050">
            <wp:extent cx="898327" cy="248473"/>
            <wp:effectExtent b="0" l="0" r="0" t="0"/>
            <wp:docPr id="18"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898327" cy="2484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'ye bağlı asimetrik bir fonksiyondur.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Markov Değişimli Durum-Uzay Modeli (Markov-Switching State-Space) ve Kalman Filtresi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Modeldeki rejim değişimlerini (Sifon valfinin kapalı veya tam açık olması durumlarını) tahmin etmek için, zaman serisi ekonometrisine James Hamilton (1989) tarafından kazandırılan </w:t>
      </w:r>
      <w:r w:rsidDel="00000000" w:rsidR="00000000" w:rsidRPr="00000000">
        <w:rPr>
          <w:rFonts w:ascii="Google Sans" w:cs="Google Sans" w:eastAsia="Google Sans" w:hAnsi="Google Sans"/>
          <w:i w:val="1"/>
          <w:iCs w:val="1"/>
          <w:color w:val="1f1f1f"/>
          <w:rtl w:val="0"/>
        </w:rPr>
        <w:t xml:space="preserve">Markov Değişimli Modeller</w:t>
      </w:r>
      <w:r w:rsidDel="00000000" w:rsidR="00000000" w:rsidRPr="00000000">
        <w:rPr>
          <w:rFonts w:ascii="Google Sans" w:cs="Google Sans" w:eastAsia="Google Sans" w:hAnsi="Google Sans"/>
          <w:color w:val="1f1f1f"/>
          <w:rtl w:val="0"/>
        </w:rPr>
        <w:t xml:space="preserve"> (Markov Switching Models) kullanılmaktadır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Bu modeller, makroekonomik serilerin (örneğin T2SAIM sensörlerinin) deterministik olmadığını, yapısal kırılmalar (structural breaks) içerdiğini ve iki farklı rejim arasında geçişler yaptığını kabul eder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iki temel rejim (state) etrafında şekillenir:</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1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(İstikrarlı Birikim Rejimi):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29977" cy="246061"/>
            <wp:effectExtent b="0" l="0" r="0" t="0"/>
            <wp:docPr id="20"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29977" cy="246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katsayısı neredeyse sıfıra yakındır. Ülkeye giren yasa dışı fonlar Sifon valfinden dışarı çıkamaz (veya çıkmak istemez); yerel gayrimenkullerde (A2 sensörü), kripto hesaplarda veya lüks tüketimde (A5) park edilir. Hazne istikrarlı bir şekilde dolar ve </w:t>
      </w:r>
      <w:r w:rsidDel="00000000" w:rsidR="00000000" w:rsidRPr="00000000">
        <w:rPr>
          <w:rFonts w:ascii="Google Sans" w:cs="Google Sans" w:eastAsia="Google Sans" w:hAnsi="Google Sans"/>
          <w:color w:val="1f1f1f"/>
        </w:rPr>
        <w:drawing>
          <wp:inline distB="19050" distT="19050" distL="19050" distR="19050">
            <wp:extent cx="429816" cy="248338"/>
            <wp:effectExtent b="0" l="0" r="0" t="0"/>
            <wp:docPr id="2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29816" cy="2483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'a (doygunluğa) ulaşır.</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2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(Akut Sifon Rejimi):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29977" cy="246061"/>
            <wp:effectExtent b="0" l="0" r="0" t="0"/>
            <wp:docPr id="23"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29977" cy="246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katsayısı bir fonksiyon şokuyla eksponansiyel olarak artar. Fonlar regülatif tehlike sezer, valf açılır ve birikmiş rezerv (NOH üzerinden) negatif ivmeyle şiddetle yurt dışına tahliye edilir.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Rejimlerin birbirine dönüşüm olasılıkları (transition probabilities), geçmiş durumun (</w:t>
      </w:r>
      <w:r w:rsidDel="00000000" w:rsidR="00000000" w:rsidRPr="00000000">
        <w:rPr>
          <w:rFonts w:ascii="Google Sans" w:cs="Google Sans" w:eastAsia="Google Sans" w:hAnsi="Google Sans"/>
          <w:color w:val="1f1f1f"/>
        </w:rPr>
        <w:drawing>
          <wp:inline distB="19050" distT="19050" distL="19050" distR="19050">
            <wp:extent cx="354806" cy="249323"/>
            <wp:effectExtent b="0" l="0" r="0" t="0"/>
            <wp:docPr id="2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54806" cy="249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sadece bugünkü durumu (</w:t>
      </w:r>
      <w:r w:rsidDel="00000000" w:rsidR="00000000" w:rsidRPr="00000000">
        <w:rPr>
          <w:rFonts w:ascii="Google Sans" w:cs="Google Sans" w:eastAsia="Google Sans" w:hAnsi="Google Sans"/>
          <w:color w:val="1f1f1f"/>
        </w:rPr>
        <w:drawing>
          <wp:inline distB="19050" distT="19050" distL="19050" distR="19050">
            <wp:extent cx="179487" cy="245614"/>
            <wp:effectExtent b="0" l="0" r="0" t="0"/>
            <wp:docPr id="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179487" cy="245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etkilediği sabit (veya zamana bağlı değişen) bir Markov Zinciri matrisi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hesaplanır: </w:t>
      </w:r>
      <w:r w:rsidDel="00000000" w:rsidR="00000000" w:rsidRPr="00000000">
        <w:rPr>
          <w:rFonts w:ascii="Google Sans" w:cs="Google Sans" w:eastAsia="Google Sans" w:hAnsi="Google Sans"/>
          <w:color w:val="1f1f1f"/>
        </w:rPr>
        <w:drawing>
          <wp:inline distB="19050" distT="19050" distL="19050" distR="19050">
            <wp:extent cx="2057695" cy="247686"/>
            <wp:effectExtent b="0" l="0" r="0" t="0"/>
            <wp:docPr id="3"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2057695" cy="24768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T2SAIM çerçevesinde </w:t>
      </w:r>
      <w:r w:rsidDel="00000000" w:rsidR="00000000" w:rsidRPr="00000000">
        <w:rPr>
          <w:rFonts w:ascii="Google Sans" w:cs="Google Sans" w:eastAsia="Google Sans" w:hAnsi="Google Sans"/>
          <w:color w:val="1f1f1f"/>
        </w:rPr>
        <w:drawing>
          <wp:inline distB="19050" distT="19050" distL="19050" distR="19050">
            <wp:extent cx="373856" cy="249238"/>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73856" cy="249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'nin (Karanlık Madde Haznesi) kendisi tamamen gözlemlenemeyen (unobserved latent component) bir değişken olduğu için, modelin tahmini bir Durum-Uzay (State-Space) formülasyonunu ve </w:t>
      </w:r>
      <w:r w:rsidDel="00000000" w:rsidR="00000000" w:rsidRPr="00000000">
        <w:rPr>
          <w:rFonts w:ascii="Google Sans" w:cs="Google Sans" w:eastAsia="Google Sans" w:hAnsi="Google Sans"/>
          <w:i w:val="1"/>
          <w:iCs w:val="1"/>
          <w:color w:val="1f1f1f"/>
          <w:rtl w:val="0"/>
        </w:rPr>
        <w:t xml:space="preserve">Kalman Filtresi</w:t>
      </w:r>
      <w:r w:rsidDel="00000000" w:rsidR="00000000" w:rsidRPr="00000000">
        <w:rPr>
          <w:rFonts w:ascii="Google Sans" w:cs="Google Sans" w:eastAsia="Google Sans" w:hAnsi="Google Sans"/>
          <w:color w:val="1f1f1f"/>
          <w:rtl w:val="0"/>
        </w:rPr>
        <w:t xml:space="preserve"> tekniklerini gerektirir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Durum-Uzay modelleri iki eşitlik kullanır: Gözlem (Measurement) denklemi (</w:t>
      </w:r>
      <w:r w:rsidDel="00000000" w:rsidR="00000000" w:rsidRPr="00000000">
        <w:rPr>
          <w:rFonts w:ascii="Google Sans" w:cs="Google Sans" w:eastAsia="Google Sans" w:hAnsi="Google Sans"/>
          <w:color w:val="1f1f1f"/>
        </w:rPr>
        <w:drawing>
          <wp:inline distB="19050" distT="19050" distL="19050" distR="19050">
            <wp:extent cx="1230811" cy="248070"/>
            <wp:effectExtent b="0" l="0" r="0" t="0"/>
            <wp:docPr id="5"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1230811" cy="248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Durum (State/Transition) denklemi (</w:t>
      </w:r>
      <w:r w:rsidDel="00000000" w:rsidR="00000000" w:rsidRPr="00000000">
        <w:rPr>
          <w:rFonts w:ascii="Google Sans" w:cs="Google Sans" w:eastAsia="Google Sans" w:hAnsi="Google Sans"/>
          <w:color w:val="1f1f1f"/>
        </w:rPr>
        <w:drawing>
          <wp:inline distB="19050" distT="19050" distL="19050" distR="19050">
            <wp:extent cx="1577283" cy="247044"/>
            <wp:effectExtent b="0" l="0" r="0" t="0"/>
            <wp:docPr id="6"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1577283" cy="2470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Kalman filtresi, NOH verisindeki veya emlak fiyatlarındaki gürültülere (measurement noise) rağmen, dinamik sistemin gizli </w:t>
      </w:r>
      <w:r w:rsidDel="00000000" w:rsidR="00000000" w:rsidRPr="00000000">
        <w:rPr>
          <w:rFonts w:ascii="Google Sans" w:cs="Google Sans" w:eastAsia="Google Sans" w:hAnsi="Google Sans"/>
          <w:color w:val="1f1f1f"/>
        </w:rPr>
        <w:drawing>
          <wp:inline distB="19050" distT="19050" distL="19050" distR="19050">
            <wp:extent cx="373856" cy="249238"/>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73856" cy="249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durumunun zaman içindeki optimal tahminini sağlayan son derece güçlü bir özyinelemeli (recursive) algoritmadır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Yeni bir aylık veri geldiğinde tüm geçmişi yeniden hesaplamak yerine; bir "tahmin" (predict) ve ardından "güncelleme" (update) döngüsü ile çalışır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Hamilton filtresi ile Kalman filtresi entegre edildiğinde; model, örneğin FATF'in ülkeyi gri listeye alması veya uluslararası bir yaptırımın devreye girmesi gibi dışsal şoklarda NOH verisindeki sert kırılımları algılar. EM algoritması (Expectation-Maximization) kullanılarak elde edilen Maksimum Olabilirlik (Maximum Likelihood) tahminleriyle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model </w:t>
      </w: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olasılığını (Sifon valfinin açıldığını) teyit eder ve rezervlerin boşalma hızını anlık olarak izler.</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Sınır Ötesi Yönelim: Walker Kütleçekim Modeli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Markov-Kalman filtresi </w:t>
      </w: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9"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(Akut Sifon) rejimine geçildiğini ve Hazne'nin tahliye edildiğini tespit ettiğinde, modelin bir sonraki aşaması bu milyarlarca dolarlık yasa dışı fonun küresel haritada nereye aktığını (yönelimini) bulmaktır. Kara para rastgele hareket etmez; belirli çekim merkezlerine doğru akış gösterir. John Walker tarafından 1990'ların ortalarında oluşturulan ve daha sonra Brigitte Unger gibi ekonomistlerce Birleşmiş Milletler (UNODC) raporlarında da modifiye edilerek kullanılan </w:t>
      </w:r>
      <w:r w:rsidDel="00000000" w:rsidR="00000000" w:rsidRPr="00000000">
        <w:rPr>
          <w:rFonts w:ascii="Google Sans" w:cs="Google Sans" w:eastAsia="Google Sans" w:hAnsi="Google Sans"/>
          <w:i w:val="1"/>
          <w:iCs w:val="1"/>
          <w:color w:val="1f1f1f"/>
          <w:rtl w:val="0"/>
        </w:rPr>
        <w:t xml:space="preserve">Walker Kütleçekim Modeli</w:t>
      </w:r>
      <w:r w:rsidDel="00000000" w:rsidR="00000000" w:rsidRPr="00000000">
        <w:rPr>
          <w:rFonts w:ascii="Google Sans" w:cs="Google Sans" w:eastAsia="Google Sans" w:hAnsi="Google Sans"/>
          <w:color w:val="1f1f1f"/>
          <w:rtl w:val="0"/>
        </w:rPr>
        <w:t xml:space="preserve"> (Walker Gravity Model), fizik disiplinindeki yerçekimi yasalarını uluslararası para aklama ağlarına birebir uyarlar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Walker Kütleçekim Modeli, uluslararası ticaret modellerinde (Tinbergen vb.) olduğu gibi iki ülke (i ve j) arasındaki yasa dışı fon akışını; parayı gönderen ülkedeki suç gelirinin ekonomik kütlesi (Mass - </w:t>
      </w:r>
      <w:r w:rsidDel="00000000" w:rsidR="00000000" w:rsidRPr="00000000">
        <w:rPr>
          <w:rFonts w:ascii="Google Sans" w:cs="Google Sans" w:eastAsia="Google Sans" w:hAnsi="Google Sans"/>
          <w:color w:val="1f1f1f"/>
        </w:rPr>
        <w:drawing>
          <wp:inline distB="19050" distT="19050" distL="19050" distR="19050">
            <wp:extent cx="247055" cy="247055"/>
            <wp:effectExtent b="0" l="0" r="0" t="0"/>
            <wp:docPr id="10"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247055" cy="247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hedef ülkenin aklama açısından cazibesi (Attractiveness - </w:t>
      </w:r>
      <w:r w:rsidDel="00000000" w:rsidR="00000000" w:rsidRPr="00000000">
        <w:rPr>
          <w:rFonts w:ascii="Google Sans" w:cs="Google Sans" w:eastAsia="Google Sans" w:hAnsi="Google Sans"/>
          <w:color w:val="1f1f1f"/>
        </w:rPr>
        <w:drawing>
          <wp:inline distB="19050" distT="19050" distL="19050" distR="19050">
            <wp:extent cx="221010" cy="249837"/>
            <wp:effectExtent b="0" l="0" r="0" t="0"/>
            <wp:docPr id="52"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221010" cy="2498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iki ülke arasındaki mesafe veya sürtünme katsayısı (Distance - </w:t>
      </w:r>
      <w:r w:rsidDel="00000000" w:rsidR="00000000" w:rsidRPr="00000000">
        <w:rPr>
          <w:rFonts w:ascii="Google Sans" w:cs="Google Sans" w:eastAsia="Google Sans" w:hAnsi="Google Sans"/>
          <w:color w:val="1f1f1f"/>
        </w:rPr>
        <w:drawing>
          <wp:inline distB="19050" distT="19050" distL="19050" distR="19050">
            <wp:extent cx="283666" cy="245844"/>
            <wp:effectExtent b="0" l="0" r="0" t="0"/>
            <wp:docPr id="55" name="image43.png"/>
            <a:graphic>
              <a:graphicData uri="http://schemas.openxmlformats.org/drawingml/2006/picture">
                <pic:pic>
                  <pic:nvPicPr>
                    <pic:cNvPr id="0" name="image43.png"/>
                    <pic:cNvPicPr preferRelativeResize="0"/>
                  </pic:nvPicPr>
                  <pic:blipFill>
                    <a:blip r:embed="rId49"/>
                    <a:srcRect b="0" l="0" r="0" t="0"/>
                    <a:stretch>
                      <a:fillRect/>
                    </a:stretch>
                  </pic:blipFill>
                  <pic:spPr>
                    <a:xfrm>
                      <a:off x="0" y="0"/>
                      <a:ext cx="283666" cy="245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denklemi üzerinden açıklar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Teorik formül şu şekilde modifiye edilmiş bir matematiksel denkleme oturur: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43161"/>
            <wp:effectExtent b="0" l="0" r="0" t="0"/>
            <wp:docPr id="56"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5905500" cy="104316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Burada yer alan parametrelerin adli analiz karşılıkları şu şekildedir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47353" cy="247353"/>
            <wp:effectExtent b="0" l="0" r="0" t="0"/>
            <wp:docPr id="58"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247353" cy="247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61"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ülkesinden </w:t>
      </w:r>
      <w:r w:rsidDel="00000000" w:rsidR="00000000" w:rsidRPr="00000000">
        <w:rPr>
          <w:rFonts w:ascii="Google Sans" w:cs="Google Sans" w:eastAsia="Google Sans" w:hAnsi="Google Sans"/>
          <w:color w:val="1f1f1f"/>
        </w:rPr>
        <w:drawing>
          <wp:inline distB="19050" distT="19050" distL="19050" distR="19050">
            <wp:extent cx="91976" cy="239137"/>
            <wp:effectExtent b="0" l="0" r="0" t="0"/>
            <wp:docPr id="63"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91976" cy="239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ülkesine yönelen yasa dışı tahliye akışının miktarı.</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47055" cy="247055"/>
            <wp:effectExtent b="0" l="0" r="0" t="0"/>
            <wp:docPr id="66"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247055" cy="247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68"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ülkesinde üretilen ve aklanmayı bekleyen fon kütlesi (T2SAIM Hazne büyüklüğü).</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318765" cy="248463"/>
            <wp:effectExtent b="0" l="0" r="0" t="0"/>
            <wp:docPr id="70" name="image41.png"/>
            <a:graphic>
              <a:graphicData uri="http://schemas.openxmlformats.org/drawingml/2006/picture">
                <pic:pic>
                  <pic:nvPicPr>
                    <pic:cNvPr id="0" name="image41.png"/>
                    <pic:cNvPicPr preferRelativeResize="0"/>
                  </pic:nvPicPr>
                  <pic:blipFill>
                    <a:blip r:embed="rId53"/>
                    <a:srcRect b="0" l="0" r="0" t="0"/>
                    <a:stretch>
                      <a:fillRect/>
                    </a:stretch>
                  </pic:blipFill>
                  <pic:spPr>
                    <a:xfrm>
                      <a:off x="0" y="0"/>
                      <a:ext cx="1318765" cy="248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Hedef ülkenin ekonomik kütlesi, finansal derinliği ve kişi başı gayrisafi milli hasılası. (Yasa dışı fonlar zayıf değil, yüksek refahlı ülkelere kaçar).</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52872" cy="247964"/>
            <wp:effectExtent b="0" l="0" r="0" t="0"/>
            <wp:docPr id="72"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352872"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Hedef ülkenin sunduğu Bankacılık Gizliliği (Banking Secrecy). Walker modelinde İsviçre veya offshore merkezleri gibi katı banka gizliliği sunan ülkeler en yüksek katsayıyı alır.</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75047" cy="250031"/>
            <wp:effectExtent b="0" l="0" r="0" t="0"/>
            <wp:docPr id="51"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375047" cy="250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Hükümetin kara paraya ve uluslararası regülasyonlara karşı esnek tutumu (Government Attitude).</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86706" cy="246438"/>
            <wp:effectExtent b="0" l="0" r="0" t="0"/>
            <wp:docPr id="27"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786706" cy="246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Ülkenin SWIFT ve uluslararası ödeme sistemlerine entegrasyonu.</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54211" cy="248905"/>
            <wp:effectExtent b="0" l="0" r="0" t="0"/>
            <wp:docPr id="28"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354211" cy="248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color w:val="1f1f1f"/>
        </w:rPr>
        <w:drawing>
          <wp:inline distB="19050" distT="19050" distL="19050" distR="19050">
            <wp:extent cx="376981" cy="245038"/>
            <wp:effectExtent b="0" l="0" r="0" t="0"/>
            <wp:docPr id="29"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376981" cy="245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Hedef ülkedeki Çatışma (Conflict) ve Yolsuzluk (Corruption) oranları (Ceza puanı olarak eksi etki yaratır, para istikrar ve düşük yolsuzluk arar).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T2SAIM modelinde Sifon valfi (</w:t>
      </w: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31"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açıldığı anda; Walker denklemi uyarınca paranın yönü, Bankacılık Gizliliğinin (</w:t>
      </w:r>
      <w:r w:rsidDel="00000000" w:rsidR="00000000" w:rsidRPr="00000000">
        <w:rPr>
          <w:rFonts w:ascii="Google Sans" w:cs="Google Sans" w:eastAsia="Google Sans" w:hAnsi="Google Sans"/>
          <w:color w:val="1f1f1f"/>
        </w:rPr>
        <w:drawing>
          <wp:inline distB="19050" distT="19050" distL="19050" distR="19050">
            <wp:extent cx="352872" cy="247964"/>
            <wp:effectExtent b="0" l="0" r="0" t="0"/>
            <wp:docPr id="33"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352872"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yüksek olduğu, siyasi çatışmanın (</w:t>
      </w:r>
      <w:r w:rsidDel="00000000" w:rsidR="00000000" w:rsidRPr="00000000">
        <w:rPr>
          <w:rFonts w:ascii="Google Sans" w:cs="Google Sans" w:eastAsia="Google Sans" w:hAnsi="Google Sans"/>
          <w:color w:val="1f1f1f"/>
        </w:rPr>
        <w:drawing>
          <wp:inline distB="19050" distT="19050" distL="19050" distR="19050">
            <wp:extent cx="354211" cy="248905"/>
            <wp:effectExtent b="0" l="0" r="0" t="0"/>
            <wp:docPr id="35"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354211" cy="248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bulunmadığı ve finansal altyapının yüksek kapasiteli olduğu uluslararası finansal limanlara (Örneğin Birleşik Arap Emirlikleri, Lüksemburg, Cayman Adaları, Singapur, Londra gayrimenkul piyasası veya Manhattan) doğru devasa bir ivme kazanır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Tarihsel Hazne ve Sifon Kütüğü Analizi (1996 - 2026)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T2SAIM metodolojisinin teorik diferansiyel altyapısı ve sensör kalibrasyonları, Türkiye Cumhuriyet Merkez Bankası (TCMB) Ödemeler Dengesi istatistikleri ve 1996 - 2026 periyodundaki NOH (Net Hata ve Noksan) makroekonomik verilerine simüle edildiğinde, modelin olağanüstü hassasiyeti ve tespit gücü kristalize olmaktadır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Bu 30 yıllık periyotta iki spesifik vaka dönemi, sistemin "Aşırı Doygunluk" (Super-saturation) ve "Akut Sifon" (Flash Drain) rejimlerini, adeta bir laboratuvar deneyi netliğinde doğrulamaktadır.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 – 2022: Aşırı Doygunluk Zirvesi (Hazne Fazı)</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salgın (COVID-19) sonrası dönem, bozulan uluslararası tedarik zincirleri, bölgesel savaşların getirdiği oligark fon hareketlilikleri ve Türkiye'de art arda çıkarılan Varlık Barışı benzeri "sorgusuz sualsiz" servet getirme politikalarının (yüksek </w:t>
      </w:r>
      <w:r w:rsidDel="00000000" w:rsidR="00000000" w:rsidRPr="00000000">
        <w:rPr>
          <w:rFonts w:ascii="Google Sans" w:cs="Google Sans" w:eastAsia="Google Sans" w:hAnsi="Google Sans"/>
          <w:color w:val="1f1f1f"/>
        </w:rPr>
        <w:drawing>
          <wp:inline distB="19050" distT="19050" distL="19050" distR="19050">
            <wp:extent cx="349597" cy="245663"/>
            <wp:effectExtent b="0" l="0" r="0" t="0"/>
            <wp:docPr id="37"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349597" cy="245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katsayısı) birleşimi, Karanlık Madde Haznesi'nin Cumhuriyet tarihinin en yüksek hızında dolmasına neden olmuştur.</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Sensör 1 (NOH) Patlaması:</w:t>
      </w:r>
      <w:r w:rsidDel="00000000" w:rsidR="00000000" w:rsidRPr="00000000">
        <w:rPr>
          <w:rFonts w:ascii="Google Sans" w:cs="Google Sans" w:eastAsia="Google Sans" w:hAnsi="Google Sans"/>
          <w:color w:val="1f1f1f"/>
          <w:rtl w:val="0"/>
        </w:rPr>
        <w:t xml:space="preserve"> TCMB resmi verilerine göre, 2021-2022 periyodunda sisteme giren kaynağı belirsiz dövizleri temsil eden Net Hata ve Noksan kalemi, pozitif +26.2 milyar ABD Doları gibi tarihi bir zirveye ulaşmıştır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Bu durum NOH kaleminin, dış ticaret açıklarının finansmanında geleneksel portföy yatırımlarını bile geride bırakan bir ana likidite pompasına dönüştüğünün kanıtıdır.</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Hazne Kapasitesi ve Etkileri:</w:t>
      </w:r>
      <w:r w:rsidDel="00000000" w:rsidR="00000000" w:rsidRPr="00000000">
        <w:rPr>
          <w:rFonts w:ascii="Google Sans" w:cs="Google Sans" w:eastAsia="Google Sans" w:hAnsi="Google Sans"/>
          <w:color w:val="1f1f1f"/>
          <w:rtl w:val="0"/>
        </w:rPr>
        <w:t xml:space="preserve"> Rejim </w:t>
      </w: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3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(Birikim) durumundadır. Rezervuar doluluk seviyesi %96.5 gibi kritik bir fiziksel eşiğe ulaşmıştır.</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Makroekonomik İllüzyon:</w:t>
      </w:r>
      <w:r w:rsidDel="00000000" w:rsidR="00000000" w:rsidRPr="00000000">
        <w:rPr>
          <w:rFonts w:ascii="Google Sans" w:cs="Google Sans" w:eastAsia="Google Sans" w:hAnsi="Google Sans"/>
          <w:color w:val="1f1f1f"/>
          <w:rtl w:val="0"/>
        </w:rPr>
        <w:t xml:space="preserve"> Geleneksel teoride devasa cari açıklar veren ve negatif reel faiz politikası (enflasyonun çok altında merkez bankası politika faizleri) uygulayan bir ekonomide kurların hızla patlaması gerekir. Ancak bu +26.2 milyar dolarlık devasa "karanlık" fon girişi, döviz kurları üzerinde "yapay bir çıpa" (artificial peg) etkisi yaratarak sistemin hiperenflasyona veya ani duruşa (sudden stop) gitmesini geçici bir süre engellemiştir.</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Sensör Korelasyonları:</w:t>
      </w:r>
      <w:r w:rsidDel="00000000" w:rsidR="00000000" w:rsidRPr="00000000">
        <w:rPr>
          <w:rFonts w:ascii="Google Sans" w:cs="Google Sans" w:eastAsia="Google Sans" w:hAnsi="Google Sans"/>
          <w:color w:val="1f1f1f"/>
          <w:rtl w:val="0"/>
        </w:rPr>
        <w:t xml:space="preserve"> Sifon kapalı olduğu için yurt içinde hapsolan bu milyarlarca dolar, doğrudan gayrimenkule ve lüks tüketime akmıştır. Sensör 2 (Emlak Kopuşu), medyan gelirler yerinde sayarken kredisiz/peşin emlak alımlarıyla fiyatların global endekslerde bile görülmemiş oranda enflasyondan kopuk artmasıyla alarm vermiş; eş zamanlı olarak Sensör 5 (Lüks İthalat) faturaları, matrahlardan bağımsız olarak patlama yapmıştır.</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 – 2026: Akut Sifon Boşalması (Flash Drain Fazı)</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 yılının ikinci yarısından itibaren uygulanan ekonomi politikalarındaki rasyonelleşme adımları (Ortodoks politikalara dönüş), politika faizlerinin çok kısa sürede sert artırılması ve en önemlisi FATF tarafından Türkiye'nin "gri liste" (grey list) statüsünde bulunmasının yarattığı yapısal uluslararası uyum baskısı (compliance stress), sistemde geri döndürülemez bir "Rejim Değişimi" tetiklemiştir.</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Rejim Geçişi:</w:t>
      </w:r>
      <w:r w:rsidDel="00000000" w:rsidR="00000000" w:rsidRPr="00000000">
        <w:rPr>
          <w:rFonts w:ascii="Google Sans" w:cs="Google Sans" w:eastAsia="Google Sans" w:hAnsi="Google Sans"/>
          <w:color w:val="1f1f1f"/>
          <w:rtl w:val="0"/>
        </w:rPr>
        <w:t xml:space="preserve"> Markov transition matrix </w:t>
      </w:r>
      <w:r w:rsidDel="00000000" w:rsidR="00000000" w:rsidRPr="00000000">
        <w:rPr>
          <w:rFonts w:ascii="Google Sans" w:cs="Google Sans" w:eastAsia="Google Sans" w:hAnsi="Google Sans"/>
          <w:color w:val="1f1f1f"/>
        </w:rPr>
        <w:drawing>
          <wp:inline distB="19050" distT="19050" distL="19050" distR="19050">
            <wp:extent cx="245417" cy="245417"/>
            <wp:effectExtent b="0" l="0" r="0" t="0"/>
            <wp:docPr id="41"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245417" cy="245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olasılığı (birikimden sifona geçiş ihtimali), regülatif çıkış dalgasının tetiklenmesiyle birlikte %91.5 gibi kırmızı alarm (Sifon Rejimi - </w:t>
      </w: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25"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seviyesine tırmanmıştır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Hükümetin kara paraya ve kayıtsız ekonomiye karşı denetimleri artırması (düşen </w:t>
      </w:r>
      <w:r w:rsidDel="00000000" w:rsidR="00000000" w:rsidRPr="00000000">
        <w:rPr>
          <w:rFonts w:ascii="Google Sans" w:cs="Google Sans" w:eastAsia="Google Sans" w:hAnsi="Google Sans"/>
          <w:color w:val="1f1f1f"/>
        </w:rPr>
        <w:drawing>
          <wp:inline distB="19050" distT="19050" distL="19050" distR="19050">
            <wp:extent cx="375047" cy="250031"/>
            <wp:effectExtent b="0" l="0" r="0" t="0"/>
            <wp:docPr id="26"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375047" cy="250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toleransı), yasa dışı kütlenin paniklemesine neden olmuştur.</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Sensör 1 (NOH) Yıkımı:</w:t>
      </w:r>
      <w:r w:rsidDel="00000000" w:rsidR="00000000" w:rsidRPr="00000000">
        <w:rPr>
          <w:rFonts w:ascii="Google Sans" w:cs="Google Sans" w:eastAsia="Google Sans" w:hAnsi="Google Sans"/>
          <w:color w:val="1f1f1f"/>
          <w:rtl w:val="0"/>
        </w:rPr>
        <w:t xml:space="preserve"> 2021'deki +26.2 milyar dolarlık rekor giriş, yerini çok kısa bir sürede -$18.4 milyar ABD Doları net çıkışa (negatif NOH) bırakmıştır. Sadece 2026 yılı aylık verileri (örneğin Temmuz 2026 BoP bültenleri) NOH kalemindeki muazzam volatiliteyi ve istikrarlı negatif basıncı doğrulamaktadır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Bu, sisteme giren sıcak ve karanlık paranın aynı hızda sistemi terk ettiğinin kanıtıdır.</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Hazne Çöküşü:</w:t>
      </w:r>
      <w:r w:rsidDel="00000000" w:rsidR="00000000" w:rsidRPr="00000000">
        <w:rPr>
          <w:rFonts w:ascii="Google Sans" w:cs="Google Sans" w:eastAsia="Google Sans" w:hAnsi="Google Sans"/>
          <w:color w:val="1f1f1f"/>
          <w:rtl w:val="0"/>
        </w:rPr>
        <w:t xml:space="preserve"> Sifon valfi (</w:t>
      </w:r>
      <w:r w:rsidDel="00000000" w:rsidR="00000000" w:rsidRPr="00000000">
        <w:rPr>
          <w:rFonts w:ascii="Google Sans" w:cs="Google Sans" w:eastAsia="Google Sans" w:hAnsi="Google Sans"/>
          <w:color w:val="1f1f1f"/>
        </w:rPr>
        <w:drawing>
          <wp:inline distB="19050" distT="19050" distL="19050" distR="19050">
            <wp:extent cx="344835" cy="249047"/>
            <wp:effectExtent b="0" l="0" r="0" t="0"/>
            <wp:docPr id="1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44835" cy="249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tam kapasite açılmış ve Hazne doygunluk seviyesi kısa sürede %96.5'ten %42.0 seviyesine dramatik bir şekilde erimiştir.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Aşağıdaki tablo, Türkiye'nin karanlık madde dinamiğindeki birikim (2021-2022) ve tahliye (2024-2026) dönemlerine ait NOH akışları ve bunun Hazne (rezervuar) kapasitesine olan kümülatif etkilerini karşılaştırmalı olarak özetlemektedir: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Faz ve Rejim Dönemi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Hakim Rejim (St​)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NOH Akışı (Milyar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Hazne Doluluk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Makroekonomik Hakim Etki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2021 - 2022 (Aşırı Doygunluk)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38758" cy="245749"/>
                  <wp:effectExtent b="0" l="0" r="0" t="0"/>
                  <wp:docPr id="1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(Birikim)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Yapay kur çıpası, devasa emlak fiyat ralli kopuşu, lüks tüketim patlaması.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2024 - 2026 (Akut Sifon)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38758" cy="245749"/>
                  <wp:effectExtent b="0" l="0" r="0" t="0"/>
                  <wp:docPr id="1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(Sifon/Tahliye)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FATF gri liste uyum baskısı, keskin NOH çıkışı, gayrimenkul likiditesinde donma.</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Tablodan da açıkça görüldüğü üzere, 2021-2022 hiper-birikim fazından, 2024 sonrasındaki tahliye fazına geçiş, yasa dışı sermayenin hızında (velocity) temel bir rejim değişikliğine işaret etmektedir. Walker Kütleçekim Modeli prensiplerince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bu -$18.4 milyar dolarlık devasa çıkış, geleneksel bankacılık (SWIFT) sistemindeki ağır AML kurallarına (gelişmiş KYC ve SAR raporlamaları) takılmamak için alternatif kanallara yönelmiştir. Modelin Sensör 4 (Kripto Primi) ve Sensör 3 (Kapalıçarşı Makası) analizleri, bu kaçışın izlerini anlık olarak kaydetmiştir. USDT (Tether) talebindeki patlama, yasa dışı fonları saniyeler içerisinde sınır ötesine çıkarmanın ana otoyolu haline gelmiş; efektif (banknot) dövize olan talebin artmasıyla kapalıçarşı ve resmi döviz kurları arasındaki spread, kriz anlarında alarm verici seviyelere ulaşmıştır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ve Stratejik Çıkarımlar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T2SAIM (Karanlık Madde Metodolojisi ve Kara Para Hazne Dinamiği) doktrini, kayıt dışı ekonominin, yasa dışı para aklama tipolojilerinin (örneğin TBML veya gayrimenkul sızıntıları) analizi için durağan (static), tek değişkenli ve kural tabanlı geleneksel yöntemleri reddederek; dinamik, fizik tabanlı ve diferansiyel bir makroekonomik paradigma sunmaktadır.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makro yaklaşımların yüzeysel açıklamalarının aksine; MIMIC tabanlı yapısal eşitlik modellerinin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latent (gizli) değişkenleri ortaya çıkarma gücü, Markov rejim değişim olasılıklarının durum-uzay (state-space) ve Kalman Filtresi mimarisiyle işlenmesi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Walker'ın yerçekimsel formülasyonu</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ve Benford Kanunu fiyatlama anomalileri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ile tam entegre edilmiş bu motor, finansal otoriteler, merkez bankaları ve FIU (Finansal İstihbarat Birimleri) kuruluşları için eşsiz bir uyarı sistemidir. FinCEN'in New York ve Miami'de uyguladığı GTO kararları</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ve FATF'in ticari faturalandırma denetimleri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kayıt dışı fonların mutlaka sistemde bir anomali, bir asimetri bırakmak zorunda olduğunu kanıtlamaktadır.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Tarihsel verilerin işaret ettiği üzere, Karanlık Madde Haznesi'nin dolum aşaması politika yapıcılar için kısa vadeli ve yalancı bir makroekonomik istikrar (örneğin kur çıpası yaratması veya varlık fiyatlarını enflasyon üzerinde artırması) sunsa da; sistemin termodinamik doğası gereği Sifon Rejimine (</w:t>
      </w:r>
      <w:r w:rsidDel="00000000" w:rsidR="00000000" w:rsidRPr="00000000">
        <w:rPr>
          <w:rFonts w:ascii="Google Sans" w:cs="Google Sans" w:eastAsia="Google Sans" w:hAnsi="Google Sans"/>
          <w:color w:val="1f1f1f"/>
        </w:rPr>
        <w:drawing>
          <wp:inline distB="19050" distT="19050" distL="19050" distR="19050">
            <wp:extent cx="538758" cy="245749"/>
            <wp:effectExtent b="0" l="0" r="0" t="0"/>
            <wp:docPr id="16"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8758" cy="245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geçiş daima kaçınılmazdır. Bu sifon etkisi, regülatif adımların (FATF listelerinden çıkış, şeffaflık yasaları) veya uluslararası yaptırım şoklarının tetiklemesiyle akut ve yıkıcı bir sermaye çıkışına sebep olmaktadır.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Özellikle P2P kripto varlık ağlarının (USDT tahkim primi) ve çok uluslu paravan şirket (LLC) katmanlarının yasa dışı sınır ötesi akışların sürtünme maliyetini sıfıra yaklaştırdığı bu yeni çağda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finansal düzenleyicilerin ve risk analiz uzmanlarının izlemesi gereken yol, tekil banka işlemlerini veya SAR raporlarını manuel olarak takip etmekten ziyade, T2SAIM'in 5 sensöründeki kütleçekimsel sapmaları (NOH, Emlak Kopuşu, FX Makası, USDT Primi, Lüks Vergi Uyuşmazlığı) eş zamanlı olarak algoritmik olarak monitörize etmektir. Etkin bir ulusal ekonomik gözetim, ancak ekonomik karanlık maddenin dolaylı yerçekimsel izlerini haritalandırabilen diferansiyel adli motorların (forensic engines) ülkenin istihbarat ve hazine veri mimarisine entegrasyonu ile mümkündür.</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 economy exposed - EY, </w:t>
      </w:r>
      <w:hyperlink r:id="rId60">
        <w:r w:rsidDel="00000000" w:rsidR="00000000" w:rsidRPr="00000000">
          <w:rPr>
            <w:rFonts w:ascii="Google Sans" w:cs="Google Sans" w:eastAsia="Google Sans" w:hAnsi="Google Sans"/>
            <w:color w:val="0000ee"/>
            <w:sz w:val="24"/>
            <w:szCs w:val="24"/>
            <w:u w:val="single"/>
            <w:rtl w:val="0"/>
          </w:rPr>
          <w:t xml:space="preserve">https://www.ey.com/content/dam/ey-unified-site/ey-com/en-gl/insights/tax/documents/ey-gl-shadow-economy-report-02-2025.pdf</w:t>
        </w:r>
      </w:hyperlink>
      <w:r w:rsidDel="00000000" w:rsidR="00000000" w:rsidRPr="00000000">
        <w:rPr>
          <w:rtl w:val="0"/>
        </w:rPr>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Measuring the shadow economy and its drivers, </w:t>
      </w:r>
      <w:hyperlink r:id="rId61">
        <w:r w:rsidDel="00000000" w:rsidR="00000000" w:rsidRPr="00000000">
          <w:rPr>
            <w:rFonts w:ascii="Google Sans" w:cs="Google Sans" w:eastAsia="Google Sans" w:hAnsi="Google Sans"/>
            <w:color w:val="0000ee"/>
            <w:sz w:val="24"/>
            <w:szCs w:val="24"/>
            <w:u w:val="single"/>
            <w:rtl w:val="0"/>
          </w:rPr>
          <w:t xml:space="preserve">https://www.tandfonline.com/doi/full/10.1080/1331677X.2019.1706601</w:t>
        </w:r>
      </w:hyperlink>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illicit financial flows resulting from drug trafficking and, </w:t>
      </w:r>
      <w:hyperlink r:id="rId62">
        <w:r w:rsidDel="00000000" w:rsidR="00000000" w:rsidRPr="00000000">
          <w:rPr>
            <w:rFonts w:ascii="Google Sans" w:cs="Google Sans" w:eastAsia="Google Sans" w:hAnsi="Google Sans"/>
            <w:color w:val="0000ee"/>
            <w:sz w:val="24"/>
            <w:szCs w:val="24"/>
            <w:u w:val="single"/>
            <w:rtl w:val="0"/>
          </w:rPr>
          <w:t xml:space="preserve">https://www.unodc.org/documents/data-and-analysis/Studies/Illicit_financial_flows_2011_web.pdf</w:t>
        </w:r>
      </w:hyperlink>
      <w:r w:rsidDel="00000000" w:rsidR="00000000" w:rsidRPr="00000000">
        <w:rPr>
          <w:rtl w:val="0"/>
        </w:rPr>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UNODC Report 2011 – The Estimate for Global Money Laundering, </w:t>
      </w:r>
      <w:hyperlink r:id="rId63">
        <w:r w:rsidDel="00000000" w:rsidR="00000000" w:rsidRPr="00000000">
          <w:rPr>
            <w:rFonts w:ascii="Google Sans" w:cs="Google Sans" w:eastAsia="Google Sans" w:hAnsi="Google Sans"/>
            <w:color w:val="0000ee"/>
            <w:sz w:val="24"/>
            <w:szCs w:val="24"/>
            <w:u w:val="single"/>
            <w:rtl w:val="0"/>
          </w:rPr>
          <w:t xml:space="preserve">https://regtechconsulting.net/uncategorized/unodc-report-2011-the-estimate-for-global-money-laundering/</w:t>
        </w:r>
      </w:hyperlink>
      <w:r w:rsidDel="00000000" w:rsidR="00000000" w:rsidRPr="00000000">
        <w:rPr>
          <w:rtl w:val="0"/>
        </w:rPr>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Geographic Targeting Orders Best Practices - Thomson Reuters Legal, </w:t>
      </w:r>
      <w:hyperlink r:id="rId64">
        <w:r w:rsidDel="00000000" w:rsidR="00000000" w:rsidRPr="00000000">
          <w:rPr>
            <w:rFonts w:ascii="Google Sans" w:cs="Google Sans" w:eastAsia="Google Sans" w:hAnsi="Google Sans"/>
            <w:color w:val="0000ee"/>
            <w:sz w:val="24"/>
            <w:szCs w:val="24"/>
            <w:u w:val="single"/>
            <w:rtl w:val="0"/>
          </w:rPr>
          <w:t xml:space="preserve">https://legal.thomsonreuters.com/en/insights/articles/geographic-targeting-orders-best-practices</w:t>
        </w:r>
      </w:hyperlink>
      <w:r w:rsidDel="00000000" w:rsidR="00000000" w:rsidRPr="00000000">
        <w:rPr>
          <w:rtl w:val="0"/>
        </w:rPr>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FinCEN Geographic Targeting Order (GTO) Compliance Guide, </w:t>
      </w:r>
      <w:hyperlink r:id="rId65">
        <w:r w:rsidDel="00000000" w:rsidR="00000000" w:rsidRPr="00000000">
          <w:rPr>
            <w:rFonts w:ascii="Google Sans" w:cs="Google Sans" w:eastAsia="Google Sans" w:hAnsi="Google Sans"/>
            <w:color w:val="0000ee"/>
            <w:sz w:val="24"/>
            <w:szCs w:val="24"/>
            <w:u w:val="single"/>
            <w:rtl w:val="0"/>
          </w:rPr>
          <w:t xml:space="preserve">https://amlsquare.com/blog/fincen-geographic-targeting-order-gto-compliance-guide/</w:t>
        </w:r>
      </w:hyperlink>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Methods for measuring money laundering: a typology, </w:t>
      </w:r>
      <w:hyperlink r:id="rId66">
        <w:r w:rsidDel="00000000" w:rsidR="00000000" w:rsidRPr="00000000">
          <w:rPr>
            <w:rFonts w:ascii="Google Sans" w:cs="Google Sans" w:eastAsia="Google Sans" w:hAnsi="Google Sans"/>
            <w:color w:val="0000ee"/>
            <w:sz w:val="24"/>
            <w:szCs w:val="24"/>
            <w:u w:val="single"/>
            <w:rtl w:val="0"/>
          </w:rPr>
          <w:t xml:space="preserve">https://christianchiroque.com/posts/metodos-medicion-lavado.en</w:t>
        </w:r>
      </w:hyperlink>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FinCEN GEOGRAPHIC TARGETING ORDER, April 14, 2025, </w:t>
      </w:r>
      <w:hyperlink r:id="rId67">
        <w:r w:rsidDel="00000000" w:rsidR="00000000" w:rsidRPr="00000000">
          <w:rPr>
            <w:rFonts w:ascii="Google Sans" w:cs="Google Sans" w:eastAsia="Google Sans" w:hAnsi="Google Sans"/>
            <w:color w:val="0000ee"/>
            <w:sz w:val="24"/>
            <w:szCs w:val="24"/>
            <w:u w:val="single"/>
            <w:rtl w:val="0"/>
          </w:rPr>
          <w:t xml:space="preserve">https://www.fincen.gov/system/files/shared/RRE-GTO-Order-April-14-2025-FINAL508.pdf</w:t>
        </w:r>
      </w:hyperlink>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FinCEN's Geographic Targeting Order - ComplyAdvantage, </w:t>
      </w:r>
      <w:hyperlink r:id="rId68">
        <w:r w:rsidDel="00000000" w:rsidR="00000000" w:rsidRPr="00000000">
          <w:rPr>
            <w:rFonts w:ascii="Google Sans" w:cs="Google Sans" w:eastAsia="Google Sans" w:hAnsi="Google Sans"/>
            <w:color w:val="0000ee"/>
            <w:sz w:val="24"/>
            <w:szCs w:val="24"/>
            <w:u w:val="single"/>
            <w:rtl w:val="0"/>
          </w:rPr>
          <w:t xml:space="preserve">https://complyadvantage.com/insights/geographic-targeting-order/</w:t>
        </w:r>
      </w:hyperlink>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FinCEN reissues real estate Geographic Targeting Orders - Abrigo, </w:t>
      </w:r>
      <w:hyperlink r:id="rId69">
        <w:r w:rsidDel="00000000" w:rsidR="00000000" w:rsidRPr="00000000">
          <w:rPr>
            <w:rFonts w:ascii="Google Sans" w:cs="Google Sans" w:eastAsia="Google Sans" w:hAnsi="Google Sans"/>
            <w:color w:val="0000ee"/>
            <w:sz w:val="24"/>
            <w:szCs w:val="24"/>
            <w:u w:val="single"/>
            <w:rtl w:val="0"/>
          </w:rPr>
          <w:t xml:space="preserve">https://www.abrigo.com/blog/fincen-reissues-real-estate-geographic-targeting-orders/</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FinCEN Reissues Geographic Targeting Order for Money Services, </w:t>
      </w:r>
      <w:hyperlink r:id="rId70">
        <w:r w:rsidDel="00000000" w:rsidR="00000000" w:rsidRPr="00000000">
          <w:rPr>
            <w:rFonts w:ascii="Google Sans" w:cs="Google Sans" w:eastAsia="Google Sans" w:hAnsi="Google Sans"/>
            <w:color w:val="0000ee"/>
            <w:sz w:val="24"/>
            <w:szCs w:val="24"/>
            <w:u w:val="single"/>
            <w:rtl w:val="0"/>
          </w:rPr>
          <w:t xml:space="preserve">https://www.moneylaunderingnews.com/2026/10/fincen-reissues-geographic-targeting-order-for-money-services-businesses-along-the-southwest-border/</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Trade-Based Money Laundering Risk Indicators - FATF, </w:t>
      </w:r>
      <w:hyperlink r:id="rId71">
        <w:r w:rsidDel="00000000" w:rsidR="00000000" w:rsidRPr="00000000">
          <w:rPr>
            <w:rFonts w:ascii="Google Sans" w:cs="Google Sans" w:eastAsia="Google Sans" w:hAnsi="Google Sans"/>
            <w:color w:val="0000ee"/>
            <w:sz w:val="24"/>
            <w:szCs w:val="24"/>
            <w:u w:val="single"/>
            <w:rtl w:val="0"/>
          </w:rPr>
          <w:t xml:space="preserve">https://www.fatf-gafi.org/content/dam/fatf-gafi/reports/Trade-Based-Money-Laundering-Risk-Indicators.pdf</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Trade-based money laundering typologies - FATF, </w:t>
      </w:r>
      <w:hyperlink r:id="rId72">
        <w:r w:rsidDel="00000000" w:rsidR="00000000" w:rsidRPr="00000000">
          <w:rPr>
            <w:rFonts w:ascii="Google Sans" w:cs="Google Sans" w:eastAsia="Google Sans" w:hAnsi="Google Sans"/>
            <w:color w:val="0000ee"/>
            <w:sz w:val="24"/>
            <w:szCs w:val="24"/>
            <w:u w:val="single"/>
            <w:rtl w:val="0"/>
          </w:rPr>
          <w:t xml:space="preserve">https://www.fatf-gafi.org/en/publications/Methodsandtrends/Trade-basedmoneylaunderingtypologies.html</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Spotting Trade-Based Money Laundering Indicators, </w:t>
      </w:r>
      <w:hyperlink r:id="rId73">
        <w:r w:rsidDel="00000000" w:rsidR="00000000" w:rsidRPr="00000000">
          <w:rPr>
            <w:rFonts w:ascii="Google Sans" w:cs="Google Sans" w:eastAsia="Google Sans" w:hAnsi="Google Sans"/>
            <w:color w:val="0000ee"/>
            <w:sz w:val="24"/>
            <w:szCs w:val="24"/>
            <w:u w:val="single"/>
            <w:rtl w:val="0"/>
          </w:rPr>
          <w:t xml:space="preserve">https://financialcrimeacademy.org/trade-based-money-laundering-indicators/</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Trade-Based Money Laundering: Red Flags &amp; Detection - FluxForce AI, </w:t>
      </w:r>
      <w:hyperlink r:id="rId74">
        <w:r w:rsidDel="00000000" w:rsidR="00000000" w:rsidRPr="00000000">
          <w:rPr>
            <w:rFonts w:ascii="Google Sans" w:cs="Google Sans" w:eastAsia="Google Sans" w:hAnsi="Google Sans"/>
            <w:color w:val="0000ee"/>
            <w:sz w:val="24"/>
            <w:szCs w:val="24"/>
            <w:u w:val="single"/>
            <w:rtl w:val="0"/>
          </w:rPr>
          <w:t xml:space="preserve">https://www.fluxforce.ai/typologies/trade-based-money-laundering</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Illicit Financial Flows: Concepts, Measurement, and Evidence, </w:t>
      </w:r>
      <w:hyperlink r:id="rId75">
        <w:r w:rsidDel="00000000" w:rsidR="00000000" w:rsidRPr="00000000">
          <w:rPr>
            <w:rFonts w:ascii="Google Sans" w:cs="Google Sans" w:eastAsia="Google Sans" w:hAnsi="Google Sans"/>
            <w:color w:val="0000ee"/>
            <w:sz w:val="24"/>
            <w:szCs w:val="24"/>
            <w:u w:val="single"/>
            <w:rtl w:val="0"/>
          </w:rPr>
          <w:t xml:space="preserve">https://documents1.worldbank.org/curated/en/409341624542914243/pdf/Illicit-Financial-Flows-Concepts-Measurement-and-Evidence.pdf</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AML Red Flags: The Complete Guide to Money Laundering Indicators, </w:t>
      </w:r>
      <w:hyperlink r:id="rId76">
        <w:r w:rsidDel="00000000" w:rsidR="00000000" w:rsidRPr="00000000">
          <w:rPr>
            <w:rFonts w:ascii="Google Sans" w:cs="Google Sans" w:eastAsia="Google Sans" w:hAnsi="Google Sans"/>
            <w:color w:val="0000ee"/>
            <w:sz w:val="24"/>
            <w:szCs w:val="24"/>
            <w:u w:val="single"/>
            <w:rtl w:val="0"/>
          </w:rPr>
          <w:t xml:space="preserve">https://sumsub.com/blog/aml-red-flags-guide/</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Benford's law in continuous monitoring applications, </w:t>
      </w:r>
      <w:hyperlink r:id="rId77">
        <w:r w:rsidDel="00000000" w:rsidR="00000000" w:rsidRPr="00000000">
          <w:rPr>
            <w:rFonts w:ascii="Google Sans" w:cs="Google Sans" w:eastAsia="Google Sans" w:hAnsi="Google Sans"/>
            <w:color w:val="0000ee"/>
            <w:sz w:val="24"/>
            <w:szCs w:val="24"/>
            <w:u w:val="single"/>
            <w:rtl w:val="0"/>
          </w:rPr>
          <w:t xml:space="preserve">https://acquire.cqu.edu.au/articles/journal_contribution/Implementing_Benford_s_law_in_continuous_monitoring_applications/19817518/1/files/35224948.pdf</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Malicious Network Flows Using Benford's Law - MDPI, </w:t>
      </w:r>
      <w:hyperlink r:id="rId78">
        <w:r w:rsidDel="00000000" w:rsidR="00000000" w:rsidRPr="00000000">
          <w:rPr>
            <w:rFonts w:ascii="Google Sans" w:cs="Google Sans" w:eastAsia="Google Sans" w:hAnsi="Google Sans"/>
            <w:color w:val="0000ee"/>
            <w:sz w:val="24"/>
            <w:szCs w:val="24"/>
            <w:u w:val="single"/>
            <w:rtl w:val="0"/>
          </w:rPr>
          <w:t xml:space="preserve">https://www.mdpi.com/2227-7390/12/15/2299</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trade mis-invoicing through customs data analysis, </w:t>
      </w:r>
      <w:hyperlink r:id="rId79">
        <w:r w:rsidDel="00000000" w:rsidR="00000000" w:rsidRPr="00000000">
          <w:rPr>
            <w:rFonts w:ascii="Google Sans" w:cs="Google Sans" w:eastAsia="Google Sans" w:hAnsi="Google Sans"/>
            <w:color w:val="0000ee"/>
            <w:sz w:val="24"/>
            <w:szCs w:val="24"/>
            <w:u w:val="single"/>
            <w:rtl w:val="0"/>
          </w:rPr>
          <w:t xml:space="preserve">https://www.worldcustomsjournal.org/article/116214-identifying-trade-mis-invoicing-through-customs-data-analysis.pdf</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money laundering with Benford's law and machine learning, </w:t>
      </w:r>
      <w:hyperlink r:id="rId80">
        <w:r w:rsidDel="00000000" w:rsidR="00000000" w:rsidRPr="00000000">
          <w:rPr>
            <w:rFonts w:ascii="Google Sans" w:cs="Google Sans" w:eastAsia="Google Sans" w:hAnsi="Google Sans"/>
            <w:color w:val="0000ee"/>
            <w:sz w:val="24"/>
            <w:szCs w:val="24"/>
            <w:u w:val="single"/>
            <w:rtl w:val="0"/>
          </w:rPr>
          <w:t xml:space="preserve">https://dspace.ut.ee/bitstreams/08ae9ae4-1fc8-4bcf-bbd7-11f367b11ae2/download</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the misuse of net errors and omissions arise from a corruption, </w:t>
      </w:r>
      <w:hyperlink r:id="rId81">
        <w:r w:rsidDel="00000000" w:rsidR="00000000" w:rsidRPr="00000000">
          <w:rPr>
            <w:rFonts w:ascii="Google Sans" w:cs="Google Sans" w:eastAsia="Google Sans" w:hAnsi="Google Sans"/>
            <w:color w:val="0000ee"/>
            <w:sz w:val="24"/>
            <w:szCs w:val="24"/>
            <w:u w:val="single"/>
            <w:rtl w:val="0"/>
          </w:rPr>
          <w:t xml:space="preserve">https://acikerisim.gelisim.edu.tr/bitstreams/dde65f7c-8fd2-4427-866c-f6e490f7fec7/download</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Turkey BoP: Net Errors and Omissions | Economic Indicators | CEIC, </w:t>
      </w:r>
      <w:hyperlink r:id="rId82">
        <w:r w:rsidDel="00000000" w:rsidR="00000000" w:rsidRPr="00000000">
          <w:rPr>
            <w:rFonts w:ascii="Google Sans" w:cs="Google Sans" w:eastAsia="Google Sans" w:hAnsi="Google Sans"/>
            <w:color w:val="0000ee"/>
            <w:sz w:val="24"/>
            <w:szCs w:val="24"/>
            <w:u w:val="single"/>
            <w:rtl w:val="0"/>
          </w:rPr>
          <w:t xml:space="preserve">https://www.ceicdata.com/en/turkey/bpm6-balance-of-payments-analytical-presentation/bop-net-errors-and-omissions</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Illicit Financial Flows and the Role of the Underground Economy, </w:t>
      </w:r>
      <w:hyperlink r:id="rId83">
        <w:r w:rsidDel="00000000" w:rsidR="00000000" w:rsidRPr="00000000">
          <w:rPr>
            <w:rFonts w:ascii="Google Sans" w:cs="Google Sans" w:eastAsia="Google Sans" w:hAnsi="Google Sans"/>
            <w:color w:val="0000ee"/>
            <w:sz w:val="24"/>
            <w:szCs w:val="24"/>
            <w:u w:val="single"/>
            <w:rtl w:val="0"/>
          </w:rPr>
          <w:t xml:space="preserve">https://gfintegrity.org/wp-content/uploads/2013/02/ExecutiveSummary-Russia_Illicit_Financial_Flows_and_the_Role_of_the_Underground_Economy.pdf</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 errors and omissions (BoP, current US$) - World Bank Open Data, </w:t>
      </w:r>
      <w:hyperlink r:id="rId84">
        <w:r w:rsidDel="00000000" w:rsidR="00000000" w:rsidRPr="00000000">
          <w:rPr>
            <w:rFonts w:ascii="Google Sans" w:cs="Google Sans" w:eastAsia="Google Sans" w:hAnsi="Google Sans"/>
            <w:color w:val="0000ee"/>
            <w:sz w:val="24"/>
            <w:szCs w:val="24"/>
            <w:u w:val="single"/>
            <w:rtl w:val="0"/>
          </w:rPr>
          <w:t xml:space="preserve">https://data.worldbank.org/indicator/BN.KAC.EOMS.CD</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 of Payments - Ekonomi, </w:t>
      </w:r>
      <w:hyperlink r:id="rId85">
        <w:r w:rsidDel="00000000" w:rsidR="00000000" w:rsidRPr="00000000">
          <w:rPr>
            <w:rFonts w:ascii="Google Sans" w:cs="Google Sans" w:eastAsia="Google Sans" w:hAnsi="Google Sans"/>
            <w:color w:val="0000ee"/>
            <w:sz w:val="24"/>
            <w:szCs w:val="24"/>
            <w:u w:val="single"/>
            <w:rtl w:val="0"/>
          </w:rPr>
          <w:t xml:space="preserve">https://ekonomi.isbank.com.tr/en/reports/balance-of-payments-august-2025</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WPCPER - IMF Data, </w:t>
      </w:r>
      <w:hyperlink r:id="rId86">
        <w:r w:rsidDel="00000000" w:rsidR="00000000" w:rsidRPr="00000000">
          <w:rPr>
            <w:rFonts w:ascii="Google Sans" w:cs="Google Sans" w:eastAsia="Google Sans" w:hAnsi="Google Sans"/>
            <w:color w:val="0000ee"/>
            <w:sz w:val="24"/>
            <w:szCs w:val="24"/>
            <w:u w:val="single"/>
            <w:rtl w:val="0"/>
          </w:rPr>
          <w:t xml:space="preserve">https://data.imf.org/en/datasets/IMF.STA:WPCPER</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Tether CEO Says USDT Adoption Surging in Four Emerging Markets, </w:t>
      </w:r>
      <w:hyperlink r:id="rId87">
        <w:r w:rsidDel="00000000" w:rsidR="00000000" w:rsidRPr="00000000">
          <w:rPr>
            <w:rFonts w:ascii="Google Sans" w:cs="Google Sans" w:eastAsia="Google Sans" w:hAnsi="Google Sans"/>
            <w:color w:val="0000ee"/>
            <w:sz w:val="24"/>
            <w:szCs w:val="24"/>
            <w:u w:val="single"/>
            <w:rtl w:val="0"/>
          </w:rPr>
          <w:t xml:space="preserve">https://finance.biggo.com/news/43a4dde2-2293-451f-b426-327b8378fb41</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Flag Indicators of 2023's Top Financial Crime Typologies, </w:t>
      </w:r>
      <w:hyperlink r:id="rId88">
        <w:r w:rsidDel="00000000" w:rsidR="00000000" w:rsidRPr="00000000">
          <w:rPr>
            <w:rFonts w:ascii="Google Sans" w:cs="Google Sans" w:eastAsia="Google Sans" w:hAnsi="Google Sans"/>
            <w:color w:val="0000ee"/>
            <w:sz w:val="24"/>
            <w:szCs w:val="24"/>
            <w:u w:val="single"/>
            <w:rtl w:val="0"/>
          </w:rPr>
          <w:t xml:space="preserve">https://complyadvantage.com/insights/red-flag-indicators-2023/</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 Economies Around the World: What Did We Learn Over the, </w:t>
      </w:r>
      <w:hyperlink r:id="rId89">
        <w:r w:rsidDel="00000000" w:rsidR="00000000" w:rsidRPr="00000000">
          <w:rPr>
            <w:rFonts w:ascii="Google Sans" w:cs="Google Sans" w:eastAsia="Google Sans" w:hAnsi="Google Sans"/>
            <w:color w:val="0000ee"/>
            <w:sz w:val="24"/>
            <w:szCs w:val="24"/>
            <w:u w:val="single"/>
            <w:rtl w:val="0"/>
          </w:rPr>
          <w:t xml:space="preserve">https://www.imf.org/-/media/files/publications/wp/2018/wp1817.pdf</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Size of the Shadow Economy: Methods, Problems, </w:t>
      </w:r>
      <w:hyperlink r:id="rId90">
        <w:r w:rsidDel="00000000" w:rsidR="00000000" w:rsidRPr="00000000">
          <w:rPr>
            <w:rFonts w:ascii="Google Sans" w:cs="Google Sans" w:eastAsia="Google Sans" w:hAnsi="Google Sans"/>
            <w:color w:val="0000ee"/>
            <w:sz w:val="24"/>
            <w:szCs w:val="24"/>
            <w:u w:val="single"/>
            <w:rtl w:val="0"/>
          </w:rPr>
          <w:t xml:space="preserve">https://ftp.iza.org/dp9820.pdf</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underground economy by using MIMIC models, </w:t>
      </w:r>
      <w:hyperlink r:id="rId91">
        <w:r w:rsidDel="00000000" w:rsidR="00000000" w:rsidRPr="00000000">
          <w:rPr>
            <w:rFonts w:ascii="Google Sans" w:cs="Google Sans" w:eastAsia="Google Sans" w:hAnsi="Google Sans"/>
            <w:color w:val="0000ee"/>
            <w:sz w:val="24"/>
            <w:szCs w:val="24"/>
            <w:u w:val="single"/>
            <w:rtl w:val="0"/>
          </w:rPr>
          <w:t xml:space="preserve">https://www.econstor.eu/bitstream/10419/73283/1/wp0607.pdf</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MIMIC model and A Currency Demand approach, </w:t>
      </w:r>
      <w:hyperlink r:id="rId92">
        <w:r w:rsidDel="00000000" w:rsidR="00000000" w:rsidRPr="00000000">
          <w:rPr>
            <w:rFonts w:ascii="Google Sans" w:cs="Google Sans" w:eastAsia="Google Sans" w:hAnsi="Google Sans"/>
            <w:color w:val="0000ee"/>
            <w:sz w:val="24"/>
            <w:szCs w:val="24"/>
            <w:u w:val="single"/>
            <w:rtl w:val="0"/>
          </w:rPr>
          <w:t xml:space="preserve">https://journals.econsciences.com/index.php/JEPE/article/view/788</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Equation Modeling with lavaan, </w:t>
      </w:r>
      <w:hyperlink r:id="rId93">
        <w:r w:rsidDel="00000000" w:rsidR="00000000" w:rsidRPr="00000000">
          <w:rPr>
            <w:rFonts w:ascii="Google Sans" w:cs="Google Sans" w:eastAsia="Google Sans" w:hAnsi="Google Sans"/>
            <w:color w:val="0000ee"/>
            <w:sz w:val="24"/>
            <w:szCs w:val="24"/>
            <w:u w:val="single"/>
            <w:rtl w:val="0"/>
          </w:rPr>
          <w:t xml:space="preserve">https://users.ugent.be/~yrosseel/lavaan/maastricht2024/lavaan_maastricht2024.pdf</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the Egyptian Shadow Economy: A Currency Demand and, </w:t>
      </w:r>
      <w:hyperlink r:id="rId94">
        <w:r w:rsidDel="00000000" w:rsidR="00000000" w:rsidRPr="00000000">
          <w:rPr>
            <w:rFonts w:ascii="Google Sans" w:cs="Google Sans" w:eastAsia="Google Sans" w:hAnsi="Google Sans"/>
            <w:color w:val="0000ee"/>
            <w:sz w:val="24"/>
            <w:szCs w:val="24"/>
            <w:u w:val="single"/>
            <w:rtl w:val="0"/>
          </w:rPr>
          <w:t xml:space="preserve">https://www.ifo.de/DocDL/cesifo1_wp5727.pdf</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Regime-Switching Models - UC San Diego Department of Economics, </w:t>
      </w:r>
      <w:hyperlink r:id="rId95">
        <w:r w:rsidDel="00000000" w:rsidR="00000000" w:rsidRPr="00000000">
          <w:rPr>
            <w:rFonts w:ascii="Google Sans" w:cs="Google Sans" w:eastAsia="Google Sans" w:hAnsi="Google Sans"/>
            <w:color w:val="0000ee"/>
            <w:sz w:val="24"/>
            <w:szCs w:val="24"/>
            <w:u w:val="single"/>
            <w:rtl w:val="0"/>
          </w:rPr>
          <w:t xml:space="preserve">https://econweb.ucsd.edu/~jhamilto/palgrav1.pdf</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lavaan: AnRPackage for Structural Equation Modeling - ResearchGate, </w:t>
      </w:r>
      <w:hyperlink r:id="rId96">
        <w:r w:rsidDel="00000000" w:rsidR="00000000" w:rsidRPr="00000000">
          <w:rPr>
            <w:rFonts w:ascii="Google Sans" w:cs="Google Sans" w:eastAsia="Google Sans" w:hAnsi="Google Sans"/>
            <w:color w:val="0000ee"/>
            <w:sz w:val="24"/>
            <w:szCs w:val="24"/>
            <w:u w:val="single"/>
            <w:rtl w:val="0"/>
          </w:rPr>
          <w:t xml:space="preserve">https://www.researchgate.net/publication/260350824_lavaan_AnRPackage_for_Structural_Equation_Modeling</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lavaan: An R Package for Structural Equation Modeling, </w:t>
      </w:r>
      <w:hyperlink r:id="rId97">
        <w:r w:rsidDel="00000000" w:rsidR="00000000" w:rsidRPr="00000000">
          <w:rPr>
            <w:rFonts w:ascii="Google Sans" w:cs="Google Sans" w:eastAsia="Google Sans" w:hAnsi="Google Sans"/>
            <w:color w:val="0000ee"/>
            <w:sz w:val="24"/>
            <w:szCs w:val="24"/>
            <w:u w:val="single"/>
            <w:rtl w:val="0"/>
          </w:rPr>
          <w:t xml:space="preserve">https://www.jstatsoft.org/article/view/v048i02/594</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Structural Equation Modeling (SEM) in R with lavaan, </w:t>
      </w:r>
      <w:hyperlink r:id="rId98">
        <w:r w:rsidDel="00000000" w:rsidR="00000000" w:rsidRPr="00000000">
          <w:rPr>
            <w:rFonts w:ascii="Google Sans" w:cs="Google Sans" w:eastAsia="Google Sans" w:hAnsi="Google Sans"/>
            <w:color w:val="0000ee"/>
            <w:sz w:val="24"/>
            <w:szCs w:val="24"/>
            <w:u w:val="single"/>
            <w:rtl w:val="0"/>
          </w:rPr>
          <w:t xml:space="preserve">https://stats.oarc.ucla.edu/r/seminars/rsem/</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Currency demand and MIMIC models: towards a structured hybrid, </w:t>
      </w:r>
      <w:hyperlink r:id="rId99">
        <w:r w:rsidDel="00000000" w:rsidR="00000000" w:rsidRPr="00000000">
          <w:rPr>
            <w:rFonts w:ascii="Google Sans" w:cs="Google Sans" w:eastAsia="Google Sans" w:hAnsi="Google Sans"/>
            <w:color w:val="0000ee"/>
            <w:sz w:val="24"/>
            <w:szCs w:val="24"/>
            <w:u w:val="single"/>
            <w:rtl w:val="0"/>
          </w:rPr>
          <w:t xml:space="preserve">https://d-nb.info/1166845710/34</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Markov Switching - ResearchGate,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https://www.researchgate.net/publication/339164152_Markov_Switching</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Estimating and Forecasting Financial Data under Regime, </w:t>
      </w:r>
      <w:hyperlink r:id="rId101">
        <w:r w:rsidDel="00000000" w:rsidR="00000000" w:rsidRPr="00000000">
          <w:rPr>
            <w:rFonts w:ascii="Google Sans" w:cs="Google Sans" w:eastAsia="Google Sans" w:hAnsi="Google Sans"/>
            <w:color w:val="0000ee"/>
            <w:sz w:val="24"/>
            <w:szCs w:val="24"/>
            <w:u w:val="single"/>
            <w:rtl w:val="0"/>
          </w:rPr>
          <w:t xml:space="preserve">https://didattica.unibocconi.it/mypage/dwload.php?nomefile=Lecture_7_-_Markov_Switching_Models20130520235704.pdf</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DNB Working Paper - Optimal forecasts from Markov switching models, </w:t>
      </w:r>
      <w:hyperlink r:id="rId102">
        <w:r w:rsidDel="00000000" w:rsidR="00000000" w:rsidRPr="00000000">
          <w:rPr>
            <w:rFonts w:ascii="Google Sans" w:cs="Google Sans" w:eastAsia="Google Sans" w:hAnsi="Google Sans"/>
            <w:color w:val="0000ee"/>
            <w:sz w:val="24"/>
            <w:szCs w:val="24"/>
            <w:u w:val="single"/>
            <w:rtl w:val="0"/>
          </w:rPr>
          <w:t xml:space="preserve">https://www.dnb.nl/media/bl3b4iwr/working-paper-452.pdf</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Markov Switching Models, Dynamic Factor Models, or both, </w:t>
      </w:r>
      <w:hyperlink r:id="rId103">
        <w:r w:rsidDel="00000000" w:rsidR="00000000" w:rsidRPr="00000000">
          <w:rPr>
            <w:rFonts w:ascii="Google Sans" w:cs="Google Sans" w:eastAsia="Google Sans" w:hAnsi="Google Sans"/>
            <w:color w:val="0000ee"/>
            <w:sz w:val="24"/>
            <w:szCs w:val="24"/>
            <w:u w:val="single"/>
            <w:rtl w:val="0"/>
          </w:rPr>
          <w:t xml:space="preserve">https://thesis.eur.nl/pub/65777/Master__Thesis.pdf</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density nowcasts for US GDP growth with deep learning, </w:t>
      </w:r>
      <w:hyperlink r:id="rId104">
        <w:r w:rsidDel="00000000" w:rsidR="00000000" w:rsidRPr="00000000">
          <w:rPr>
            <w:rFonts w:ascii="Google Sans" w:cs="Google Sans" w:eastAsia="Google Sans" w:hAnsi="Google Sans"/>
            <w:color w:val="0000ee"/>
            <w:sz w:val="24"/>
            <w:szCs w:val="24"/>
            <w:u w:val="single"/>
            <w:rtl w:val="0"/>
          </w:rPr>
          <w:t xml:space="preserve">https://arxiv.org/pdf/2405.15579?</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Analysis by State Space Learning - arXiv, </w:t>
      </w:r>
      <w:hyperlink r:id="rId105">
        <w:r w:rsidDel="00000000" w:rsidR="00000000" w:rsidRPr="00000000">
          <w:rPr>
            <w:rFonts w:ascii="Google Sans" w:cs="Google Sans" w:eastAsia="Google Sans" w:hAnsi="Google Sans"/>
            <w:color w:val="0000ee"/>
            <w:sz w:val="24"/>
            <w:szCs w:val="24"/>
            <w:u w:val="single"/>
            <w:rtl w:val="0"/>
          </w:rPr>
          <w:t xml:space="preserve">https://arxiv.org/pdf/2408.09120</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State space models and Kalman filtering - Baruch MFE Program, </w:t>
      </w:r>
      <w:hyperlink r:id="rId106">
        <w:r w:rsidDel="00000000" w:rsidR="00000000" w:rsidRPr="00000000">
          <w:rPr>
            <w:rFonts w:ascii="Google Sans" w:cs="Google Sans" w:eastAsia="Google Sans" w:hAnsi="Google Sans"/>
            <w:color w:val="0000ee"/>
            <w:sz w:val="24"/>
            <w:szCs w:val="24"/>
            <w:u w:val="single"/>
            <w:rtl w:val="0"/>
          </w:rPr>
          <w:t xml:space="preserve">https://mfe.baruch.cuny.edu/wp-content/uploads/2014/12/TS_Lecture5_2019.pdf</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State Filter Against Unmodeled Process And ... - arXiv, </w:t>
      </w:r>
      <w:hyperlink r:id="rId107">
        <w:r w:rsidDel="00000000" w:rsidR="00000000" w:rsidRPr="00000000">
          <w:rPr>
            <w:rFonts w:ascii="Google Sans" w:cs="Google Sans" w:eastAsia="Google Sans" w:hAnsi="Google Sans"/>
            <w:color w:val="0000ee"/>
            <w:sz w:val="24"/>
            <w:szCs w:val="24"/>
            <w:u w:val="single"/>
            <w:rtl w:val="0"/>
          </w:rPr>
          <w:t xml:space="preserve">https://arxiv.org/pdf/2511.19157</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Uncertainty in Data-Driven Kalman Filtering for Partially Known, </w:t>
      </w:r>
      <w:hyperlink r:id="rId108">
        <w:r w:rsidDel="00000000" w:rsidR="00000000" w:rsidRPr="00000000">
          <w:rPr>
            <w:rFonts w:ascii="Google Sans" w:cs="Google Sans" w:eastAsia="Google Sans" w:hAnsi="Google Sans"/>
            <w:color w:val="0000ee"/>
            <w:sz w:val="24"/>
            <w:szCs w:val="24"/>
            <w:u w:val="single"/>
            <w:rtl w:val="0"/>
          </w:rPr>
          <w:t xml:space="preserve">https://arxiv.org/abs/2110.04738</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Approximate State Space Modelling of Unobserved Fractional, </w:t>
      </w:r>
      <w:hyperlink r:id="rId109">
        <w:r w:rsidDel="00000000" w:rsidR="00000000" w:rsidRPr="00000000">
          <w:rPr>
            <w:rFonts w:ascii="Google Sans" w:cs="Google Sans" w:eastAsia="Google Sans" w:hAnsi="Google Sans"/>
            <w:color w:val="0000ee"/>
            <w:sz w:val="24"/>
            <w:szCs w:val="24"/>
            <w:u w:val="single"/>
            <w:rtl w:val="0"/>
          </w:rPr>
          <w:t xml:space="preserve">https://arxiv.org/pdf/1812.09142</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Global Money Laundering: “The Walker Gravity Model”, </w:t>
      </w:r>
      <w:hyperlink r:id="rId110">
        <w:r w:rsidDel="00000000" w:rsidR="00000000" w:rsidRPr="00000000">
          <w:rPr>
            <w:rFonts w:ascii="Google Sans" w:cs="Google Sans" w:eastAsia="Google Sans" w:hAnsi="Google Sans"/>
            <w:color w:val="0000ee"/>
            <w:sz w:val="24"/>
            <w:szCs w:val="24"/>
            <w:u w:val="single"/>
            <w:rtl w:val="0"/>
          </w:rPr>
          <w:t xml:space="preserve">http://www2.econ.uu.nl/users/unger/publications/RLE2.pdf</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Attractive Index for Money laundering using Walker's Gravity, </w:t>
      </w:r>
      <w:hyperlink r:id="rId111">
        <w:r w:rsidDel="00000000" w:rsidR="00000000" w:rsidRPr="00000000">
          <w:rPr>
            <w:rFonts w:ascii="Google Sans" w:cs="Google Sans" w:eastAsia="Google Sans" w:hAnsi="Google Sans"/>
            <w:color w:val="0000ee"/>
            <w:sz w:val="24"/>
            <w:szCs w:val="24"/>
            <w:u w:val="single"/>
            <w:rtl w:val="0"/>
          </w:rPr>
          <w:t xml:space="preserve">https://www.econstor.eu/bitstream/10419/341073/1/Global-Attractive-Index.pdf</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money laundering flows with a gravity model-based, </w:t>
      </w:r>
      <w:hyperlink r:id="rId112">
        <w:r w:rsidDel="00000000" w:rsidR="00000000" w:rsidRPr="00000000">
          <w:rPr>
            <w:rFonts w:ascii="Google Sans" w:cs="Google Sans" w:eastAsia="Google Sans" w:hAnsi="Google Sans"/>
            <w:color w:val="0000ee"/>
            <w:sz w:val="24"/>
            <w:szCs w:val="24"/>
            <w:u w:val="single"/>
            <w:rtl w:val="0"/>
          </w:rPr>
          <w:t xml:space="preserve">https://pmc.ncbi.nlm.nih.gov/articles/PMC7596494/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png"/><Relationship Id="rId41" Type="http://schemas.openxmlformats.org/officeDocument/2006/relationships/image" Target="media/image17.png"/><Relationship Id="rId44" Type="http://schemas.openxmlformats.org/officeDocument/2006/relationships/image" Target="media/image3.png"/><Relationship Id="rId43" Type="http://schemas.openxmlformats.org/officeDocument/2006/relationships/image" Target="media/image2.png"/><Relationship Id="rId46" Type="http://schemas.openxmlformats.org/officeDocument/2006/relationships/image" Target="media/image6.png"/><Relationship Id="rId45" Type="http://schemas.openxmlformats.org/officeDocument/2006/relationships/image" Target="media/image5.png"/><Relationship Id="rId107" Type="http://schemas.openxmlformats.org/officeDocument/2006/relationships/hyperlink" Target="https://arxiv.org/pdf/2511.19157" TargetMode="External"/><Relationship Id="rId106" Type="http://schemas.openxmlformats.org/officeDocument/2006/relationships/hyperlink" Target="https://mfe.baruch.cuny.edu/wp-content/uploads/2014/12/TS_Lecture5_2019.pdf" TargetMode="External"/><Relationship Id="rId105" Type="http://schemas.openxmlformats.org/officeDocument/2006/relationships/hyperlink" Target="https://arxiv.org/pdf/2408.09120" TargetMode="External"/><Relationship Id="rId104" Type="http://schemas.openxmlformats.org/officeDocument/2006/relationships/hyperlink" Target="https://arxiv.org/pdf/2405.15579" TargetMode="External"/><Relationship Id="rId109" Type="http://schemas.openxmlformats.org/officeDocument/2006/relationships/hyperlink" Target="https://arxiv.org/pdf/1812.09142" TargetMode="External"/><Relationship Id="rId108" Type="http://schemas.openxmlformats.org/officeDocument/2006/relationships/hyperlink" Target="https://arxiv.org/abs/2110.04738" TargetMode="External"/><Relationship Id="rId48" Type="http://schemas.openxmlformats.org/officeDocument/2006/relationships/image" Target="media/image38.png"/><Relationship Id="rId47" Type="http://schemas.openxmlformats.org/officeDocument/2006/relationships/image" Target="media/image12.png"/><Relationship Id="rId49" Type="http://schemas.openxmlformats.org/officeDocument/2006/relationships/image" Target="media/image43.png"/><Relationship Id="rId103" Type="http://schemas.openxmlformats.org/officeDocument/2006/relationships/hyperlink" Target="https://thesis.eur.nl/pub/65777/Master__Thesis.pdf" TargetMode="External"/><Relationship Id="rId102" Type="http://schemas.openxmlformats.org/officeDocument/2006/relationships/hyperlink" Target="https://www.dnb.nl/media/bl3b4iwr/working-paper-452.pdf" TargetMode="External"/><Relationship Id="rId101" Type="http://schemas.openxmlformats.org/officeDocument/2006/relationships/hyperlink" Target="https://didattica.unibocconi.it/mypage/dwload.php?nomefile=Lecture_7_-_Markov_Switching_Models20130520235704.pdf" TargetMode="External"/><Relationship Id="rId100" Type="http://schemas.openxmlformats.org/officeDocument/2006/relationships/hyperlink" Target="https://www.researchgate.net/publication/339164152_Markov_Switching" TargetMode="External"/><Relationship Id="rId31" Type="http://schemas.openxmlformats.org/officeDocument/2006/relationships/image" Target="media/image31.png"/><Relationship Id="rId30" Type="http://schemas.openxmlformats.org/officeDocument/2006/relationships/image" Target="media/image15.png"/><Relationship Id="rId33" Type="http://schemas.openxmlformats.org/officeDocument/2006/relationships/image" Target="media/image10.png"/><Relationship Id="rId32" Type="http://schemas.openxmlformats.org/officeDocument/2006/relationships/image" Target="media/image27.png"/><Relationship Id="rId35" Type="http://schemas.openxmlformats.org/officeDocument/2006/relationships/image" Target="media/image8.png"/><Relationship Id="rId34" Type="http://schemas.openxmlformats.org/officeDocument/2006/relationships/image" Target="media/image11.png"/><Relationship Id="rId37" Type="http://schemas.openxmlformats.org/officeDocument/2006/relationships/image" Target="media/image9.png"/><Relationship Id="rId36" Type="http://schemas.openxmlformats.org/officeDocument/2006/relationships/image" Target="media/image13.png"/><Relationship Id="rId39" Type="http://schemas.openxmlformats.org/officeDocument/2006/relationships/image" Target="media/image7.png"/><Relationship Id="rId38" Type="http://schemas.openxmlformats.org/officeDocument/2006/relationships/image" Target="media/image14.png"/><Relationship Id="rId20" Type="http://schemas.openxmlformats.org/officeDocument/2006/relationships/image" Target="media/image37.png"/><Relationship Id="rId22" Type="http://schemas.openxmlformats.org/officeDocument/2006/relationships/image" Target="media/image39.png"/><Relationship Id="rId21" Type="http://schemas.openxmlformats.org/officeDocument/2006/relationships/image" Target="media/image42.png"/><Relationship Id="rId24" Type="http://schemas.openxmlformats.org/officeDocument/2006/relationships/image" Target="media/image28.png"/><Relationship Id="rId23" Type="http://schemas.openxmlformats.org/officeDocument/2006/relationships/image" Target="media/image54.png"/><Relationship Id="rId26" Type="http://schemas.openxmlformats.org/officeDocument/2006/relationships/image" Target="media/image22.png"/><Relationship Id="rId25" Type="http://schemas.openxmlformats.org/officeDocument/2006/relationships/image" Target="media/image51.png"/><Relationship Id="rId28" Type="http://schemas.openxmlformats.org/officeDocument/2006/relationships/image" Target="media/image25.png"/><Relationship Id="rId27" Type="http://schemas.openxmlformats.org/officeDocument/2006/relationships/image" Target="media/image23.png"/><Relationship Id="rId29" Type="http://schemas.openxmlformats.org/officeDocument/2006/relationships/image" Target="media/image4.png"/><Relationship Id="rId95" Type="http://schemas.openxmlformats.org/officeDocument/2006/relationships/hyperlink" Target="https://econweb.ucsd.edu/~jhamilto/palgrav1.pdf" TargetMode="External"/><Relationship Id="rId94" Type="http://schemas.openxmlformats.org/officeDocument/2006/relationships/hyperlink" Target="https://www.ifo.de/DocDL/cesifo1_wp5727.pdf" TargetMode="External"/><Relationship Id="rId97" Type="http://schemas.openxmlformats.org/officeDocument/2006/relationships/hyperlink" Target="https://www.jstatsoft.org/article/view/v048i02/594" TargetMode="External"/><Relationship Id="rId96" Type="http://schemas.openxmlformats.org/officeDocument/2006/relationships/hyperlink" Target="https://www.researchgate.net/publication/260350824_lavaan_AnRPackage_for_Structural_Equation_Modeling" TargetMode="External"/><Relationship Id="rId11" Type="http://schemas.openxmlformats.org/officeDocument/2006/relationships/image" Target="media/image52.png"/><Relationship Id="rId99" Type="http://schemas.openxmlformats.org/officeDocument/2006/relationships/hyperlink" Target="https://d-nb.info/1166845710/34" TargetMode="External"/><Relationship Id="rId10" Type="http://schemas.openxmlformats.org/officeDocument/2006/relationships/image" Target="media/image45.png"/><Relationship Id="rId98" Type="http://schemas.openxmlformats.org/officeDocument/2006/relationships/hyperlink" Target="https://stats.oarc.ucla.edu/r/seminars/rsem/" TargetMode="External"/><Relationship Id="rId13" Type="http://schemas.openxmlformats.org/officeDocument/2006/relationships/image" Target="media/image50.png"/><Relationship Id="rId12" Type="http://schemas.openxmlformats.org/officeDocument/2006/relationships/image" Target="media/image44.png"/><Relationship Id="rId91" Type="http://schemas.openxmlformats.org/officeDocument/2006/relationships/hyperlink" Target="https://www.econstor.eu/bitstream/10419/73283/1/wp0607.pdf" TargetMode="External"/><Relationship Id="rId90" Type="http://schemas.openxmlformats.org/officeDocument/2006/relationships/hyperlink" Target="https://ftp.iza.org/dp9820.pdf" TargetMode="External"/><Relationship Id="rId93" Type="http://schemas.openxmlformats.org/officeDocument/2006/relationships/hyperlink" Target="https://users.ugent.be/~yrosseel/lavaan/maastricht2024/lavaan_maastricht2024.pdf" TargetMode="External"/><Relationship Id="rId92" Type="http://schemas.openxmlformats.org/officeDocument/2006/relationships/hyperlink" Target="https://journals.econsciences.com/index.php/JEPE/article/view/788" TargetMode="External"/><Relationship Id="rId15" Type="http://schemas.openxmlformats.org/officeDocument/2006/relationships/image" Target="media/image49.png"/><Relationship Id="rId110" Type="http://schemas.openxmlformats.org/officeDocument/2006/relationships/hyperlink" Target="http://www2.econ.uu.nl/users/unger/publications/RLE2.pdf" TargetMode="External"/><Relationship Id="rId14" Type="http://schemas.openxmlformats.org/officeDocument/2006/relationships/image" Target="media/image47.png"/><Relationship Id="rId17" Type="http://schemas.openxmlformats.org/officeDocument/2006/relationships/image" Target="media/image26.png"/><Relationship Id="rId16" Type="http://schemas.openxmlformats.org/officeDocument/2006/relationships/image" Target="media/image29.png"/><Relationship Id="rId19" Type="http://schemas.openxmlformats.org/officeDocument/2006/relationships/image" Target="media/image46.png"/><Relationship Id="rId18" Type="http://schemas.openxmlformats.org/officeDocument/2006/relationships/image" Target="media/image40.png"/><Relationship Id="rId112" Type="http://schemas.openxmlformats.org/officeDocument/2006/relationships/hyperlink" Target="https://pmc.ncbi.nlm.nih.gov/articles/PMC7596494/" TargetMode="External"/><Relationship Id="rId111" Type="http://schemas.openxmlformats.org/officeDocument/2006/relationships/hyperlink" Target="https://www.econstor.eu/bitstream/10419/341073/1/Global-Attractive-Index.pdf" TargetMode="External"/><Relationship Id="rId84" Type="http://schemas.openxmlformats.org/officeDocument/2006/relationships/hyperlink" Target="https://data.worldbank.org/indicator/BN.KAC.EOMS.CD" TargetMode="External"/><Relationship Id="rId83" Type="http://schemas.openxmlformats.org/officeDocument/2006/relationships/hyperlink" Target="https://gfintegrity.org/wp-content/uploads/2013/02/ExecutiveSummary-Russia_Illicit_Financial_Flows_and_the_Role_of_the_Underground_Economy.pdf" TargetMode="External"/><Relationship Id="rId86" Type="http://schemas.openxmlformats.org/officeDocument/2006/relationships/hyperlink" Target="https://data.imf.org/en/datasets/IMF.STA:WPCPER" TargetMode="External"/><Relationship Id="rId85" Type="http://schemas.openxmlformats.org/officeDocument/2006/relationships/hyperlink" Target="https://ekonomi.isbank.com.tr/en/reports/balance-of-payments-august-2025" TargetMode="External"/><Relationship Id="rId88" Type="http://schemas.openxmlformats.org/officeDocument/2006/relationships/hyperlink" Target="https://complyadvantage.com/insights/red-flag-indicators-2023/" TargetMode="External"/><Relationship Id="rId87" Type="http://schemas.openxmlformats.org/officeDocument/2006/relationships/hyperlink" Target="https://finance.biggo.com/news/43a4dde2-2293-451f-b426-327b8378fb41" TargetMode="External"/><Relationship Id="rId89" Type="http://schemas.openxmlformats.org/officeDocument/2006/relationships/hyperlink" Target="https://www.imf.org/-/media/files/publications/wp/2018/wp1817.pdf" TargetMode="External"/><Relationship Id="rId80" Type="http://schemas.openxmlformats.org/officeDocument/2006/relationships/hyperlink" Target="https://dspace.ut.ee/bitstreams/08ae9ae4-1fc8-4bcf-bbd7-11f367b11ae2/download" TargetMode="External"/><Relationship Id="rId82" Type="http://schemas.openxmlformats.org/officeDocument/2006/relationships/hyperlink" Target="https://www.ceicdata.com/en/turkey/bpm6-balance-of-payments-analytical-presentation/bop-net-errors-and-omissions" TargetMode="External"/><Relationship Id="rId81" Type="http://schemas.openxmlformats.org/officeDocument/2006/relationships/hyperlink" Target="https://acikerisim.gelisim.edu.tr/bitstreams/dde65f7c-8fd2-4427-866c-f6e490f7fec7/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34.png"/><Relationship Id="rId8" Type="http://schemas.openxmlformats.org/officeDocument/2006/relationships/image" Target="media/image33.png"/><Relationship Id="rId73" Type="http://schemas.openxmlformats.org/officeDocument/2006/relationships/hyperlink" Target="https://financialcrimeacademy.org/trade-based-money-laundering-indicators/" TargetMode="External"/><Relationship Id="rId72" Type="http://schemas.openxmlformats.org/officeDocument/2006/relationships/hyperlink" Target="https://www.fatf-gafi.org/en/publications/Methodsandtrends/Trade-basedmoneylaunderingtypologies.html" TargetMode="External"/><Relationship Id="rId75" Type="http://schemas.openxmlformats.org/officeDocument/2006/relationships/hyperlink" Target="https://documents1.worldbank.org/curated/en/409341624542914243/pdf/Illicit-Financial-Flows-Concepts-Measurement-and-Evidence.pdf" TargetMode="External"/><Relationship Id="rId74" Type="http://schemas.openxmlformats.org/officeDocument/2006/relationships/hyperlink" Target="https://www.fluxforce.ai/typologies/trade-based-money-laundering" TargetMode="External"/><Relationship Id="rId77" Type="http://schemas.openxmlformats.org/officeDocument/2006/relationships/hyperlink" Target="https://acquire.cqu.edu.au/articles/journal_contribution/Implementing_Benford_s_law_in_continuous_monitoring_applications/19817518/1/files/35224948.pdf" TargetMode="External"/><Relationship Id="rId76" Type="http://schemas.openxmlformats.org/officeDocument/2006/relationships/hyperlink" Target="https://sumsub.com/blog/aml-red-flags-guide/" TargetMode="External"/><Relationship Id="rId79" Type="http://schemas.openxmlformats.org/officeDocument/2006/relationships/hyperlink" Target="https://www.worldcustomsjournal.org/article/116214-identifying-trade-mis-invoicing-through-customs-data-analysis.pdf" TargetMode="External"/><Relationship Id="rId78" Type="http://schemas.openxmlformats.org/officeDocument/2006/relationships/hyperlink" Target="https://www.mdpi.com/2227-7390/12/15/2299" TargetMode="External"/><Relationship Id="rId71" Type="http://schemas.openxmlformats.org/officeDocument/2006/relationships/hyperlink" Target="https://www.fatf-gafi.org/content/dam/fatf-gafi/reports/Trade-Based-Money-Laundering-Risk-Indicators.pdf" TargetMode="External"/><Relationship Id="rId70" Type="http://schemas.openxmlformats.org/officeDocument/2006/relationships/hyperlink" Target="https://www.moneylaunderingnews.com/2026/10/fincen-reissues-geographic-targeting-order-for-money-services-businesses-along-the-southwest-border/" TargetMode="External"/><Relationship Id="rId62" Type="http://schemas.openxmlformats.org/officeDocument/2006/relationships/hyperlink" Target="https://www.unodc.org/documents/data-and-analysis/Studies/Illicit_financial_flows_2011_web.pdf" TargetMode="External"/><Relationship Id="rId61" Type="http://schemas.openxmlformats.org/officeDocument/2006/relationships/hyperlink" Target="https://www.tandfonline.com/doi/full/10.1080/1331677X.2019.1706601" TargetMode="External"/><Relationship Id="rId64" Type="http://schemas.openxmlformats.org/officeDocument/2006/relationships/hyperlink" Target="https://legal.thomsonreuters.com/en/insights/articles/geographic-targeting-orders-best-practices" TargetMode="External"/><Relationship Id="rId63" Type="http://schemas.openxmlformats.org/officeDocument/2006/relationships/hyperlink" Target="https://regtechconsulting.net/uncategorized/unodc-report-2011-the-estimate-for-global-money-laundering/" TargetMode="External"/><Relationship Id="rId66" Type="http://schemas.openxmlformats.org/officeDocument/2006/relationships/hyperlink" Target="https://christianchiroque.com/posts/metodos-medicion-lavado.en" TargetMode="External"/><Relationship Id="rId65" Type="http://schemas.openxmlformats.org/officeDocument/2006/relationships/hyperlink" Target="https://amlsquare.com/blog/fincen-geographic-targeting-order-gto-compliance-guide/" TargetMode="External"/><Relationship Id="rId68" Type="http://schemas.openxmlformats.org/officeDocument/2006/relationships/hyperlink" Target="https://complyadvantage.com/insights/geographic-targeting-order/" TargetMode="External"/><Relationship Id="rId67" Type="http://schemas.openxmlformats.org/officeDocument/2006/relationships/hyperlink" Target="https://www.fincen.gov/system/files/shared/RRE-GTO-Order-April-14-2025-FINAL508.pdf" TargetMode="External"/><Relationship Id="rId60" Type="http://schemas.openxmlformats.org/officeDocument/2006/relationships/hyperlink" Target="https://www.ey.com/content/dam/ey-unified-site/ey-com/en-gl/insights/tax/documents/ey-gl-shadow-economy-report-02-2025.pdf" TargetMode="External"/><Relationship Id="rId69" Type="http://schemas.openxmlformats.org/officeDocument/2006/relationships/hyperlink" Target="https://www.abrigo.com/blog/fincen-reissues-real-estate-geographic-targeting-orders/" TargetMode="External"/><Relationship Id="rId51" Type="http://schemas.openxmlformats.org/officeDocument/2006/relationships/image" Target="media/image35.png"/><Relationship Id="rId50" Type="http://schemas.openxmlformats.org/officeDocument/2006/relationships/image" Target="media/image53.png"/><Relationship Id="rId53" Type="http://schemas.openxmlformats.org/officeDocument/2006/relationships/image" Target="media/image41.png"/><Relationship Id="rId52" Type="http://schemas.openxmlformats.org/officeDocument/2006/relationships/image" Target="media/image36.png"/><Relationship Id="rId55" Type="http://schemas.openxmlformats.org/officeDocument/2006/relationships/image" Target="media/image18.png"/><Relationship Id="rId54" Type="http://schemas.openxmlformats.org/officeDocument/2006/relationships/image" Target="media/image24.png"/><Relationship Id="rId57" Type="http://schemas.openxmlformats.org/officeDocument/2006/relationships/image" Target="media/image20.png"/><Relationship Id="rId56" Type="http://schemas.openxmlformats.org/officeDocument/2006/relationships/image" Target="media/image19.png"/><Relationship Id="rId59" Type="http://schemas.openxmlformats.org/officeDocument/2006/relationships/image" Target="media/image30.png"/><Relationship Id="rId5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