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Georgia" w:cs="Georgia" w:eastAsia="Georgia" w:hAnsi="Georgia"/>
          <w:b/>
          <w:bCs/>
          <w:color w:val="1B2A4A"/>
          <w:sz w:val="36"/>
          <w:szCs w:val="36"/>
        </w:rPr>
        <w:t xml:space="preserve">HOMEWORK 06</w:t>
      </w:r>
    </w:p>
    <w:p>
      <w:pPr>
        <w:spacing w:after="40"/>
        <w:jc w:val="center"/>
      </w:pPr>
      <w:r>
        <w:rPr>
          <w:rFonts w:ascii="Georgia" w:cs="Georgia" w:eastAsia="Georgia" w:hAnsi="Georgia"/>
          <w:b/>
          <w:bCs/>
          <w:color w:val="2E86AB"/>
          <w:sz w:val="28"/>
          <w:szCs w:val="28"/>
        </w:rPr>
        <w:t xml:space="preserve">Inverse Dynamics &amp; Static Optimization</w:t>
      </w:r>
    </w:p>
    <w:p>
      <w:pPr>
        <w:spacing w:after="240"/>
        <w:jc w:val="center"/>
      </w:pPr>
      <w:r>
        <w:rPr>
          <w:rFonts w:ascii="Cambria" w:cs="Cambria" w:eastAsia="Cambria" w:hAnsi="Cambria"/>
          <w:i/>
          <w:iCs/>
          <w:color w:val="333333"/>
          <w:sz w:val="22"/>
          <w:szCs w:val="22"/>
        </w:rPr>
        <w:t xml:space="preserve">Computational Sensorimotor Control — Week 6</w:t>
      </w:r>
    </w:p>
    <w:p>
      <w:pPr>
        <w:spacing w:before="280" w:after="120"/>
      </w:pPr>
      <w:r>
        <w:rPr>
          <w:rFonts w:ascii="Georgia" w:cs="Georgia" w:eastAsia="Georgia" w:hAnsi="Georgia"/>
          <w:b/>
          <w:bCs/>
          <w:color w:val="2E86AB"/>
          <w:sz w:val="24"/>
          <w:szCs w:val="24"/>
        </w:rPr>
        <w:t xml:space="preserve">Logistics</w:t>
      </w:r>
    </w:p>
    <w:p>
      <w:pPr>
        <w:spacing w:after="120" w:line="276"/>
      </w:pPr>
      <w:r>
        <w:rPr>
          <w:rFonts w:ascii="Cambria" w:cs="Cambria" w:eastAsia="Cambria" w:hAnsi="Cambria"/>
          <w:b/>
          <w:bCs/>
          <w:i w:val="false"/>
          <w:iCs w:val="false"/>
          <w:color w:val="333333"/>
          <w:sz w:val="22"/>
          <w:szCs w:val="22"/>
        </w:rPr>
        <w:t xml:space="preserve">Due: </w:t>
      </w:r>
      <w:r>
        <w:rPr>
          <w:rFonts w:ascii="Cambria" w:cs="Cambria" w:eastAsia="Cambria" w:hAnsi="Cambria"/>
          <w:b w:val="false"/>
          <w:bCs w:val="false"/>
          <w:i w:val="false"/>
          <w:iCs w:val="false"/>
          <w:color w:val="333333"/>
          <w:sz w:val="22"/>
          <w:szCs w:val="22"/>
        </w:rPr>
        <w:t xml:space="preserve">Before Week 7 lab session</w:t>
      </w:r>
    </w:p>
    <w:p>
      <w:pPr>
        <w:spacing w:after="120" w:line="276"/>
      </w:pPr>
      <w:r>
        <w:rPr>
          <w:rFonts w:ascii="Cambria" w:cs="Cambria" w:eastAsia="Cambria" w:hAnsi="Cambria"/>
          <w:b/>
          <w:bCs/>
          <w:i w:val="false"/>
          <w:iCs w:val="false"/>
          <w:color w:val="333333"/>
          <w:sz w:val="22"/>
          <w:szCs w:val="22"/>
        </w:rPr>
        <w:t xml:space="preserve">Submission: </w:t>
      </w:r>
      <w:r>
        <w:rPr>
          <w:rFonts w:ascii="Cambria" w:cs="Cambria" w:eastAsia="Cambria" w:hAnsi="Cambria"/>
          <w:b w:val="false"/>
          <w:bCs w:val="false"/>
          <w:i w:val="false"/>
          <w:iCs w:val="false"/>
          <w:color w:val="333333"/>
          <w:sz w:val="22"/>
          <w:szCs w:val="22"/>
        </w:rPr>
        <w:t xml:space="preserve">Upload your completed HW06_InverseDynamics.ipynb to Canvas. Ensure all cells have been run and outputs are visible.</w:t>
      </w:r>
    </w:p>
    <w:p>
      <w:pPr>
        <w:spacing w:after="120" w:line="276"/>
      </w:pPr>
      <w:r>
        <w:rPr>
          <w:rFonts w:ascii="Cambria" w:cs="Cambria" w:eastAsia="Cambria" w:hAnsi="Cambria"/>
          <w:b/>
          <w:bCs/>
          <w:i w:val="false"/>
          <w:iCs w:val="false"/>
          <w:color w:val="333333"/>
          <w:sz w:val="22"/>
          <w:szCs w:val="22"/>
        </w:rPr>
        <w:t xml:space="preserve">Grading: </w:t>
      </w:r>
      <w:r>
        <w:rPr>
          <w:rFonts w:ascii="Cambria" w:cs="Cambria" w:eastAsia="Cambria" w:hAnsi="Cambria"/>
          <w:b w:val="false"/>
          <w:bCs w:val="false"/>
          <w:i w:val="false"/>
          <w:iCs w:val="false"/>
          <w:color w:val="333333"/>
          <w:sz w:val="22"/>
          <w:szCs w:val="22"/>
        </w:rPr>
        <w:t xml:space="preserve">Part 1 (50 points), Part 2 (50 points). Code correctness, figure quality, and written answers are all evaluated.</w:t>
      </w:r>
    </w:p>
    <w:p>
      <w:pPr>
        <w:spacing w:after="120" w:line="276"/>
      </w:pPr>
      <w:r>
        <w:rPr>
          <w:rFonts w:ascii="Cambria" w:cs="Cambria" w:eastAsia="Cambria" w:hAnsi="Cambria"/>
          <w:b/>
          <w:bCs/>
          <w:i w:val="false"/>
          <w:iCs w:val="false"/>
          <w:color w:val="333333"/>
          <w:sz w:val="22"/>
          <w:szCs w:val="22"/>
        </w:rPr>
        <w:t xml:space="preserve">Collaboration: </w:t>
      </w:r>
      <w:r>
        <w:rPr>
          <w:rFonts w:ascii="Cambria" w:cs="Cambria" w:eastAsia="Cambria" w:hAnsi="Cambria"/>
          <w:b w:val="false"/>
          <w:bCs w:val="false"/>
          <w:i w:val="false"/>
          <w:iCs w:val="false"/>
          <w:color w:val="333333"/>
          <w:sz w:val="22"/>
          <w:szCs w:val="22"/>
        </w:rPr>
        <w:t xml:space="preserve">You may discuss approaches with classmates, but all code and written answers must be your own.</w:t>
      </w:r>
    </w:p>
    <w:p>
      <w:pPr>
        <w:spacing w:before="280" w:after="120"/>
      </w:pPr>
      <w:r>
        <w:rPr>
          <w:rFonts w:ascii="Georgia" w:cs="Georgia" w:eastAsia="Georgia" w:hAnsi="Georgia"/>
          <w:b/>
          <w:bCs/>
          <w:color w:val="2E86AB"/>
          <w:sz w:val="24"/>
          <w:szCs w:val="24"/>
        </w:rPr>
        <w:t xml:space="preserve">Task Context</w:t>
      </w:r>
    </w:p>
    <w:p>
      <w:pPr>
        <w:spacing w:after="120" w:line="276"/>
      </w:pPr>
      <w:r>
        <w:rPr>
          <w:rFonts w:ascii="Cambria" w:cs="Cambria" w:eastAsia="Cambria" w:hAnsi="Cambria"/>
          <w:b w:val="false"/>
          <w:bCs w:val="false"/>
          <w:i w:val="false"/>
          <w:iCs w:val="false"/>
          <w:color w:val="333333"/>
          <w:sz w:val="22"/>
          <w:szCs w:val="22"/>
        </w:rPr>
        <w:t xml:space="preserve">All questions use the same 6 cm semicircular arc from the lecture and lab, starting from Q_REF = (55°, 75°), under a 3 N constant load in −y. The notebook provides all setup code, helper functions, and plotting scaffolding. You fill in specific computation lines (marked TODO) and write short analytical answers.</w:t>
      </w:r>
    </w:p>
    <w:p>
      <w:pPr>
        <w:spacing w:before="360" w:after="160"/>
      </w:pPr>
      <w:r>
        <w:rPr>
          <w:rFonts w:ascii="Georgia" w:cs="Georgia" w:eastAsia="Georgia" w:hAnsi="Georgia"/>
          <w:b/>
          <w:bCs/>
          <w:color w:val="1B2A4A"/>
          <w:sz w:val="28"/>
          <w:szCs w:val="28"/>
        </w:rPr>
        <w:t xml:space="preserve">Part 1: Movement Speed and the Dynamics Gap (50 pts)</w:t>
      </w:r>
    </w:p>
    <w:p>
      <w:pPr>
        <w:spacing w:after="120" w:line="276"/>
      </w:pPr>
      <w:r>
        <w:rPr>
          <w:rFonts w:ascii="Cambria" w:cs="Cambria" w:eastAsia="Cambria" w:hAnsi="Cambria"/>
          <w:b w:val="false"/>
          <w:bCs w:val="false"/>
          <w:i w:val="false"/>
          <w:iCs w:val="false"/>
          <w:color w:val="333333"/>
          <w:sz w:val="22"/>
          <w:szCs w:val="22"/>
        </w:rPr>
        <w:t xml:space="preserve">In the lab, we used a fixed movement time of 800 ms. Here you test two additional speeds — a faster movement (600 ms) and a slower movement (1000 ms) — to understand how speed affects the gap between EPH and inverse dynamics.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340"/>
            <w:tcBorders>
              <w:top w:val="single" w:color="2E86AB" w:sz="1"/>
              <w:left w:val="single" w:color="2E86AB" w:sz="1"/>
              <w:bottom w:val="single" w:color="2E86AB" w:sz="1"/>
              <w:right w:val="single" w:color="2E86AB" w:sz="1"/>
            </w:tcBorders>
            <w:shd w:fill="2E86A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mbria" w:cs="Cambria" w:eastAsia="Cambria" w:hAnsi="Cambria"/>
                <w:b/>
                <w:bCs/>
                <w:color w:val="FFFFFF"/>
                <w:sz w:val="20"/>
                <w:szCs w:val="20"/>
              </w:rPr>
              <w:t xml:space="preserve">Question</w:t>
            </w:r>
          </w:p>
        </w:tc>
        <w:tc>
          <w:tcPr>
            <w:tcW w:type="dxa" w:w="2340"/>
            <w:tcBorders>
              <w:top w:val="single" w:color="2E86AB" w:sz="1"/>
              <w:left w:val="single" w:color="2E86AB" w:sz="1"/>
              <w:bottom w:val="single" w:color="2E86AB" w:sz="1"/>
              <w:right w:val="single" w:color="2E86AB" w:sz="1"/>
            </w:tcBorders>
            <w:shd w:fill="2E86A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mbria" w:cs="Cambria" w:eastAsia="Cambria" w:hAnsi="Cambria"/>
                <w:b/>
                <w:bCs/>
                <w:color w:val="FFFFFF"/>
                <w:sz w:val="20"/>
                <w:szCs w:val="20"/>
              </w:rPr>
              <w:t xml:space="preserve">Points</w:t>
            </w:r>
          </w:p>
        </w:tc>
        <w:tc>
          <w:tcPr>
            <w:tcW w:type="dxa" w:w="2340"/>
            <w:tcBorders>
              <w:top w:val="single" w:color="2E86AB" w:sz="1"/>
              <w:left w:val="single" w:color="2E86AB" w:sz="1"/>
              <w:bottom w:val="single" w:color="2E86AB" w:sz="1"/>
              <w:right w:val="single" w:color="2E86AB" w:sz="1"/>
            </w:tcBorders>
            <w:shd w:fill="2E86A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mbria" w:cs="Cambria" w:eastAsia="Cambria" w:hAnsi="Cambria"/>
                <w:b/>
                <w:bCs/>
                <w:color w:val="FFFFFF"/>
                <w:sz w:val="20"/>
                <w:szCs w:val="20"/>
              </w:rPr>
              <w:t xml:space="preserve">Type</w:t>
            </w:r>
          </w:p>
        </w:tc>
        <w:tc>
          <w:tcPr>
            <w:tcW w:type="dxa" w:w="2340"/>
            <w:tcBorders>
              <w:top w:val="single" w:color="2E86AB" w:sz="1"/>
              <w:left w:val="single" w:color="2E86AB" w:sz="1"/>
              <w:bottom w:val="single" w:color="2E86AB" w:sz="1"/>
              <w:right w:val="single" w:color="2E86AB" w:sz="1"/>
            </w:tcBorders>
            <w:shd w:fill="2E86A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mbria" w:cs="Cambria" w:eastAsia="Cambria" w:hAnsi="Cambria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Q1.1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8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Code (2 TODOs)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Run discrete and continuous EPH grid search at 600 ms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Q1.2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8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Code (2 TODOs)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Run discrete and continuous EPH grid search at 1000 ms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Q1.3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4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Pre-built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Generate the summary table (600, 800, 1000 ms). Run the cell and verify the output.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Q1.4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8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Code (1 TODO)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Plot shoulder torque decomposition (Mq̈ vs C) at both speeds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Q1.5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12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Written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2–3 sentences: Does the gap grow or shrink at faster speeds? Which term in the ID equation is responsible? Why can’t EPH’s springs compensate?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Q1.6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10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Written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1–2 sentences: Does the optimal C-command change between 600 and 1000 ms? Explain why or why not.</w:t>
            </w:r>
          </w:p>
        </w:tc>
      </w:tr>
    </w:tbl>
    <w:p>
      <w:pPr>
        <w:spacing w:after="120" w:line="276"/>
      </w:pPr>
      <w:r>
        <w:rPr>
          <w:rFonts w:ascii="Cambria" w:cs="Cambria" w:eastAsia="Cambria" w:hAnsi="Cambria"/>
          <w:b w:val="false"/>
          <w:bCs w:val="false"/>
          <w:i w:val="false"/>
          <w:iCs w:val="false"/>
          <w:color w:val="333333"/>
          <w:sz w:val="22"/>
          <w:szCs w:val="22"/>
        </w:rPr>
        <w:t xml:space="preserve"/>
      </w:r>
    </w:p>
    <w:p>
      <w:pPr>
        <w:spacing w:after="120" w:line="276"/>
      </w:pPr>
      <w:r>
        <w:rPr>
          <w:rFonts w:ascii="Cambria" w:cs="Cambria" w:eastAsia="Cambria" w:hAnsi="Cambria"/>
          <w:b/>
          <w:bCs/>
          <w:i w:val="false"/>
          <w:iCs w:val="false"/>
          <w:color w:val="333333"/>
          <w:sz w:val="22"/>
          <w:szCs w:val="22"/>
        </w:rPr>
        <w:t xml:space="preserve">Key concept: </w:t>
      </w:r>
      <w:r>
        <w:rPr>
          <w:rFonts w:ascii="Cambria" w:cs="Cambria" w:eastAsia="Cambria" w:hAnsi="Cambria"/>
          <w:b w:val="false"/>
          <w:bCs w:val="false"/>
          <w:i w:val="false"/>
          <w:iCs w:val="false"/>
          <w:color w:val="333333"/>
          <w:sz w:val="22"/>
          <w:szCs w:val="22"/>
        </w:rPr>
        <w:t xml:space="preserve">The inertial term Mq̈ scales with the square of speed (halving movement time roughly quadruples peak acceleration). EPH’s spring forces are proportional to displacement, not acceleration — they react to where the arm is, not where it needs to be.</w:t>
      </w:r>
    </w:p>
    <w:p>
      <w:pPr>
        <w:spacing w:before="360" w:after="160"/>
      </w:pPr>
      <w:r>
        <w:rPr>
          <w:rFonts w:ascii="Georgia" w:cs="Georgia" w:eastAsia="Georgia" w:hAnsi="Georgia"/>
          <w:b/>
          <w:bCs/>
          <w:color w:val="1B2A4A"/>
          <w:sz w:val="28"/>
          <w:szCs w:val="28"/>
        </w:rPr>
        <w:t xml:space="preserve">Part 2: The Crowninshield Exponent (50 pts)</w:t>
      </w:r>
    </w:p>
    <w:p>
      <w:pPr>
        <w:spacing w:after="120" w:line="276"/>
      </w:pPr>
      <w:r>
        <w:rPr>
          <w:rFonts w:ascii="Cambria" w:cs="Cambria" w:eastAsia="Cambria" w:hAnsi="Cambria"/>
          <w:b w:val="false"/>
          <w:bCs w:val="false"/>
          <w:i w:val="false"/>
          <w:iCs w:val="false"/>
          <w:color w:val="333333"/>
          <w:sz w:val="22"/>
          <w:szCs w:val="22"/>
        </w:rPr>
        <w:t xml:space="preserve">In the lab, we used n = 3 for the Crowninshield &amp; Brand (1981) criterion: minimize Σ(Fᵢ/ρᵢ)ⁿ. Here you explore what happens when n changes from 1 (linear — sparse solutions) to 5 (heavily penalized — distributed solutions), and which n produces muscle activations most similar to EPH.</w:t>
      </w:r>
    </w:p>
    <w:p>
      <w:pPr>
        <w:spacing w:after="120" w:line="276"/>
      </w:pPr>
      <w:r>
        <w:rPr>
          <w:rFonts w:ascii="Cambria" w:cs="Cambria" w:eastAsia="Cambria" w:hAnsi="Cambria"/>
          <w:b/>
          <w:bCs/>
          <w:i w:val="false"/>
          <w:iCs w:val="false"/>
          <w:color w:val="333333"/>
          <w:sz w:val="22"/>
          <w:szCs w:val="22"/>
        </w:rPr>
        <w:t xml:space="preserve">Reading connection: </w:t>
      </w:r>
      <w:r>
        <w:rPr>
          <w:rFonts w:ascii="Cambria" w:cs="Cambria" w:eastAsia="Cambria" w:hAnsi="Cambria"/>
          <w:b w:val="false"/>
          <w:bCs w:val="false"/>
          <w:i w:val="false"/>
          <w:iCs w:val="false"/>
          <w:color w:val="333333"/>
          <w:sz w:val="22"/>
          <w:szCs w:val="22"/>
        </w:rPr>
        <w:t xml:space="preserve">Crowninshield &amp; Brand (1981), §3, discuss their rationale for n = 3. You will need this for Q2.6.</w:t>
      </w:r>
    </w:p>
    <w:p>
      <w:pPr>
        <w:spacing w:after="120" w:line="276"/>
      </w:pPr>
      <w:r>
        <w:rPr>
          <w:rFonts w:ascii="Cambria" w:cs="Cambria" w:eastAsia="Cambria" w:hAnsi="Cambria"/>
          <w:b w:val="false"/>
          <w:bCs w:val="false"/>
          <w:i w:val="false"/>
          <w:iCs w:val="false"/>
          <w:color w:val="333333"/>
          <w:sz w:val="22"/>
          <w:szCs w:val="22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340"/>
            <w:tcBorders>
              <w:top w:val="single" w:color="2E86AB" w:sz="1"/>
              <w:left w:val="single" w:color="2E86AB" w:sz="1"/>
              <w:bottom w:val="single" w:color="2E86AB" w:sz="1"/>
              <w:right w:val="single" w:color="2E86AB" w:sz="1"/>
            </w:tcBorders>
            <w:shd w:fill="2E86A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mbria" w:cs="Cambria" w:eastAsia="Cambria" w:hAnsi="Cambria"/>
                <w:b/>
                <w:bCs/>
                <w:color w:val="FFFFFF"/>
                <w:sz w:val="20"/>
                <w:szCs w:val="20"/>
              </w:rPr>
              <w:t xml:space="preserve">Question</w:t>
            </w:r>
          </w:p>
        </w:tc>
        <w:tc>
          <w:tcPr>
            <w:tcW w:type="dxa" w:w="2340"/>
            <w:tcBorders>
              <w:top w:val="single" w:color="2E86AB" w:sz="1"/>
              <w:left w:val="single" w:color="2E86AB" w:sz="1"/>
              <w:bottom w:val="single" w:color="2E86AB" w:sz="1"/>
              <w:right w:val="single" w:color="2E86AB" w:sz="1"/>
            </w:tcBorders>
            <w:shd w:fill="2E86A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mbria" w:cs="Cambria" w:eastAsia="Cambria" w:hAnsi="Cambria"/>
                <w:b/>
                <w:bCs/>
                <w:color w:val="FFFFFF"/>
                <w:sz w:val="20"/>
                <w:szCs w:val="20"/>
              </w:rPr>
              <w:t xml:space="preserve">Points</w:t>
            </w:r>
          </w:p>
        </w:tc>
        <w:tc>
          <w:tcPr>
            <w:tcW w:type="dxa" w:w="2340"/>
            <w:tcBorders>
              <w:top w:val="single" w:color="2E86AB" w:sz="1"/>
              <w:left w:val="single" w:color="2E86AB" w:sz="1"/>
              <w:bottom w:val="single" w:color="2E86AB" w:sz="1"/>
              <w:right w:val="single" w:color="2E86AB" w:sz="1"/>
            </w:tcBorders>
            <w:shd w:fill="2E86A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mbria" w:cs="Cambria" w:eastAsia="Cambria" w:hAnsi="Cambria"/>
                <w:b/>
                <w:bCs/>
                <w:color w:val="FFFFFF"/>
                <w:sz w:val="20"/>
                <w:szCs w:val="20"/>
              </w:rPr>
              <w:t xml:space="preserve">Type</w:t>
            </w:r>
          </w:p>
        </w:tc>
        <w:tc>
          <w:tcPr>
            <w:tcW w:type="dxa" w:w="2340"/>
            <w:tcBorders>
              <w:top w:val="single" w:color="2E86AB" w:sz="1"/>
              <w:left w:val="single" w:color="2E86AB" w:sz="1"/>
              <w:bottom w:val="single" w:color="2E86AB" w:sz="1"/>
              <w:right w:val="single" w:color="2E86AB" w:sz="1"/>
            </w:tcBorders>
            <w:shd w:fill="2E86A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mbria" w:cs="Cambria" w:eastAsia="Cambria" w:hAnsi="Cambria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Q2.1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6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Code (1 TODO)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Run static optimization at n = 1, 2, 3, 4, 5 for the full trajectory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Q2.2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6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Code (1 TODO)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Plot muscle forces for n = 1, 3, 5 (three panels)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Q2.3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6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Code (1 TODO)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Count active muscles (force &gt; 1 N) at peak torque for each n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Q2.4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8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Code (1 TODO)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Compute Pearson correlation between normalized ID(n) and EPH activation patterns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Q2.5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8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Code (1 TODO)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Compute total co-contraction for each n and compare against EPH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Q2.6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16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Written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3–4 sentences: (a) Which n is most similar to EPH and why? (b) Is n = 3 a good model for the brain? Reference the reading.</w:t>
            </w:r>
          </w:p>
        </w:tc>
      </w:tr>
    </w:tbl>
    <w:p>
      <w:pPr>
        <w:spacing w:after="120" w:line="276"/>
      </w:pPr>
      <w:r>
        <w:rPr>
          <w:rFonts w:ascii="Cambria" w:cs="Cambria" w:eastAsia="Cambria" w:hAnsi="Cambria"/>
          <w:b w:val="false"/>
          <w:bCs w:val="false"/>
          <w:i w:val="false"/>
          <w:iCs w:val="false"/>
          <w:color w:val="333333"/>
          <w:sz w:val="22"/>
          <w:szCs w:val="22"/>
        </w:rPr>
        <w:t xml:space="preserve"/>
      </w:r>
    </w:p>
    <w:p>
      <w:pPr>
        <w:spacing w:after="120" w:line="276"/>
      </w:pPr>
      <w:r>
        <w:rPr>
          <w:rFonts w:ascii="Cambria" w:cs="Cambria" w:eastAsia="Cambria" w:hAnsi="Cambria"/>
          <w:b/>
          <w:bCs/>
          <w:i w:val="false"/>
          <w:iCs w:val="false"/>
          <w:color w:val="333333"/>
          <w:sz w:val="22"/>
          <w:szCs w:val="22"/>
        </w:rPr>
        <w:t xml:space="preserve">Key concept: </w:t>
      </w:r>
      <w:r>
        <w:rPr>
          <w:rFonts w:ascii="Cambria" w:cs="Cambria" w:eastAsia="Cambria" w:hAnsi="Cambria"/>
          <w:b w:val="false"/>
          <w:bCs w:val="false"/>
          <w:i w:val="false"/>
          <w:iCs w:val="false"/>
          <w:color w:val="333333"/>
          <w:sz w:val="22"/>
          <w:szCs w:val="22"/>
        </w:rPr>
        <w:t xml:space="preserve">The exponent n controls the tradeoff between sparsity (few muscles active, metabolically efficient) and distribution (many muscles active, more robust, more co-contraction). Real EMG patterns show substantial co-contraction — more than any static optimization predicts — which is one of the arguments for EPH’s threshold-based approach.</w:t>
      </w:r>
    </w:p>
    <w:p>
      <w:pPr>
        <w:spacing w:before="360" w:after="160"/>
      </w:pPr>
      <w:r>
        <w:rPr>
          <w:rFonts w:ascii="Georgia" w:cs="Georgia" w:eastAsia="Georgia" w:hAnsi="Georgia"/>
          <w:b/>
          <w:bCs/>
          <w:color w:val="1B2A4A"/>
          <w:sz w:val="28"/>
          <w:szCs w:val="28"/>
        </w:rPr>
        <w:t xml:space="preserve">Grading Rubric</w:t>
      </w:r>
    </w:p>
    <w:p>
      <w:pPr>
        <w:spacing w:before="280" w:after="120"/>
      </w:pPr>
      <w:r>
        <w:rPr>
          <w:rFonts w:ascii="Georgia" w:cs="Georgia" w:eastAsia="Georgia" w:hAnsi="Georgia"/>
          <w:b/>
          <w:bCs/>
          <w:color w:val="2E86AB"/>
          <w:sz w:val="24"/>
          <w:szCs w:val="24"/>
        </w:rPr>
        <w:t xml:space="preserve">Code Questions</w:t>
      </w:r>
    </w:p>
    <w:p>
      <w:pPr>
        <w:spacing w:after="120" w:line="276"/>
      </w:pPr>
      <w:r>
        <w:rPr>
          <w:rFonts w:ascii="Cambria" w:cs="Cambria" w:eastAsia="Cambria" w:hAnsi="Cambria"/>
          <w:b w:val="false"/>
          <w:bCs w:val="false"/>
          <w:i w:val="false"/>
          <w:iCs w:val="false"/>
          <w:color w:val="333333"/>
          <w:sz w:val="22"/>
          <w:szCs w:val="22"/>
        </w:rPr>
        <w:t xml:space="preserve">Full credit: TODO line(s) correctly filled in, cell runs without error, output is reasonable.</w:t>
      </w:r>
    </w:p>
    <w:p>
      <w:pPr>
        <w:spacing w:after="120" w:line="276"/>
      </w:pPr>
      <w:r>
        <w:rPr>
          <w:rFonts w:ascii="Cambria" w:cs="Cambria" w:eastAsia="Cambria" w:hAnsi="Cambria"/>
          <w:b w:val="false"/>
          <w:bCs w:val="false"/>
          <w:i w:val="false"/>
          <w:iCs w:val="false"/>
          <w:color w:val="333333"/>
          <w:sz w:val="22"/>
          <w:szCs w:val="22"/>
        </w:rPr>
        <w:t xml:space="preserve">Half credit: Correct approach but minor error (e.g., wrong argument order, off-by-one).</w:t>
      </w:r>
    </w:p>
    <w:p>
      <w:pPr>
        <w:spacing w:after="120" w:line="276"/>
      </w:pPr>
      <w:r>
        <w:rPr>
          <w:rFonts w:ascii="Cambria" w:cs="Cambria" w:eastAsia="Cambria" w:hAnsi="Cambria"/>
          <w:b w:val="false"/>
          <w:bCs w:val="false"/>
          <w:i w:val="false"/>
          <w:iCs w:val="false"/>
          <w:color w:val="333333"/>
          <w:sz w:val="22"/>
          <w:szCs w:val="22"/>
        </w:rPr>
        <w:t xml:space="preserve">No credit: TODO left blank, cell does not run, or output is clearly incorrect.</w:t>
      </w:r>
    </w:p>
    <w:p>
      <w:pPr>
        <w:spacing w:before="280" w:after="120"/>
      </w:pPr>
      <w:r>
        <w:rPr>
          <w:rFonts w:ascii="Georgia" w:cs="Georgia" w:eastAsia="Georgia" w:hAnsi="Georgia"/>
          <w:b/>
          <w:bCs/>
          <w:color w:val="2E86AB"/>
          <w:sz w:val="24"/>
          <w:szCs w:val="24"/>
        </w:rPr>
        <w:t xml:space="preserve">Written Questions</w:t>
      </w:r>
    </w:p>
    <w:p>
      <w:pPr>
        <w:spacing w:after="120" w:line="276"/>
      </w:pPr>
      <w:r>
        <w:rPr>
          <w:rFonts w:ascii="Cambria" w:cs="Cambria" w:eastAsia="Cambria" w:hAnsi="Cambria"/>
          <w:b w:val="false"/>
          <w:bCs w:val="false"/>
          <w:i w:val="false"/>
          <w:iCs w:val="false"/>
          <w:color w:val="333333"/>
          <w:sz w:val="22"/>
          <w:szCs w:val="22"/>
        </w:rPr>
        <w:t xml:space="preserve">Full credit: Answer is correct, specific (references the data), and concise (within the sentence limit).</w:t>
      </w:r>
    </w:p>
    <w:p>
      <w:pPr>
        <w:spacing w:after="120" w:line="276"/>
      </w:pPr>
      <w:r>
        <w:rPr>
          <w:rFonts w:ascii="Cambria" w:cs="Cambria" w:eastAsia="Cambria" w:hAnsi="Cambria"/>
          <w:b w:val="false"/>
          <w:bCs w:val="false"/>
          <w:i w:val="false"/>
          <w:iCs w:val="false"/>
          <w:color w:val="333333"/>
          <w:sz w:val="22"/>
          <w:szCs w:val="22"/>
        </w:rPr>
        <w:t xml:space="preserve">Half credit: Answer is partially correct or vague (e.g., “the gap grows because faster is harder” without identifying the specific term).</w:t>
      </w:r>
    </w:p>
    <w:p>
      <w:pPr>
        <w:spacing w:after="120" w:line="276"/>
      </w:pPr>
      <w:r>
        <w:rPr>
          <w:rFonts w:ascii="Cambria" w:cs="Cambria" w:eastAsia="Cambria" w:hAnsi="Cambria"/>
          <w:b w:val="false"/>
          <w:bCs w:val="false"/>
          <w:i w:val="false"/>
          <w:iCs w:val="false"/>
          <w:color w:val="333333"/>
          <w:sz w:val="22"/>
          <w:szCs w:val="22"/>
        </w:rPr>
        <w:t xml:space="preserve">No credit: Answer is missing, incorrect, or does not engage with the data.</w:t>
      </w:r>
    </w:p>
    <w:p>
      <w:pPr>
        <w:spacing w:before="280" w:after="120"/>
      </w:pPr>
      <w:r>
        <w:rPr>
          <w:rFonts w:ascii="Georgia" w:cs="Georgia" w:eastAsia="Georgia" w:hAnsi="Georgia"/>
          <w:b/>
          <w:bCs/>
          <w:color w:val="2E86AB"/>
          <w:sz w:val="24"/>
          <w:szCs w:val="24"/>
        </w:rPr>
        <w:t xml:space="preserve">Figure Quality</w:t>
      </w:r>
    </w:p>
    <w:p>
      <w:pPr>
        <w:spacing w:after="120" w:line="276"/>
      </w:pPr>
      <w:r>
        <w:rPr>
          <w:rFonts w:ascii="Cambria" w:cs="Cambria" w:eastAsia="Cambria" w:hAnsi="Cambria"/>
          <w:b w:val="false"/>
          <w:bCs w:val="false"/>
          <w:i w:val="false"/>
          <w:iCs w:val="false"/>
          <w:color w:val="333333"/>
          <w:sz w:val="22"/>
          <w:szCs w:val="22"/>
        </w:rPr>
        <w:t xml:space="preserve">All plotting code is provided. Figures are graded on whether they display correctly (cells were run) and whether the student can interpret them in the written answers.</w:t>
      </w:r>
    </w:p>
    <w:sectPr>
      <w:headerReference w:type="default" r:id="rId6"/>
      <w:footerReference w:type="default" r:id="rId7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mbria" w:cs="Cambria" w:eastAsia="Cambria" w:hAnsi="Cambria"/>
        <w:color w:val="999999"/>
        <w:sz w:val="18"/>
        <w:szCs w:val="18"/>
      </w:rPr>
      <w:t xml:space="preserve">Page </w:t>
    </w:r>
    <w:r>
      <w:rPr>
        <w:rFonts w:ascii="Cambria" w:cs="Cambria" w:eastAsia="Cambria" w:hAnsi="Cambria"/>
        <w:color w:val="999999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2E86AB" w:sz="4" w:space="4"/>
      </w:pBdr>
      <w:jc w:val="center"/>
    </w:pPr>
    <w:r>
      <w:rPr>
        <w:rFonts w:ascii="Cambria" w:cs="Cambria" w:eastAsia="Cambria" w:hAnsi="Cambria"/>
        <w:i/>
        <w:iCs/>
        <w:color w:val="2E86AB"/>
        <w:sz w:val="18"/>
        <w:szCs w:val="18"/>
      </w:rPr>
      <w:t xml:space="preserve">Computational Sensorimotor Control | Homework 06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mbria" w:cs="Cambria" w:eastAsia="Cambria" w:hAnsi="Cambr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2026-03-15T19:59:16.783Z</dcterms:created>
  <dcterms:modified xsi:type="dcterms:W3CDTF">2026-03-15T19:59:16.784Z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