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Georgia" w:cs="Georgia" w:eastAsia="Georgia" w:hAnsi="Georgia"/>
          <w:b/>
          <w:bCs/>
          <w:color w:val="1B2A4A"/>
          <w:sz w:val="36"/>
          <w:szCs w:val="36"/>
        </w:rPr>
        <w:t xml:space="preserve">OPTIONAL LAB B</w:t>
      </w:r>
    </w:p>
    <w:p>
      <w:pPr>
        <w:spacing w:after="40"/>
        <w:jc w:val="center"/>
      </w:pPr>
      <w:r>
        <w:rPr>
          <w:rFonts w:ascii="Georgia" w:cs="Georgia" w:eastAsia="Georgia" w:hAnsi="Georgia"/>
          <w:b/>
          <w:bCs/>
          <w:color w:val="2E86AB"/>
          <w:sz w:val="28"/>
          <w:szCs w:val="28"/>
        </w:rPr>
        <w:t xml:space="preserve">Inverse Dynamics for 8-Direction Center-Out Reaching</w:t>
      </w:r>
    </w:p>
    <w:p>
      <w:pPr>
        <w:spacing w:after="200"/>
        <w:jc w:val="center"/>
      </w:pPr>
      <w:r>
        <w:rPr>
          <w:rFonts w:ascii="Cambria" w:cs="Cambria" w:eastAsia="Cambria" w:hAnsi="Cambria"/>
          <w:i/>
          <w:iCs/>
          <w:color w:val="333333"/>
          <w:sz w:val="22"/>
          <w:szCs w:val="22"/>
        </w:rPr>
        <w:t xml:space="preserve">Computational Sensorimotor Control — Week 6 Supplement</w:t>
      </w:r>
    </w:p>
    <w:p>
      <w:pPr>
        <w:spacing w:before="240" w:after="100"/>
      </w:pPr>
      <w:r>
        <w:rPr>
          <w:rFonts w:ascii="Georgia" w:cs="Georgia" w:eastAsia="Georgia" w:hAnsi="Georgia"/>
          <w:b/>
          <w:bCs/>
          <w:color w:val="2E86AB"/>
          <w:sz w:val="24"/>
          <w:szCs w:val="24"/>
        </w:rPr>
        <w:t xml:space="preserve">Overview</w:t>
      </w:r>
    </w:p>
    <w:p>
      <w:pPr>
        <w:spacing w:after="110" w:line="276"/>
      </w:pPr>
      <w:r>
        <w:rPr>
          <w:rFonts w:ascii="Cambria" w:cs="Cambria" w:eastAsia="Cambria" w:hAnsi="Cambria"/>
          <w:color w:val="333333"/>
          <w:sz w:val="22"/>
          <w:szCs w:val="22"/>
        </w:rPr>
        <w:t xml:space="preserve">In the lecture and lab, the inverse dynamics pipeline was applied to a single semicircular arc. This tutorial extends it to the classic 8-direction center-out reaching task from Weeks 4–5 (8 targets at 8 cm from Q_REF, spaced at 0°, 45°, …, 315°). It shows how torque requirements, optimal muscle forces, and direction tuning emerge from the same pipeline.</w:t>
      </w:r>
    </w:p>
    <w:p>
      <w:pPr>
        <w:spacing w:before="240" w:after="100"/>
      </w:pPr>
      <w:r>
        <w:rPr>
          <w:rFonts w:ascii="Georgia" w:cs="Georgia" w:eastAsia="Georgia" w:hAnsi="Georgia"/>
          <w:b/>
          <w:bCs/>
          <w:color w:val="2E86AB"/>
          <w:sz w:val="24"/>
          <w:szCs w:val="24"/>
        </w:rPr>
        <w:t xml:space="preserve">Prerequisites</w:t>
      </w:r>
    </w:p>
    <w:p>
      <w:pPr>
        <w:spacing w:after="110" w:line="276"/>
      </w:pPr>
      <w:r>
        <w:rPr>
          <w:rFonts w:ascii="Cambria" w:cs="Cambria" w:eastAsia="Cambria" w:hAnsi="Cambria"/>
          <w:color w:val="333333"/>
          <w:sz w:val="22"/>
          <w:szCs w:val="22"/>
        </w:rPr>
        <w:t xml:space="preserve">Lab 06 (Parts 3 and 5). Understanding of the inverse dynamics equation τ = M(q)·q̈ + C(q,q̇) and static optimization (Crowninshield criterion, n = 3).</w:t>
      </w:r>
    </w:p>
    <w:p>
      <w:pPr>
        <w:spacing w:before="240" w:after="100"/>
      </w:pPr>
      <w:r>
        <w:rPr>
          <w:rFonts w:ascii="Georgia" w:cs="Georgia" w:eastAsia="Georgia" w:hAnsi="Georgia"/>
          <w:b/>
          <w:bCs/>
          <w:color w:val="2E86AB"/>
          <w:sz w:val="24"/>
          <w:szCs w:val="24"/>
        </w:rPr>
        <w:t xml:space="preserve">Format</w:t>
      </w:r>
    </w:p>
    <w:p>
      <w:pPr>
        <w:spacing w:after="110" w:line="276"/>
      </w:pPr>
      <w:r>
        <w:rPr>
          <w:rFonts w:ascii="Cambria" w:cs="Cambria" w:eastAsia="Cambria" w:hAnsi="Cambria"/>
          <w:b/>
          <w:bCs/>
          <w:color w:val="333333"/>
          <w:sz w:val="22"/>
          <w:szCs w:val="22"/>
        </w:rPr>
        <w:t xml:space="preserve">No TODOs — this is a walkthrough. </w:t>
      </w:r>
      <w:r>
        <w:rPr>
          <w:rFonts w:ascii="Cambria" w:cs="Cambria" w:eastAsia="Cambria" w:hAnsi="Cambria"/>
          <w:color w:val="333333"/>
          <w:sz w:val="22"/>
          <w:szCs w:val="22"/>
        </w:rPr>
        <w:t xml:space="preserve">Run each cell, study the outputs, and read the commentary. Estimated time: 30–45 minutes.</w:t>
      </w:r>
    </w:p>
    <w:p>
      <w:pPr>
        <w:spacing w:before="300" w:after="140"/>
      </w:pPr>
      <w:r>
        <w:rPr>
          <w:rFonts w:ascii="Georgia" w:cs="Georgia" w:eastAsia="Georgia" w:hAnsi="Georgia"/>
          <w:b/>
          <w:bCs/>
          <w:color w:val="1B2A4A"/>
          <w:sz w:val="28"/>
          <w:szCs w:val="28"/>
        </w:rPr>
        <w:t xml:space="preserve">Structure</w:t>
      </w:r>
    </w:p>
    <w:p>
      <w:pPr>
        <w:spacing w:after="110" w:line="276"/>
      </w:pPr>
      <w:r>
        <w:rPr>
          <w:rFonts w:ascii="Cambria" w:cs="Cambria" w:eastAsia="Cambria" w:hAnsi="Cambria"/>
          <w:b/>
          <w:bCs/>
          <w:color w:val="333333"/>
          <w:sz w:val="22"/>
          <w:szCs w:val="22"/>
        </w:rPr>
        <w:t xml:space="preserve">Part 1: Define 8 targets and generate min-jerk trajectories. </w:t>
      </w:r>
      <w:r>
        <w:rPr>
          <w:rFonts w:ascii="Cambria" w:cs="Cambria" w:eastAsia="Cambria" w:hAnsi="Cambria"/>
          <w:color w:val="333333"/>
          <w:sz w:val="22"/>
          <w:szCs w:val="22"/>
        </w:rPr>
        <w:t xml:space="preserve">Straight-line reaches from Q_REF at 600 ms. Check workspace reachability for each direction.</w:t>
      </w:r>
    </w:p>
    <w:p>
      <w:pPr>
        <w:spacing w:after="110" w:line="276"/>
      </w:pPr>
      <w:r>
        <w:rPr>
          <w:rFonts w:ascii="Cambria" w:cs="Cambria" w:eastAsia="Cambria" w:hAnsi="Cambria"/>
          <w:b/>
          <w:bCs/>
          <w:color w:val="333333"/>
          <w:sz w:val="22"/>
          <w:szCs w:val="22"/>
        </w:rPr>
        <w:t xml:space="preserve">Part 2: Inverse dynamics for each direction. </w:t>
      </w:r>
      <w:r>
        <w:rPr>
          <w:rFonts w:ascii="Cambria" w:cs="Cambria" w:eastAsia="Cambria" w:hAnsi="Cambria"/>
          <w:color w:val="333333"/>
          <w:sz w:val="22"/>
          <w:szCs w:val="22"/>
        </w:rPr>
        <w:t xml:space="preserve">Apply IK → differentiate → τ = Mq̈ + C at every timestep, for all 8 directions.</w:t>
      </w:r>
    </w:p>
    <w:p>
      <w:pPr>
        <w:spacing w:after="110" w:line="276"/>
      </w:pPr>
      <w:r>
        <w:rPr>
          <w:rFonts w:ascii="Cambria" w:cs="Cambria" w:eastAsia="Cambria" w:hAnsi="Cambria"/>
          <w:b/>
          <w:bCs/>
          <w:color w:val="333333"/>
          <w:sz w:val="22"/>
          <w:szCs w:val="22"/>
        </w:rPr>
        <w:t xml:space="preserve">Part 3: Torque profiles across directions. </w:t>
      </w:r>
      <w:r>
        <w:rPr>
          <w:rFonts w:ascii="Cambria" w:cs="Cambria" w:eastAsia="Cambria" w:hAnsi="Cambria"/>
          <w:color w:val="333333"/>
          <w:sz w:val="22"/>
          <w:szCs w:val="22"/>
        </w:rPr>
        <w:t xml:space="preserve">Plot shoulder and elbow torques for all directions, color-coded. Observe how the biphasic pattern’s sign and magnitude change with direction.</w:t>
      </w:r>
    </w:p>
    <w:p>
      <w:pPr>
        <w:spacing w:after="110" w:line="276"/>
      </w:pPr>
      <w:r>
        <w:rPr>
          <w:rFonts w:ascii="Cambria" w:cs="Cambria" w:eastAsia="Cambria" w:hAnsi="Cambria"/>
          <w:b/>
          <w:bCs/>
          <w:color w:val="333333"/>
          <w:sz w:val="22"/>
          <w:szCs w:val="22"/>
        </w:rPr>
        <w:t xml:space="preserve">Part 4: Static optimization for each direction. </w:t>
      </w:r>
      <w:r>
        <w:rPr>
          <w:rFonts w:ascii="Cambria" w:cs="Cambria" w:eastAsia="Cambria" w:hAnsi="Cambria"/>
          <w:color w:val="333333"/>
          <w:sz w:val="22"/>
          <w:szCs w:val="22"/>
        </w:rPr>
        <w:t xml:space="preserve">Distribute torques among 6 muscles using the Crowninshield criterion (n = 3). Compute optimal forces at every timestep for all directions.</w:t>
      </w:r>
    </w:p>
    <w:p>
      <w:pPr>
        <w:spacing w:after="110" w:line="276"/>
      </w:pPr>
      <w:r>
        <w:rPr>
          <w:rFonts w:ascii="Cambria" w:cs="Cambria" w:eastAsia="Cambria" w:hAnsi="Cambria"/>
          <w:b/>
          <w:bCs/>
          <w:color w:val="333333"/>
          <w:sz w:val="22"/>
          <w:szCs w:val="22"/>
        </w:rPr>
        <w:t xml:space="preserve">Part 5: Direction tuning. </w:t>
      </w:r>
      <w:r>
        <w:rPr>
          <w:rFonts w:ascii="Cambria" w:cs="Cambria" w:eastAsia="Cambria" w:hAnsi="Cambria"/>
          <w:color w:val="333333"/>
          <w:sz w:val="22"/>
          <w:szCs w:val="22"/>
        </w:rPr>
        <w:t xml:space="preserve">Extract peak activation per muscle per direction. Produce a heatmap and polar tuning curves showing each muscle’s preferred direction — analogous to Georgopoulos et al. (1982) motor cortex data.</w:t>
      </w:r>
    </w:p>
    <w:p>
      <w:pPr>
        <w:spacing w:after="110" w:line="276"/>
      </w:pPr>
      <w:r>
        <w:rPr>
          <w:rFonts w:ascii="Cambria" w:cs="Cambria" w:eastAsia="Cambria" w:hAnsi="Cambria"/>
          <w:b/>
          <w:bCs/>
          <w:color w:val="333333"/>
          <w:sz w:val="22"/>
          <w:szCs w:val="22"/>
        </w:rPr>
        <w:t xml:space="preserve">Part 6: Full trajectory activations. </w:t>
      </w:r>
      <w:r>
        <w:rPr>
          <w:rFonts w:ascii="Cambria" w:cs="Cambria" w:eastAsia="Cambria" w:hAnsi="Cambria"/>
          <w:color w:val="333333"/>
          <w:sz w:val="22"/>
          <w:szCs w:val="22"/>
        </w:rPr>
        <w:t xml:space="preserve">Side-by-side comparison of two example directions (0° rightward and 90° upward) showing the complete time-course of all 6 muscles.</w:t>
      </w:r>
    </w:p>
    <w:p>
      <w:pPr>
        <w:spacing w:before="300" w:after="140"/>
      </w:pPr>
      <w:r>
        <w:rPr>
          <w:rFonts w:ascii="Georgia" w:cs="Georgia" w:eastAsia="Georgia" w:hAnsi="Georgia"/>
          <w:b/>
          <w:bCs/>
          <w:color w:val="1B2A4A"/>
          <w:sz w:val="28"/>
          <w:szCs w:val="28"/>
        </w:rPr>
        <w:t xml:space="preserve">Key Takeaways</w:t>
      </w:r>
    </w:p>
    <w:p>
      <w:pPr>
        <w:spacing w:after="110" w:line="276"/>
      </w:pPr>
      <w:r>
        <w:rPr>
          <w:rFonts w:ascii="Cambria" w:cs="Cambria" w:eastAsia="Cambria" w:hAnsi="Cambria"/>
          <w:color w:val="333333"/>
          <w:sz w:val="22"/>
          <w:szCs w:val="22"/>
        </w:rPr>
        <w:t xml:space="preserve">1. The inverse dynamics pipeline (IK → differentiate → τ = Mq̈ + C) generalizes to any trajectory — the same 3-step process works for straight reaches, curved arcs, and arbitrary paths.</w:t>
      </w:r>
    </w:p>
    <w:p>
      <w:pPr>
        <w:spacing w:after="110" w:line="276"/>
      </w:pPr>
      <w:r>
        <w:rPr>
          <w:rFonts w:ascii="Cambria" w:cs="Cambria" w:eastAsia="Cambria" w:hAnsi="Cambria"/>
          <w:color w:val="333333"/>
          <w:sz w:val="22"/>
          <w:szCs w:val="22"/>
        </w:rPr>
        <w:t xml:space="preserve">2. Each muscle has a preferred direction determined by its moment arm geometry. Flexors prefer directions requiring positive torque; extensors prefer the opposite.</w:t>
      </w:r>
    </w:p>
    <w:p>
      <w:pPr>
        <w:spacing w:after="110" w:line="276"/>
      </w:pPr>
      <w:r>
        <w:rPr>
          <w:rFonts w:ascii="Cambria" w:cs="Cambria" w:eastAsia="Cambria" w:hAnsi="Cambria"/>
          <w:color w:val="333333"/>
          <w:sz w:val="22"/>
          <w:szCs w:val="22"/>
        </w:rPr>
        <w:t xml:space="preserve">3. Direction tuning in the optimization solution parallels direction tuning observed in motor cortex neurons (Georgopoulos et al. 1982). Whether the brain computes this through inverse dynamics or threshold control remains an open question.</w:t>
      </w:r>
    </w:p>
    <w:p>
      <w:pPr>
        <w:spacing w:after="110" w:line="276"/>
      </w:pPr>
      <w:r>
        <w:rPr>
          <w:rFonts w:ascii="Cambria" w:cs="Cambria" w:eastAsia="Cambria" w:hAnsi="Cambria"/>
          <w:color w:val="333333"/>
          <w:sz w:val="22"/>
          <w:szCs w:val="22"/>
        </w:rPr>
        <w:t xml:space="preserve">4. The 8-direction task produces the same torque decomposition structure (Mq̈ dominant, C smaller) seen in the arc task, confirming that the ID framework is consistent across movement types.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999999"/>
        <w:sz w:val="18"/>
        <w:szCs w:val="18"/>
      </w:rPr>
      <w:t xml:space="preserve">Page </w:t>
    </w:r>
    <w:r>
      <w:rPr>
        <w:rFonts w:ascii="Cambria" w:cs="Cambria" w:eastAsia="Cambria" w:hAnsi="Cambria"/>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jc w:val="center"/>
    </w:pPr>
    <w:r>
      <w:rPr>
        <w:rFonts w:ascii="Cambria" w:cs="Cambria" w:eastAsia="Cambria" w:hAnsi="Cambria"/>
        <w:i/>
        <w:iCs/>
        <w:color w:val="2E86AB"/>
        <w:sz w:val="18"/>
        <w:szCs w:val="18"/>
      </w:rPr>
      <w:t xml:space="preserve">Computational Sensorimotor Control | Optional Lab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2026-03-15T21:30:27.821Z</dcterms:created>
  <dcterms:modified xsi:type="dcterms:W3CDTF">2026-03-15T21:30:27.821Z</dcterms:modified>
</cp:coreProperties>
</file>

<file path=docProps/custom.xml><?xml version="1.0" encoding="utf-8"?>
<Properties xmlns="http://schemas.openxmlformats.org/officeDocument/2006/custom-properties" xmlns:vt="http://schemas.openxmlformats.org/officeDocument/2006/docPropsVTypes"/>
</file>