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Georgia" w:cs="Georgia" w:eastAsia="Georgia" w:hAnsi="Georgia"/>
          <w:caps/>
          <w:color w:val="2E86AB"/>
          <w:sz w:val="20"/>
          <w:szCs w:val="20"/>
        </w:rPr>
        <w:t xml:space="preserve">COMPUTATIONAL SENSORIMOTOR CONTROL</w:t>
      </w:r>
    </w:p>
    <w:p>
      <w:pPr>
        <w:pBdr>
          <w:bottom w:val="single" w:color="1B2A4A" w:sz="4" w:space="8"/>
        </w:pBdr>
        <w:spacing w:after="100"/>
        <w:jc w:val="center"/>
      </w:pPr>
    </w:p>
    <w:p>
      <w:pPr>
        <w:spacing w:after="60" w:before="200"/>
        <w:jc w:val="center"/>
      </w:pPr>
      <w:r>
        <w:rPr>
          <w:rFonts w:ascii="Georgia" w:cs="Georgia" w:eastAsia="Georgia" w:hAnsi="Georgia"/>
          <w:b/>
          <w:bCs/>
          <w:color w:val="1B2A4A"/>
          <w:sz w:val="36"/>
          <w:szCs w:val="36"/>
        </w:rPr>
        <w:t xml:space="preserve">HOMEWORK 02</w:t>
      </w:r>
    </w:p>
    <w:p>
      <w:pPr>
        <w:spacing w:after="200"/>
        <w:jc w:val="center"/>
      </w:pPr>
      <w:r>
        <w:rPr>
          <w:rFonts w:ascii="Georgia" w:cs="Georgia" w:eastAsia="Georgia" w:hAnsi="Georgia"/>
          <w:i/>
          <w:iCs/>
          <w:color w:val="2E86AB"/>
          <w:sz w:val="26"/>
          <w:szCs w:val="26"/>
        </w:rPr>
        <w:t xml:space="preserve">The Muscle Speed Limit and Directional Accuracy</w:t>
      </w:r>
    </w:p>
    <w:p>
      <w:pPr>
        <w:spacing w:after="60"/>
        <w:jc w:val="center"/>
      </w:pPr>
      <w:r>
        <w:rPr>
          <w:rFonts w:ascii="Cambria" w:cs="Cambria" w:eastAsia="Cambria" w:hAnsi="Cambria"/>
          <w:color w:val="666666"/>
          <w:sz w:val="22"/>
          <w:szCs w:val="22"/>
        </w:rPr>
        <w:t xml:space="preserve">Module 1: The Biological Plant  |  Week 2  |  Fall 2026</w:t>
      </w:r>
    </w:p>
    <w:p>
      <w:pPr>
        <w:spacing w:after="60"/>
        <w:jc w:val="center"/>
      </w:pPr>
      <w:r>
        <w:rPr>
          <w:rFonts w:ascii="Cambria" w:cs="Cambria" w:eastAsia="Cambria" w:hAnsi="Cambria"/>
          <w:b/>
          <w:bCs/>
          <w:color w:val="333333"/>
          <w:sz w:val="22"/>
          <w:szCs w:val="22"/>
        </w:rPr>
        <w:t xml:space="preserve">Due: One week from assignment  |  Total: 100 points</w:t>
      </w:r>
    </w:p>
    <w:p>
      <w:pPr>
        <w:pBdr>
          <w:bottom w:val="single" w:color="2E86AB" w:sz="2" w:space="8"/>
        </w:pBdr>
        <w:spacing w:after="300"/>
        <w:jc w:val="center"/>
      </w:pPr>
    </w:p>
    <w:p>
      <w:pPr>
        <w:pStyle w:val="Heading1"/>
        <w:spacing w:after="200" w:before="360"/>
      </w:pPr>
      <w:r>
        <w:rPr>
          <w:rFonts w:ascii="Georgia" w:cs="Georgia" w:eastAsia="Georgia" w:hAnsi="Georgia"/>
          <w:b/>
          <w:bCs/>
          <w:color w:val="1B2A4A"/>
          <w:sz w:val="30"/>
          <w:szCs w:val="30"/>
        </w:rPr>
        <w:t xml:space="preserve">Overview</w:t>
      </w:r>
    </w:p>
    <w:p>
      <w:pPr>
        <w:spacing w:after="160" w:line="300"/>
      </w:pPr>
      <w:r>
        <w:rPr>
          <w:rFonts w:ascii="Cambria" w:cs="Cambria" w:eastAsia="Cambria" w:hAnsi="Cambria"/>
          <w:color w:val="333333"/>
          <w:sz w:val="22"/>
          <w:szCs w:val="22"/>
        </w:rPr>
        <w:t xml:space="preserve">A participant makes fast 10 cm reaches from a central start posture (θ₁ = 55°, θ₂ = 75°) to each of 8 equally spaced targets. In HW01, you found that different directions require different joint excursions. In this homework, you will discover that the calcium kinetics delay converts these direction-dependent joint velocities into direction-dependent endpoint accuracy.</w:t>
      </w:r>
    </w:p>
    <w:p>
      <w:pPr>
        <w:spacing w:after="160" w:line="300"/>
      </w:pPr>
      <w:r>
        <w:rPr>
          <w:rFonts w:ascii="Cambria" w:cs="Cambria" w:eastAsia="Cambria" w:hAnsi="Cambria"/>
          <w:color w:val="333333"/>
          <w:sz w:val="22"/>
          <w:szCs w:val="22"/>
        </w:rPr>
        <w:t xml:space="preserve">You will need your Arm class from Lab 01 and your Muscle class from Lab 02. This assignment connects kinematics (Week 1) to muscle physiology (Week 2) for the first cross-module prediction.</w:t>
      </w:r>
    </w:p>
    <w:p>
      <w:pPr>
        <w:spacing w:after="160" w:line="300"/>
      </w:pPr>
      <w:r>
        <w:rPr>
          <w:rFonts w:ascii="Cambria" w:cs="Cambria" w:eastAsia="Cambria" w:hAnsi="Cambria"/>
          <w:b/>
          <w:bCs/>
          <w:color w:val="333333"/>
          <w:sz w:val="22"/>
          <w:szCs w:val="22"/>
        </w:rPr>
        <w:t xml:space="preserve">The prediction:</w:t>
      </w:r>
      <w:r>
        <w:rPr>
          <w:rFonts w:ascii="Cambria" w:cs="Cambria" w:eastAsia="Cambria" w:hAnsi="Cambria"/>
          <w:color w:val="333333"/>
          <w:sz w:val="22"/>
          <w:szCs w:val="22"/>
        </w:rPr>
        <w:t xml:space="preserve"> Endpoint accuracy should be anisotropic—varying across reach directions—purely from the interaction between the Jacobian and the calcium delay.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Why This Assignment</w:t>
            </w:r>
          </w:p>
          <w:p>
            <w:pPr>
              <w:spacing w:after="160" w:line="300"/>
            </w:pPr>
            <w:r>
              <w:rPr>
                <w:rFonts w:ascii="Cambria" w:cs="Cambria" w:eastAsia="Cambria" w:hAnsi="Cambria"/>
                <w:color w:val="333333"/>
                <w:sz w:val="22"/>
                <w:szCs w:val="22"/>
              </w:rPr>
              <w:t xml:space="preserve">This combines both weeks into a single prediction: the Jacobian (Week 1) creates direction-dependent joint demands, the calcium delay (Week 2) converts those into direction-dependent overshoots, and the nonlinear FK maps them to anisotropic task-space accuracy. This is consistent with experimental findings (Gordon et al. 1994) and demonstrates the kind of cross-module reasoning the course trains.</w:t>
            </w:r>
          </w:p>
        </w:tc>
      </w:tr>
    </w:tbl>
    <w:p>
      <w:pPr>
        <w:pStyle w:val="Heading1"/>
        <w:spacing w:after="200" w:before="360"/>
      </w:pPr>
      <w:r>
        <w:rPr>
          <w:rFonts w:ascii="Georgia" w:cs="Georgia" w:eastAsia="Georgia" w:hAnsi="Georgia"/>
          <w:b/>
          <w:bCs/>
          <w:color w:val="1B2A4A"/>
          <w:sz w:val="30"/>
          <w:szCs w:val="30"/>
        </w:rPr>
        <w:t xml:space="preserve">Prerequisites</w:t>
      </w:r>
    </w:p>
    <w:p>
      <w:pPr>
        <w:spacing w:after="160" w:line="300"/>
      </w:pPr>
      <w:r>
        <w:rPr>
          <w:rFonts w:ascii="Cambria" w:cs="Cambria" w:eastAsia="Cambria" w:hAnsi="Cambria"/>
          <w:color w:val="333333"/>
          <w:sz w:val="22"/>
          <w:szCs w:val="22"/>
        </w:rPr>
        <w:t xml:space="preserve">You will need your completed </w:t>
      </w:r>
      <w:r>
        <w:rPr>
          <w:rFonts w:ascii="Cambria" w:cs="Cambria" w:eastAsia="Cambria" w:hAnsi="Cambria"/>
          <w:b/>
          <w:bCs/>
          <w:color w:val="333333"/>
          <w:sz w:val="22"/>
          <w:szCs w:val="22"/>
        </w:rPr>
        <w:t xml:space="preserve">Arm class</w:t>
      </w:r>
      <w:r>
        <w:rPr>
          <w:rFonts w:ascii="Cambria" w:cs="Cambria" w:eastAsia="Cambria" w:hAnsi="Cambria"/>
          <w:color w:val="333333"/>
          <w:sz w:val="22"/>
          <w:szCs w:val="22"/>
        </w:rPr>
        <w:t xml:space="preserve"> from Lab 01 and your </w:t>
      </w:r>
      <w:r>
        <w:rPr>
          <w:rFonts w:ascii="Cambria" w:cs="Cambria" w:eastAsia="Cambria" w:hAnsi="Cambria"/>
          <w:b/>
          <w:bCs/>
          <w:color w:val="333333"/>
          <w:sz w:val="22"/>
          <w:szCs w:val="22"/>
        </w:rPr>
        <w:t xml:space="preserve">Muscle class</w:t>
      </w:r>
      <w:r>
        <w:rPr>
          <w:rFonts w:ascii="Cambria" w:cs="Cambria" w:eastAsia="Cambria" w:hAnsi="Cambria"/>
          <w:color w:val="333333"/>
          <w:sz w:val="22"/>
          <w:szCs w:val="22"/>
        </w:rPr>
        <w:t xml:space="preserve"> from Lab 02 (including force_length, calcium_dynamics, force_velocity_multiplier).</w:t>
      </w:r>
    </w:p>
    <w:p>
      <w:pPr>
        <w:pStyle w:val="Heading1"/>
        <w:spacing w:after="200" w:before="360"/>
      </w:pPr>
      <w:r>
        <w:rPr>
          <w:rFonts w:ascii="Georgia" w:cs="Georgia" w:eastAsia="Georgia" w:hAnsi="Georgia"/>
          <w:b/>
          <w:bCs/>
          <w:color w:val="1B2A4A"/>
          <w:sz w:val="30"/>
          <w:szCs w:val="30"/>
        </w:rPr>
        <w:t xml:space="preserve">Part 1: Characterize the Muscle Speed Limit (20 pts)</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Tasks 1.1–1.3 (15 pts)</w:t>
      </w:r>
    </w:p>
    <w:p>
      <w:pPr>
        <w:spacing w:after="160" w:line="300"/>
      </w:pPr>
      <w:r>
        <w:rPr>
          <w:rFonts w:ascii="Cambria" w:cs="Cambria" w:eastAsia="Cambria" w:hAnsi="Cambria"/>
          <w:color w:val="333333"/>
          <w:sz w:val="22"/>
          <w:szCs w:val="22"/>
        </w:rPr>
        <w:t xml:space="preserve">COMPLETE the step response (measure rise times at 50%, 90%, 99%), the braking response (measure decay time to 10% of peak), and compute the 1D overshoot at 0.5 m/s hand speed.</w:t>
      </w:r>
    </w:p>
    <w:p>
      <w:pPr>
        <w:pStyle w:val="Heading2"/>
        <w:pBdr>
          <w:bottom w:val="single" w:color="2E86AB" w:sz="1" w:space="4"/>
        </w:pBdr>
        <w:spacing w:after="160" w:before="300"/>
      </w:pPr>
      <w:r>
        <w:rPr>
          <w:rFonts w:ascii="Georgia" w:cs="Georgia" w:eastAsia="Georgia" w:hAnsi="Georgia"/>
          <w:b/>
          <w:bCs/>
          <w:color w:val="2E86AB"/>
          <w:sz w:val="24"/>
          <w:szCs w:val="24"/>
        </w:rPr>
        <w:t xml:space="preserve">Question 1.1 (5 pts)</w:t>
      </w:r>
    </w:p>
    <w:p>
      <w:pPr>
        <w:spacing w:after="160" w:line="300"/>
      </w:pPr>
      <w:r>
        <w:rPr>
          <w:rFonts w:ascii="Cambria" w:cs="Cambria" w:eastAsia="Cambria" w:hAnsi="Cambria"/>
          <w:color w:val="333333"/>
          <w:sz w:val="22"/>
          <w:szCs w:val="22"/>
        </w:rPr>
        <w:t xml:space="preserve">Why does force continue to rise after the braking command? At 0.5 m/s, how far does the hand overshoot? What must the brain do instead of reactive braking?</w:t>
      </w:r>
    </w:p>
    <w:p>
      <w:pPr>
        <w:pStyle w:val="Heading1"/>
        <w:spacing w:after="200" w:before="360"/>
      </w:pPr>
      <w:r>
        <w:rPr>
          <w:rFonts w:ascii="Georgia" w:cs="Georgia" w:eastAsia="Georgia" w:hAnsi="Georgia"/>
          <w:b/>
          <w:bCs/>
          <w:color w:val="1B2A4A"/>
          <w:sz w:val="30"/>
          <w:szCs w:val="30"/>
        </w:rPr>
        <w:t xml:space="preserve">Part 2: Set Up the Reaching Experiment (15 pts)</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2.1 — Place Targets and Verify (5 pts)</w:t>
      </w:r>
    </w:p>
    <w:p>
      <w:pPr>
        <w:spacing w:after="160" w:line="300"/>
      </w:pPr>
      <w:r>
        <w:rPr>
          <w:rFonts w:ascii="Cambria" w:cs="Cambria" w:eastAsia="Cambria" w:hAnsi="Cambria"/>
          <w:color w:val="333333"/>
          <w:sz w:val="22"/>
          <w:szCs w:val="22"/>
        </w:rPr>
        <w:t xml:space="preserve">COMPLETE the code to place 8 targets at 10 cm from the start posture and verify all are reachable via IK (reuses HW01 code).</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2.2 — Walk Through ONE Direction (10 pts)</w:t>
      </w:r>
    </w:p>
    <w:p>
      <w:pPr>
        <w:spacing w:after="160" w:line="300"/>
      </w:pPr>
      <w:r>
        <w:rPr>
          <w:rFonts w:ascii="Cambria" w:cs="Cambria" w:eastAsia="Cambria" w:hAnsi="Cambria"/>
          <w:color w:val="333333"/>
          <w:sz w:val="22"/>
          <w:szCs w:val="22"/>
        </w:rPr>
        <w:t xml:space="preserve">Before looping, COMPLETE the step-by-step computation for the 0° direction: IK → Δq → peak joint velocity. Print all intermediate values.</w:t>
      </w:r>
    </w:p>
    <w:p>
      <w:pPr>
        <w:pStyle w:val="Heading1"/>
        <w:spacing w:after="200" w:before="360"/>
      </w:pPr>
      <w:r>
        <w:rPr>
          <w:rFonts w:ascii="Georgia" w:cs="Georgia" w:eastAsia="Georgia" w:hAnsi="Georgia"/>
          <w:b/>
          <w:bCs/>
          <w:color w:val="1B2A4A"/>
          <w:sz w:val="30"/>
          <w:szCs w:val="30"/>
        </w:rPr>
        <w:t xml:space="preserve">Part 3: Direction-Dependent Joint Demands (15 pts)</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3.1 — All 8 Directions (10 pts)</w:t>
      </w:r>
    </w:p>
    <w:p>
      <w:pPr>
        <w:spacing w:after="160" w:line="300"/>
      </w:pPr>
      <w:r>
        <w:rPr>
          <w:rFonts w:ascii="Cambria" w:cs="Cambria" w:eastAsia="Cambria" w:hAnsi="Cambria"/>
          <w:color w:val="333333"/>
          <w:sz w:val="22"/>
          <w:szCs w:val="22"/>
        </w:rPr>
        <w:t xml:space="preserve">Extend your single-direction template to all 8 targets. COMPLETE the loop and create a polar plot of peak joint speed vs. direction.</w:t>
      </w:r>
    </w:p>
    <w:p>
      <w:pPr>
        <w:pStyle w:val="Heading2"/>
        <w:pBdr>
          <w:bottom w:val="single" w:color="2E86AB" w:sz="1" w:space="4"/>
        </w:pBdr>
        <w:spacing w:after="160" w:before="300"/>
      </w:pPr>
      <w:r>
        <w:rPr>
          <w:rFonts w:ascii="Georgia" w:cs="Georgia" w:eastAsia="Georgia" w:hAnsi="Georgia"/>
          <w:b/>
          <w:bCs/>
          <w:color w:val="2E86AB"/>
          <w:sz w:val="24"/>
          <w:szCs w:val="24"/>
        </w:rPr>
        <w:t xml:space="preserve">Question 3.1 (5 pts)</w:t>
      </w:r>
    </w:p>
    <w:p>
      <w:pPr>
        <w:spacing w:after="160" w:line="300"/>
      </w:pPr>
      <w:r>
        <w:rPr>
          <w:rFonts w:ascii="Cambria" w:cs="Cambria" w:eastAsia="Cambria" w:hAnsi="Cambria"/>
          <w:color w:val="333333"/>
          <w:sz w:val="22"/>
          <w:szCs w:val="22"/>
        </w:rPr>
        <w:t xml:space="preserve">Which direction demands the fastest joints? Is it the same as HW01’s “hard” direction?</w:t>
      </w:r>
    </w:p>
    <w:p>
      <w:pPr>
        <w:pStyle w:val="Heading1"/>
        <w:spacing w:after="200" w:before="360"/>
      </w:pPr>
      <w:r>
        <w:rPr>
          <w:rFonts w:ascii="Georgia" w:cs="Georgia" w:eastAsia="Georgia" w:hAnsi="Georgia"/>
          <w:b/>
          <w:bCs/>
          <w:color w:val="1B2A4A"/>
          <w:sz w:val="30"/>
          <w:szCs w:val="30"/>
        </w:rPr>
        <w:t xml:space="preserve">Part 4: Predict Direction-Dependent Overshoot (25 pts)</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4.1 — Walk Through ONE Direction: 0° (5 pts)</w:t>
      </w:r>
    </w:p>
    <w:p>
      <w:pPr>
        <w:spacing w:after="160" w:line="300"/>
      </w:pPr>
      <w:r>
        <w:rPr>
          <w:rFonts w:ascii="Cambria" w:cs="Cambria" w:eastAsia="Cambria" w:hAnsi="Cambria"/>
          <w:color w:val="333333"/>
          <w:sz w:val="22"/>
          <w:szCs w:val="22"/>
        </w:rPr>
        <w:t xml:space="preserve">Before looping, COMPLETE the step-by-step computation for the 0° direction: q_overshot = q_target + dq_peak × calcium_delay. Check that q_overshot is within joint limits [0°, 140°] × [0°, 145°]. Map through FK to compute hand overshoot.</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4.2 — All 8 Directions with Joint-Limit Check (10 pts)</w:t>
      </w:r>
    </w:p>
    <w:p>
      <w:pPr>
        <w:spacing w:after="160" w:line="300"/>
      </w:pPr>
      <w:r>
        <w:rPr>
          <w:rFonts w:ascii="Cambria" w:cs="Cambria" w:eastAsia="Cambria" w:hAnsi="Cambria"/>
          <w:color w:val="333333"/>
          <w:sz w:val="22"/>
          <w:szCs w:val="22"/>
        </w:rPr>
        <w:t xml:space="preserve">COMPLETE the loop for all 8 directions. For each, check joint limits, compute hand overshoot, and flag any violations. Report the range and max/min ratio of predicted overshoots.</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4.3 — Polar Overshoot Plot (5 pts)</w:t>
      </w:r>
    </w:p>
    <w:p>
      <w:pPr>
        <w:spacing w:after="160" w:line="300"/>
      </w:pPr>
      <w:r>
        <w:rPr>
          <w:rFonts w:ascii="Cambria" w:cs="Cambria" w:eastAsia="Cambria" w:hAnsi="Cambria"/>
          <w:color w:val="333333"/>
          <w:sz w:val="22"/>
          <w:szCs w:val="22"/>
        </w:rPr>
        <w:t xml:space="preserve">COMPLETE the polar plot of predicted hand overshoot vs. reach direction.</w:t>
      </w:r>
    </w:p>
    <w:p>
      <w:pPr>
        <w:pStyle w:val="Heading2"/>
        <w:pBdr>
          <w:bottom w:val="single" w:color="2E86AB" w:sz="1" w:space="4"/>
        </w:pBdr>
        <w:spacing w:after="160" w:before="300"/>
      </w:pPr>
      <w:r>
        <w:rPr>
          <w:rFonts w:ascii="Georgia" w:cs="Georgia" w:eastAsia="Georgia" w:hAnsi="Georgia"/>
          <w:b/>
          <w:bCs/>
          <w:color w:val="2E86AB"/>
          <w:sz w:val="24"/>
          <w:szCs w:val="24"/>
        </w:rPr>
        <w:t xml:space="preserve">Question 4.1 (5 pts)</w:t>
      </w:r>
    </w:p>
    <w:p>
      <w:pPr>
        <w:spacing w:after="160" w:line="300"/>
      </w:pPr>
      <w:r>
        <w:rPr>
          <w:rFonts w:ascii="Cambria" w:cs="Cambria" w:eastAsia="Cambria" w:hAnsi="Cambria"/>
          <w:b/>
          <w:bCs/>
          <w:color w:val="333333"/>
          <w:sz w:val="22"/>
          <w:szCs w:val="22"/>
        </w:rPr>
        <w:t xml:space="preserve">(a)</w:t>
      </w:r>
      <w:r>
        <w:rPr>
          <w:rFonts w:ascii="Cambria" w:cs="Cambria" w:eastAsia="Cambria" w:hAnsi="Cambria"/>
          <w:color w:val="333333"/>
          <w:sz w:val="22"/>
          <w:szCs w:val="22"/>
        </w:rPr>
        <w:t xml:space="preserve"> Which direction has the smallest/largest predicted overshoot? Report the ratio.</w:t>
      </w:r>
    </w:p>
    <w:p>
      <w:pPr>
        <w:spacing w:after="160" w:line="300"/>
      </w:pPr>
      <w:r>
        <w:rPr>
          <w:rFonts w:ascii="Cambria" w:cs="Cambria" w:eastAsia="Cambria" w:hAnsi="Cambria"/>
          <w:b/>
          <w:bCs/>
          <w:color w:val="333333"/>
          <w:sz w:val="22"/>
          <w:szCs w:val="22"/>
        </w:rPr>
        <w:t xml:space="preserve">(b)</w:t>
      </w:r>
      <w:r>
        <w:rPr>
          <w:rFonts w:ascii="Cambria" w:cs="Cambria" w:eastAsia="Cambria" w:hAnsi="Cambria"/>
          <w:color w:val="333333"/>
          <w:sz w:val="22"/>
          <w:szCs w:val="22"/>
        </w:rPr>
        <w:t xml:space="preserve"> Is the overshoot pattern simply the inverse of the manipulability ellipsoid from HW01? If not, what additional factor shapes it?</w:t>
      </w:r>
    </w:p>
    <w:p>
      <w:pPr>
        <w:spacing w:after="160" w:line="300"/>
      </w:pPr>
      <w:r>
        <w:rPr>
          <w:rFonts w:ascii="Cambria" w:cs="Cambria" w:eastAsia="Cambria" w:hAnsi="Cambria"/>
          <w:b/>
          <w:bCs/>
          <w:color w:val="333333"/>
          <w:sz w:val="22"/>
          <w:szCs w:val="22"/>
        </w:rPr>
        <w:t xml:space="preserve">(c)</w:t>
      </w:r>
      <w:r>
        <w:rPr>
          <w:rFonts w:ascii="Cambria" w:cs="Cambria" w:eastAsia="Cambria" w:hAnsi="Cambria"/>
          <w:color w:val="333333"/>
          <w:sz w:val="22"/>
          <w:szCs w:val="22"/>
        </w:rPr>
        <w:t xml:space="preserve"> Explain the complete logic chain: Jacobian → joint velocities → calcium delay → nonlinear FK → direction-dependent accuracy.</w:t>
      </w:r>
    </w:p>
    <w:p>
      <w:r>
        <w:br w:type="page"/>
      </w:r>
    </w:p>
    <w:p>
      <w:pPr>
        <w:pStyle w:val="Heading1"/>
        <w:spacing w:after="200" w:before="360"/>
      </w:pPr>
      <w:r>
        <w:rPr>
          <w:rFonts w:ascii="Georgia" w:cs="Georgia" w:eastAsia="Georgia" w:hAnsi="Georgia"/>
          <w:b/>
          <w:bCs/>
          <w:color w:val="1B2A4A"/>
          <w:sz w:val="30"/>
          <w:szCs w:val="30"/>
        </w:rPr>
        <w:t xml:space="preserve">Part 5: Methods &amp; Predictions Write-Up (25 pts)</w:t>
      </w:r>
    </w:p>
    <w:p>
      <w:pPr>
        <w:spacing w:after="160" w:line="300"/>
      </w:pPr>
      <w:r>
        <w:rPr>
          <w:rFonts w:ascii="Cambria" w:cs="Cambria" w:eastAsia="Cambria" w:hAnsi="Cambria"/>
          <w:color w:val="333333"/>
          <w:sz w:val="22"/>
          <w:szCs w:val="22"/>
        </w:rPr>
        <w:t xml:space="preserve">Write a Methods and Predictions section (300–500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What to Include (400–600 words)</w:t>
            </w:r>
          </w:p>
          <w:p>
            <w:pPr>
              <w:spacing w:after="160" w:line="300"/>
            </w:pPr>
            <w:r>
              <w:rPr>
                <w:rFonts w:ascii="Cambria" w:cs="Cambria" w:eastAsia="Cambria" w:hAnsi="Cambria"/>
                <w:b/>
                <w:bCs/>
                <w:color w:val="333333"/>
                <w:sz w:val="22"/>
                <w:szCs w:val="22"/>
              </w:rPr>
              <w:t xml:space="preserve">Methods (~150 words):</w:t>
            </w:r>
            <w:r>
              <w:rPr>
                <w:rFonts w:ascii="Cambria" w:cs="Cambria" w:eastAsia="Cambria" w:hAnsi="Cambria"/>
                <w:color w:val="333333"/>
                <w:sz w:val="22"/>
                <w:szCs w:val="22"/>
              </w:rPr>
              <w:t xml:space="preserve"> Describe the arm model, the 8 reach directions, the movement parameters, and how you computed direction-dependent overshoot from the Jacobian and calcium delay.</w:t>
            </w:r>
          </w:p>
        </w:tc>
      </w:tr>
    </w:tbl>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Results (~150 words)</w:t>
            </w:r>
          </w:p>
          <w:p>
            <w:pPr>
              <w:spacing w:after="160" w:line="300"/>
            </w:pPr>
            <w:r>
              <w:rPr>
                <w:rFonts w:ascii="Cambria" w:cs="Cambria" w:eastAsia="Cambria" w:hAnsi="Cambria"/>
                <w:color w:val="333333"/>
                <w:sz w:val="22"/>
                <w:szCs w:val="22"/>
              </w:rPr>
              <w:t xml:space="preserve">Report the direction-dependent overshoot range and ratio. Include your polar plot.</w:t>
            </w:r>
          </w:p>
        </w:tc>
      </w:tr>
    </w:tbl>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Predictions (~150–300 words)</w:t>
            </w:r>
          </w:p>
          <w:p>
            <w:pPr>
              <w:spacing w:after="160" w:line="300"/>
            </w:pPr>
            <w:r>
              <w:rPr>
                <w:rFonts w:ascii="Cambria" w:cs="Cambria" w:eastAsia="Cambria" w:hAnsi="Cambria"/>
                <w:color w:val="333333"/>
                <w:sz w:val="22"/>
                <w:szCs w:val="22"/>
              </w:rPr>
              <w:t xml:space="preserve">Explain the logic chain (Jacobian × calcium delay → directional accuracy). Note consistency with Gordon et al. (1994). Connect to optimal motor planning (Weeks 12–14).</w:t>
            </w:r>
          </w:p>
        </w:tc>
      </w:tr>
    </w:tbl>
    <w:p>
      <w:pPr>
        <w:spacing w:before="100"/>
      </w:pPr>
    </w:p>
    <w:p>
      <w:pPr>
        <w:spacing w:after="160" w:line="300"/>
      </w:pPr>
      <w:r>
        <w:rPr>
          <w:rFonts w:ascii="Cambria" w:cs="Cambria" w:eastAsia="Cambria" w:hAnsi="Cambria"/>
          <w:b/>
          <w:bCs/>
          <w:color w:val="333333"/>
          <w:sz w:val="22"/>
          <w:szCs w:val="22"/>
        </w:rPr>
        <w:t xml:space="preserve">Format:</w:t>
      </w:r>
      <w:r>
        <w:rPr>
          <w:rFonts w:ascii="Cambria" w:cs="Cambria" w:eastAsia="Cambria" w:hAnsi="Cambria"/>
          <w:color w:val="333333"/>
          <w:sz w:val="22"/>
          <w:szCs w:val="22"/>
        </w:rPr>
        <w:t xml:space="preserve"> Third person, past tense. Include one figure as “Figure 1.”</w:t>
      </w:r>
    </w:p>
    <w:p>
      <w:pPr>
        <w:pStyle w:val="Heading1"/>
        <w:spacing w:after="200" w:before="360"/>
      </w:pPr>
      <w:r>
        <w:rPr>
          <w:rFonts w:ascii="Georgia" w:cs="Georgia" w:eastAsia="Georgia" w:hAnsi="Georgia"/>
          <w:b/>
          <w:bCs/>
          <w:color w:val="1B2A4A"/>
          <w:sz w:val="30"/>
          <w:szCs w:val="30"/>
        </w:rPr>
        <w:t xml:space="preserve">Grading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B8C9D9" w:sz="1"/>
              <w:left w:val="single" w:color="B8C9D9" w:sz="1"/>
              <w:bottom w:val="single" w:color="B8C9D9" w:sz="1"/>
              <w:right w:val="single" w:color="B8C9D9" w:sz="1"/>
            </w:tcBorders>
            <w:shd w:fill="1B2A4A" w:val="clear"/>
            <w:tcMar>
              <w:top w:type="dxa" w:w="60"/>
              <w:left w:type="dxa" w:w="120"/>
              <w:bottom w:type="dxa" w:w="60"/>
              <w:right w:type="dxa" w:w="120"/>
            </w:tcMar>
          </w:tcPr>
          <w:p>
            <w:pPr>
              <w:spacing w:after="0"/>
            </w:pPr>
            <w:r>
              <w:rPr>
                <w:rFonts w:ascii="Georgia" w:cs="Georgia" w:eastAsia="Georgia" w:hAnsi="Georgia"/>
                <w:b/>
                <w:bCs/>
                <w:color w:val="FFFFFF"/>
                <w:sz w:val="20"/>
                <w:szCs w:val="20"/>
              </w:rPr>
              <w:t xml:space="preserve">Component</w:t>
            </w:r>
          </w:p>
        </w:tc>
        <w:tc>
          <w:tcPr>
            <w:tcW w:type="dxa" w:w="3360"/>
            <w:tcBorders>
              <w:top w:val="single" w:color="B8C9D9" w:sz="1"/>
              <w:left w:val="single" w:color="B8C9D9" w:sz="1"/>
              <w:bottom w:val="single" w:color="B8C9D9" w:sz="1"/>
              <w:right w:val="single" w:color="B8C9D9" w:sz="1"/>
            </w:tcBorders>
            <w:shd w:fill="1B2A4A" w:val="clear"/>
            <w:tcMar>
              <w:top w:type="dxa" w:w="60"/>
              <w:left w:type="dxa" w:w="120"/>
              <w:bottom w:type="dxa" w:w="60"/>
              <w:right w:type="dxa" w:w="120"/>
            </w:tcMar>
          </w:tcPr>
          <w:p>
            <w:pPr>
              <w:spacing w:after="0"/>
            </w:pPr>
            <w:r>
              <w:rPr>
                <w:rFonts w:ascii="Georgia" w:cs="Georgia" w:eastAsia="Georgia" w:hAnsi="Georgia"/>
                <w:b/>
                <w:bCs/>
                <w:color w:val="FFFFFF"/>
                <w:sz w:val="20"/>
                <w:szCs w:val="20"/>
              </w:rPr>
              <w:t xml:space="preserve">Points</w:t>
            </w:r>
          </w:p>
        </w:tc>
      </w:tr>
      <w:tr>
        <w:tc>
          <w:tcPr>
            <w:tcW w:type="dxa" w:w="600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Part 1: Characterize the Muscle Speed Limit</w:t>
            </w:r>
          </w:p>
        </w:tc>
        <w:tc>
          <w:tcPr>
            <w:tcW w:type="dxa" w:w="336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20 pts</w:t>
            </w:r>
          </w:p>
        </w:tc>
      </w:tr>
      <w:tr>
        <w:tc>
          <w:tcPr>
            <w:tcW w:type="dxa" w:w="6000"/>
            <w:tcBorders>
              <w:top w:val="single" w:color="B8C9D9" w:sz="1"/>
              <w:left w:val="single" w:color="B8C9D9" w:sz="1"/>
              <w:bottom w:val="single" w:color="B8C9D9" w:sz="1"/>
              <w:right w:val="single" w:color="B8C9D9" w:sz="1"/>
            </w:tcBorders>
            <w:tcMar>
              <w:top w:type="dxa" w:w="60"/>
              <w:left w:type="dxa" w:w="120"/>
              <w:bottom w:type="dxa" w:w="60"/>
              <w:right w:type="dxa" w:w="120"/>
            </w:tcMar>
          </w:tcPr>
          <w:p>
            <w:pPr>
              <w:spacing w:after="0"/>
            </w:pPr>
            <w:r>
              <w:rPr>
                <w:rFonts w:ascii="Cambria" w:cs="Cambria" w:eastAsia="Cambria" w:hAnsi="Cambria"/>
                <w:color w:val="333333"/>
                <w:sz w:val="20"/>
                <w:szCs w:val="20"/>
              </w:rPr>
              <w:t xml:space="preserve">Part 2: Set Up the Reaching Experiment</w:t>
            </w:r>
          </w:p>
        </w:tc>
        <w:tc>
          <w:tcPr>
            <w:tcW w:type="dxa" w:w="3360"/>
            <w:tcBorders>
              <w:top w:val="single" w:color="B8C9D9" w:sz="1"/>
              <w:left w:val="single" w:color="B8C9D9" w:sz="1"/>
              <w:bottom w:val="single" w:color="B8C9D9" w:sz="1"/>
              <w:right w:val="single" w:color="B8C9D9" w:sz="1"/>
            </w:tcBorders>
            <w:tcMar>
              <w:top w:type="dxa" w:w="60"/>
              <w:left w:type="dxa" w:w="120"/>
              <w:bottom w:type="dxa" w:w="60"/>
              <w:right w:type="dxa" w:w="120"/>
            </w:tcMar>
          </w:tcPr>
          <w:p>
            <w:pPr>
              <w:spacing w:after="0"/>
            </w:pPr>
            <w:r>
              <w:rPr>
                <w:rFonts w:ascii="Cambria" w:cs="Cambria" w:eastAsia="Cambria" w:hAnsi="Cambria"/>
                <w:color w:val="333333"/>
                <w:sz w:val="20"/>
                <w:szCs w:val="20"/>
              </w:rPr>
              <w:t xml:space="preserve">15 pts</w:t>
            </w:r>
          </w:p>
        </w:tc>
      </w:tr>
      <w:tr>
        <w:tc>
          <w:tcPr>
            <w:tcW w:type="dxa" w:w="600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Part 3: Direction-Dependent Joint Demands</w:t>
            </w:r>
          </w:p>
        </w:tc>
        <w:tc>
          <w:tcPr>
            <w:tcW w:type="dxa" w:w="336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15 pts</w:t>
            </w:r>
          </w:p>
        </w:tc>
      </w:tr>
      <w:tr>
        <w:tc>
          <w:tcPr>
            <w:tcW w:type="dxa" w:w="6000"/>
            <w:tcBorders>
              <w:top w:val="single" w:color="B8C9D9" w:sz="1"/>
              <w:left w:val="single" w:color="B8C9D9" w:sz="1"/>
              <w:bottom w:val="single" w:color="B8C9D9" w:sz="1"/>
              <w:right w:val="single" w:color="B8C9D9" w:sz="1"/>
            </w:tcBorders>
            <w:tcMar>
              <w:top w:type="dxa" w:w="60"/>
              <w:left w:type="dxa" w:w="120"/>
              <w:bottom w:type="dxa" w:w="60"/>
              <w:right w:type="dxa" w:w="120"/>
            </w:tcMar>
          </w:tcPr>
          <w:p>
            <w:pPr>
              <w:spacing w:after="0"/>
            </w:pPr>
            <w:r>
              <w:rPr>
                <w:rFonts w:ascii="Cambria" w:cs="Cambria" w:eastAsia="Cambria" w:hAnsi="Cambria"/>
                <w:color w:val="333333"/>
                <w:sz w:val="20"/>
                <w:szCs w:val="20"/>
              </w:rPr>
              <w:t xml:space="preserve">Part 4: Predict Direction-Dependent Overshoot</w:t>
            </w:r>
          </w:p>
        </w:tc>
        <w:tc>
          <w:tcPr>
            <w:tcW w:type="dxa" w:w="3360"/>
            <w:tcBorders>
              <w:top w:val="single" w:color="B8C9D9" w:sz="1"/>
              <w:left w:val="single" w:color="B8C9D9" w:sz="1"/>
              <w:bottom w:val="single" w:color="B8C9D9" w:sz="1"/>
              <w:right w:val="single" w:color="B8C9D9" w:sz="1"/>
            </w:tcBorders>
            <w:tcMar>
              <w:top w:type="dxa" w:w="60"/>
              <w:left w:type="dxa" w:w="120"/>
              <w:bottom w:type="dxa" w:w="60"/>
              <w:right w:type="dxa" w:w="120"/>
            </w:tcMar>
          </w:tcPr>
          <w:p>
            <w:pPr>
              <w:spacing w:after="0"/>
            </w:pPr>
            <w:r>
              <w:rPr>
                <w:rFonts w:ascii="Cambria" w:cs="Cambria" w:eastAsia="Cambria" w:hAnsi="Cambria"/>
                <w:color w:val="333333"/>
                <w:sz w:val="20"/>
                <w:szCs w:val="20"/>
              </w:rPr>
              <w:t xml:space="preserve">25 pts</w:t>
            </w:r>
          </w:p>
        </w:tc>
      </w:tr>
      <w:tr>
        <w:tc>
          <w:tcPr>
            <w:tcW w:type="dxa" w:w="600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Part 5: Methods &amp; Predictions Write-Up</w:t>
            </w:r>
          </w:p>
        </w:tc>
        <w:tc>
          <w:tcPr>
            <w:tcW w:type="dxa" w:w="336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25 pts</w:t>
            </w:r>
          </w:p>
        </w:tc>
      </w:tr>
      <w:tr>
        <w:tc>
          <w:tcPr>
            <w:tcW w:type="dxa" w:w="6000"/>
            <w:tcBorders>
              <w:top w:val="single" w:color="B8C9D9" w:sz="1"/>
              <w:left w:val="single" w:color="B8C9D9" w:sz="1"/>
              <w:bottom w:val="single" w:color="B8C9D9" w:sz="1"/>
              <w:right w:val="single" w:color="B8C9D9" w:sz="1"/>
            </w:tcBorders>
            <w:shd w:fill="E8F1F8"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Total</w:t>
            </w:r>
          </w:p>
        </w:tc>
        <w:tc>
          <w:tcPr>
            <w:tcW w:type="dxa" w:w="3360"/>
            <w:tcBorders>
              <w:top w:val="single" w:color="B8C9D9" w:sz="1"/>
              <w:left w:val="single" w:color="B8C9D9" w:sz="1"/>
              <w:bottom w:val="single" w:color="B8C9D9" w:sz="1"/>
              <w:right w:val="single" w:color="B8C9D9" w:sz="1"/>
            </w:tcBorders>
            <w:shd w:fill="E8F1F8"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100 pts</w:t>
            </w:r>
          </w:p>
        </w:tc>
      </w:tr>
    </w:tbl>
    <w:p>
      <w:pPr>
        <w:spacing w:before="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Submission</w:t>
            </w:r>
          </w:p>
          <w:p>
            <w:pPr>
              <w:spacing w:after="160" w:line="300"/>
            </w:pPr>
            <w:r>
              <w:rPr>
                <w:rFonts w:ascii="Cambria" w:cs="Cambria" w:eastAsia="Cambria" w:hAnsi="Cambria"/>
                <w:color w:val="333333"/>
                <w:sz w:val="22"/>
                <w:szCs w:val="22"/>
              </w:rPr>
              <w:t xml:space="preserve">Submit your completed </w:t>
            </w:r>
            <w:r>
              <w:rPr>
                <w:rFonts w:ascii="Cambria" w:cs="Cambria" w:eastAsia="Cambria" w:hAnsi="Cambria"/>
                <w:b/>
                <w:bCs/>
                <w:color w:val="333333"/>
                <w:sz w:val="22"/>
                <w:szCs w:val="22"/>
              </w:rPr>
              <w:t xml:space="preserve">HW02_MuscleSpeedLimit.ipynb</w:t>
            </w:r>
            <w:r>
              <w:rPr>
                <w:rFonts w:ascii="Cambria" w:cs="Cambria" w:eastAsia="Cambria" w:hAnsi="Cambria"/>
                <w:color w:val="333333"/>
                <w:sz w:val="22"/>
                <w:szCs w:val="22"/>
              </w:rPr>
              <w:t xml:space="preserve"> notebook via the course portal. Ensure all cells run without errors and all figures are visible.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r>
    <w:r>
      <w:rPr>
        <w:rFonts w:ascii="Cambria" w:cs="Cambria" w:eastAsia="Cambria" w:hAnsi="Cambr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2" w:space="4"/>
      </w:pBdr>
      <w:tabs>
        <w:tab w:val="right" w:pos="9026"/>
      </w:tabs>
      <w:spacing w:after="0"/>
    </w:pPr>
    <w:r>
      <w:rPr>
        <w:rFonts w:ascii="Georgia" w:cs="Georgia" w:eastAsia="Georgia" w:hAnsi="Georgia"/>
        <w:color w:val="2E86AB"/>
        <w:sz w:val="18"/>
        <w:szCs w:val="18"/>
      </w:rPr>
      <w:t xml:space="preserve">Computational Sensorimotor Control</w:t>
    </w:r>
    <w:r>
      <w:rPr>
        <w:rFonts w:ascii="Georgia" w:cs="Georgia" w:eastAsia="Georgia" w:hAnsi="Georgia"/>
        <w:color w:val="666666"/>
        <w:sz w:val="18"/>
        <w:szCs w:val="18"/>
      </w:rPr>
      <w:t xml:space="preserve">	Homework 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B2A4A"/>
      <w:sz w:val="30"/>
      <w:szCs w:val="30"/>
    </w:rPr>
  </w:style>
  <w:style w:type="paragraph" w:styleId="Heading2">
    <w:name w:val="Heading 2"/>
    <w:basedOn w:val="Normal"/>
    <w:next w:val="Normal"/>
    <w:qFormat/>
    <w:pPr>
      <w:spacing w:after="160" w:before="300"/>
      <w:outlineLvl w:val="1"/>
    </w:pPr>
    <w:rPr>
      <w:rFonts w:ascii="Georgia" w:cs="Georgia" w:eastAsia="Georgia" w:hAnsi="Georgia"/>
      <w:b/>
      <w:bCs/>
      <w:color w:val="2E86A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2026-03-10T00:27:18.562Z</dcterms:created>
  <dcterms:modified xsi:type="dcterms:W3CDTF">2026-03-10T00:27:18.563Z</dcterms:modified>
</cp:coreProperties>
</file>

<file path=docProps/custom.xml><?xml version="1.0" encoding="utf-8"?>
<Properties xmlns="http://schemas.openxmlformats.org/officeDocument/2006/custom-properties" xmlns:vt="http://schemas.openxmlformats.org/officeDocument/2006/docPropsVTypes"/>
</file>