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Umowa zawarta dnia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{date}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4.)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Klient zobowiązuje się uiścić opłaty za Kurs w ratach i terminach zgodnie z punktem 2 niniejszej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</w:t>
        <w:br/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w mediach społecznościow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b w:val="false"/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3"/>
        <w:gridCol w:w="729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9"/>
        <w:gridCol w:w="2970"/>
      </w:tblGrid>
      <w:tr>
        <w:trPr/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LibreOffice/7.3.7.2$Linux_X86_64 LibreOffice_project/30$Build-2</Application>
  <AppVersion>15.0000</AppVersion>
  <Pages>4</Pages>
  <Words>904</Words>
  <Characters>5285</Characters>
  <CharactersWithSpaces>6083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2024-04-12T22:37:40Z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