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0e6ea91f436a9015abfe76f45bbcc908c047744"/>
    <w:p>
      <w:pPr>
        <w:pStyle w:val="Heading1"/>
      </w:pPr>
      <w:r>
        <w:t xml:space="preserve">A step forward in charting the future of AI in higher education</w:t>
      </w:r>
    </w:p>
    <w:p>
      <w:pPr>
        <w:pStyle w:val="BlockText"/>
      </w:pPr>
      <w:r>
        <w:rPr>
          <w:b/>
          <w:bCs/>
        </w:rPr>
        <w:t xml:space="preserve">Original URL:</w:t>
      </w:r>
      <w:r>
        <w:t xml:space="preserve"> </w:t>
      </w:r>
      <w:hyperlink w:tgtFrame="_blank" r:id="rId20">
        <w:r>
          <w:rPr>
            <w:rStyle w:val="Hyperlink"/>
          </w:rPr>
          <w:t xml:space="preserve">https://tech.asu.edu/features/a-step-forward-in-charting-the-future-of-AI-in-higher-education</w:t>
        </w:r>
      </w:hyperlink>
      <w:r>
        <w:t xml:space="preserve"> </w:t>
      </w:r>
      <w:r>
        <w:rPr>
          <w:b/>
          <w:bCs/>
        </w:rPr>
        <w:t xml:space="preserve">Publisher:</w:t>
      </w:r>
      <w:r>
        <w:t xml:space="preserve"> </w:t>
      </w:r>
      <w:r>
        <w:t xml:space="preserve">ASU Enterprise Technology —</w:t>
      </w:r>
      <w:r>
        <w:t xml:space="preserve"> </w:t>
      </w:r>
      <w:r>
        <w:rPr>
          <w:b/>
          <w:bCs/>
        </w:rPr>
        <w:t xml:space="preserve">Published:</w:t>
      </w:r>
      <w:r>
        <w:t xml:space="preserve"> </w:t>
      </w:r>
      <w:r>
        <w:t xml:space="preserve">2024-05-30 —</w:t>
      </w:r>
      <w:r>
        <w:t xml:space="preserve"> </w:t>
      </w:r>
      <w:r>
        <w:rPr>
          <w:b/>
          <w:bCs/>
        </w:rPr>
        <w:t xml:space="preserve">Retrieved:</w:t>
      </w:r>
      <w:r>
        <w:t xml:space="preserve"> </w:t>
      </w:r>
      <w:r>
        <w:t xml:space="preserve">2026-07-24 —</w:t>
      </w:r>
      <w:r>
        <w:t xml:space="preserve"> </w:t>
      </w:r>
      <w:r>
        <w:rPr>
          <w:b/>
          <w:bCs/>
        </w:rPr>
        <w:t xml:space="preserve">Type:</w:t>
      </w:r>
      <w:r>
        <w:t xml:space="preserve"> </w:t>
      </w:r>
      <w:r>
        <w:t xml:space="preserve">news-article</w:t>
      </w:r>
    </w:p>
    <w:p>
      <w:pPr>
        <w:pStyle w:val="FirstParagraph"/>
      </w:pPr>
      <w:r>
        <w:rPr>
          <w:b/>
          <w:bCs/>
        </w:rPr>
        <w:t xml:space="preserve">Date:</w:t>
      </w:r>
      <w:r>
        <w:t xml:space="preserve"> </w:t>
      </w:r>
      <w:r>
        <w:t xml:space="preserve">May 30, 2024 —</w:t>
      </w:r>
      <w:r>
        <w:t xml:space="preserve"> </w:t>
      </w:r>
      <w:r>
        <w:rPr>
          <w:b/>
          <w:bCs/>
        </w:rPr>
        <w:t xml:space="preserve">Authors:</w:t>
      </w:r>
      <w:r>
        <w:t xml:space="preserve"> </w:t>
      </w:r>
      <w:r>
        <w:t xml:space="preserve">Annie Davis, Jonathan Crowell</w:t>
      </w:r>
    </w:p>
    <w:p>
      <w:pPr>
        <w:pStyle w:val="BodyText"/>
      </w:pPr>
      <w:r>
        <w:t xml:space="preserve">Earlier today, OpenAI announced its newest offering:</w:t>
      </w:r>
      <w:r>
        <w:t xml:space="preserve"> </w:t>
      </w:r>
      <w:r>
        <w:rPr>
          <w:b/>
          <w:bCs/>
        </w:rPr>
        <w:t xml:space="preserve">ChatGPT Edu</w:t>
      </w:r>
      <w:r>
        <w:t xml:space="preserve"> </w:t>
      </w:r>
      <w:r>
        <w:t xml:space="preserve">— a version of ChatGPT built for universities to responsibly deploy AI to students, faculty, researchers, and campus operations. Arizona State University — which officially launched its collaboration with OpenAI in January — played a key role in helping inform the new offering.</w:t>
      </w:r>
    </w:p>
    <w:p>
      <w:pPr>
        <w:pStyle w:val="BodyText"/>
      </w:pPr>
      <w:r>
        <w:t xml:space="preserve">"ASU has a longstanding history of working with industry leaders to inform their market strategy for education," shared</w:t>
      </w:r>
      <w:r>
        <w:t xml:space="preserve"> </w:t>
      </w:r>
      <w:r>
        <w:rPr>
          <w:b/>
          <w:bCs/>
        </w:rPr>
        <w:t xml:space="preserve">Lev Gonick</w:t>
      </w:r>
      <w:r>
        <w:t xml:space="preserve">, ASU's chief information officer. "This is important as it places ASU at the forefront of advances in technology."</w:t>
      </w:r>
    </w:p>
    <w:p>
      <w:pPr>
        <w:pStyle w:val="BodyText"/>
      </w:pPr>
      <w:r>
        <w:t xml:space="preserve">Since February, the university activated</w:t>
      </w:r>
      <w:r>
        <w:t xml:space="preserve"> </w:t>
      </w:r>
      <w:r>
        <w:rPr>
          <w:b/>
          <w:bCs/>
        </w:rPr>
        <w:t xml:space="preserve">over 200 projects using ChatGPT Enterprise</w:t>
      </w:r>
      <w:r>
        <w:t xml:space="preserve"> </w:t>
      </w:r>
      <w:r>
        <w:t xml:space="preserve">across academic, research and work environments through its AI Innovation Challenge. "We have a lot of evidence of success underway and have been working in lockstep with OpenAI to provide feedback on ways to enhance ChatGPT to meet the needs of an academic setting," Gonick noted.</w:t>
      </w:r>
    </w:p>
    <w:bookmarkStart w:id="21" w:name="key-insights-and-feedback-pave-the-way"/>
    <w:p>
      <w:pPr>
        <w:pStyle w:val="Heading2"/>
      </w:pPr>
      <w:r>
        <w:t xml:space="preserve">Key insights and feedback pave the way</w:t>
      </w:r>
    </w:p>
    <w:p>
      <w:pPr>
        <w:pStyle w:val="FirstParagraph"/>
      </w:pPr>
      <w:r>
        <w:t xml:space="preserve">OpenAI rolled out ChatGPT Edu in summer 2024 with GPT-4o access, robust administrative controls and data security. The AI Acceleration team at ASU had been instrumental in coordinating the ChatGPT Enterprise deployment.</w:t>
      </w:r>
    </w:p>
    <w:p>
      <w:pPr>
        <w:pStyle w:val="BodyText"/>
      </w:pPr>
      <w:r>
        <w:t xml:space="preserve">"We prioritize access and impact in all our work, and ChatGPT Edu is a good step in that direction at ASU and beyond," shared</w:t>
      </w:r>
      <w:r>
        <w:t xml:space="preserve"> </w:t>
      </w:r>
      <w:r>
        <w:rPr>
          <w:b/>
          <w:bCs/>
        </w:rPr>
        <w:t xml:space="preserve">Elizabeth Reilley</w:t>
      </w:r>
      <w:r>
        <w:t xml:space="preserve">, executive director of AI Acceleration.</w:t>
      </w:r>
    </w:p>
    <w:p>
      <w:pPr>
        <w:pStyle w:val="BodyText"/>
      </w:pPr>
      <w:r>
        <w:t xml:space="preserve">"In line with our commitment to principled innovation impact-focused AI strategy, we have invested in evaluating and collecting feedback from our community," Reilley shared. "The OpenAI team has been highly responsive, translating our insights into action by releasing new features and offerings."</w:t>
      </w:r>
    </w:p>
    <w:p>
      <w:pPr>
        <w:pStyle w:val="BodyText"/>
      </w:pPr>
      <w:r>
        <w:t xml:space="preserve">ASU's work helped inform new administration controls, like group permissions and System for Cross-domain Identity Management (SCIM), available under ChatGPT Edu. "It's great to see our work have an impact beyond ASU," Reilley continued. Work was underway to enable ASU community access to ChatGPT Edu as early as fall 2024.</w:t>
      </w:r>
    </w:p>
    <w:bookmarkEnd w:id="21"/>
    <w:bookmarkStart w:id="22" w:name="Xe35ccc51dae6b2333b6b2043d80666aa7395fc2"/>
    <w:p>
      <w:pPr>
        <w:pStyle w:val="Heading2"/>
      </w:pPr>
      <w:r>
        <w:t xml:space="preserve">100+ projects underway at ASU this summer</w:t>
      </w:r>
    </w:p>
    <w:p>
      <w:pPr>
        <w:pStyle w:val="FirstParagraph"/>
      </w:pPr>
      <w:r>
        <w:t xml:space="preserve">To date the university had activated</w:t>
      </w:r>
      <w:r>
        <w:t xml:space="preserve"> </w:t>
      </w:r>
      <w:r>
        <w:rPr>
          <w:b/>
          <w:bCs/>
        </w:rPr>
        <w:t xml:space="preserve">200 projects — 105 projects in spring 2024 and 114 projects underway in summer 2024</w:t>
      </w:r>
      <w:r>
        <w:t xml:space="preserve"> </w:t>
      </w:r>
      <w:r>
        <w:t xml:space="preserve">— with student access added as of summer 2024. Work remained focused on the three areas of impact: enhance teaching and learning, advance research, and improve business operations to create the future of work.</w:t>
      </w:r>
    </w:p>
    <w:p>
      <w:pPr>
        <w:pStyle w:val="BodyText"/>
      </w:pPr>
      <w:r>
        <w:t xml:space="preserve">Examples:</w:t>
      </w:r>
    </w:p>
    <w:p>
      <w:pPr>
        <w:pStyle w:val="Compact"/>
        <w:numPr>
          <w:ilvl w:val="0"/>
          <w:numId w:val="1001"/>
        </w:numPr>
      </w:pPr>
      <w:r>
        <w:rPr>
          <w:b/>
          <w:bCs/>
        </w:rPr>
        <w:t xml:space="preserve">Cognitive Companion AI tutor</w:t>
      </w:r>
      <w:r>
        <w:t xml:space="preserve"> </w:t>
      </w:r>
      <w:r>
        <w:t xml:space="preserve">(School of Social and Behavioral Sciences) — "The goal is for the Cognitive Companion to act as a real course tutor, not just a repository of information, so it will be directly helpful where appropriate while also pushing students to probe and develop their understanding in various contexts," said assistant professor</w:t>
      </w:r>
      <w:r>
        <w:t xml:space="preserve"> </w:t>
      </w:r>
      <w:r>
        <w:rPr>
          <w:b/>
          <w:bCs/>
        </w:rPr>
        <w:t xml:space="preserve">Derek Powell</w:t>
      </w:r>
      <w:r>
        <w:t xml:space="preserve">.</w:t>
      </w:r>
    </w:p>
    <w:p>
      <w:pPr>
        <w:pStyle w:val="Compact"/>
        <w:numPr>
          <w:ilvl w:val="0"/>
          <w:numId w:val="1001"/>
        </w:numPr>
      </w:pPr>
      <w:r>
        <w:rPr>
          <w:b/>
          <w:bCs/>
        </w:rPr>
        <w:t xml:space="preserve">Real-time traffic management system</w:t>
      </w:r>
      <w:r>
        <w:t xml:space="preserve"> </w:t>
      </w:r>
      <w:r>
        <w:t xml:space="preserve">(School of Computing and Augmented Intelligence) — "Our research has the potential to make cities smarter and safer," explained lead undergraduate project researcher</w:t>
      </w:r>
      <w:r>
        <w:t xml:space="preserve"> </w:t>
      </w:r>
      <w:r>
        <w:rPr>
          <w:b/>
          <w:bCs/>
        </w:rPr>
        <w:t xml:space="preserve">Vishnu Nandam</w:t>
      </w:r>
      <w:r>
        <w:t xml:space="preserve">.</w:t>
      </w:r>
    </w:p>
    <w:p>
      <w:pPr>
        <w:pStyle w:val="Compact"/>
        <w:numPr>
          <w:ilvl w:val="0"/>
          <w:numId w:val="1001"/>
        </w:numPr>
      </w:pPr>
      <w:r>
        <w:rPr>
          <w:b/>
          <w:bCs/>
        </w:rPr>
        <w:t xml:space="preserve">Immersive newsroom</w:t>
      </w:r>
      <w:r>
        <w:t xml:space="preserve"> </w:t>
      </w:r>
      <w:r>
        <w:t xml:space="preserve">(Walter Cronkite School of Journalism) — Professor</w:t>
      </w:r>
      <w:r>
        <w:t xml:space="preserve"> </w:t>
      </w:r>
      <w:r>
        <w:rPr>
          <w:b/>
          <w:bCs/>
        </w:rPr>
        <w:t xml:space="preserve">Julia Thompson</w:t>
      </w:r>
      <w:r>
        <w:t xml:space="preserve">: "With this project, we're hoping to test implementations of AI that meet our journalistic standards while also helping us streamline some of our workflows; we also aim to be transparent with our news audience in our use of AI."</w:t>
      </w:r>
    </w:p>
    <w:p>
      <w:pPr>
        <w:pStyle w:val="FirstParagraph"/>
      </w:pPr>
      <w:r>
        <w:t xml:space="preserve">"Both ASU and OpenAI have a shared commitment to fostering environments where innovation can thrive," Gonick concluded.</w:t>
      </w:r>
    </w:p>
    <w:bookmarkEnd w:id="22"/>
    <w:bookmarkStart w:id="25" w:name="referenced-by"/>
    <w:p>
      <w:pPr>
        <w:pStyle w:val="Heading2"/>
      </w:pPr>
      <w:r>
        <w:t xml:space="preserve">Referenced by</w:t>
      </w:r>
    </w:p>
    <w:p>
      <w:pPr>
        <w:pStyle w:val="Compact"/>
        <w:numPr>
          <w:ilvl w:val="0"/>
          <w:numId w:val="1002"/>
        </w:numPr>
      </w:pPr>
      <w:hyperlink w:tgtFrame="_blank" r:id="rId23">
        <w:r>
          <w:rPr>
            <w:rStyle w:val="Hyperlink"/>
          </w:rPr>
          <w:t xml:space="preserve">In-Depth Report</w:t>
        </w:r>
      </w:hyperlink>
    </w:p>
    <w:p>
      <w:pPr>
        <w:pStyle w:val="Compact"/>
        <w:numPr>
          <w:ilvl w:val="0"/>
          <w:numId w:val="1002"/>
        </w:numPr>
      </w:pPr>
      <w:hyperlink w:tgtFrame="_blank" r:id="rId24">
        <w:r>
          <w:rPr>
            <w:rStyle w:val="Hyperlink"/>
          </w:rPr>
          <w:t xml:space="preserve">Summary Report</w:t>
        </w:r>
      </w:hyperlink>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hAnsi="Calibri"/>
      <w:sz w:val="22"/>
      <w:szCs w:val="22"/>
      <w:color w:val="1F1F1F"/>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hd w:color="auto" w:fill="4F2683" w:val="clear"/>
      <w:spacing w:after="160" w:before="240"/>
    </w:pPr>
    <w:rPr>
      <w:rFonts w:ascii="Calibri" w:cs="Calibri" w:hAnsi="Calibri"/>
      <w:color w:val="FFFFFF"/>
      <w:sz w:val="36"/>
      <w:szCs w:val="36"/>
      <w:b/>
    </w:rPr>
  </w:style>
  <w:style w:styleId="Heading2" w:type="paragraph">
    <w:name w:val="heading 2"/>
    <w:basedOn w:val="Normal"/>
    <w:next w:val="BodyText"/>
    <w:link w:val="Heading2Char"/>
    <w:uiPriority w:val="9"/>
    <w:semiHidden/>
    <w:unhideWhenUsed/>
    <w:qFormat/>
    <w:rsid w:val="00A10FD9"/>
    <w:pPr>
      <w:pBdr>
        <w:bottom w:color="4F2683" w:space="4" w:sz="6" w:val="single"/>
      </w:pBdr>
      <w:keepNext/>
      <w:keepLines/>
      <w:outlineLvl w:val="1"/>
      <w:spacing w:after="120" w:before="280"/>
    </w:pPr>
    <w:rPr>
      <w:rFonts w:ascii="Calibri" w:cs="Calibri" w:hAnsi="Calibri"/>
      <w:color w:val="4F2683"/>
      <w:sz w:val="29"/>
      <w:szCs w:val="29"/>
      <w:b/>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Calibri" w:hAnsi="Calibri"/>
      <w:color w:val="4F2683"/>
      <w:sz w:val="25"/>
      <w:szCs w:val="25"/>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iCs/>
      <w:rFonts w:ascii="Calibri" w:cs="Calibri" w:hAnsi="Calibri"/>
      <w:color w:val="4F2683"/>
      <w:sz w:val="23"/>
      <w:szCs w:val="23"/>
      <w:b/>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pBdr>
        <w:left w:color="4F2683" w:space="4" w:sz="24" w:val="single"/>
      </w:pBdr>
      <w:shd w:color="auto" w:fill="F3EFF9" w:val="clear"/>
      <w:spacing w:after="120" w:before="120"/>
      <w:ind w:left="240" w:right="24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D9D2E9" w:space="0" w:sz="4" w:val="single"/>
        <w:left w:color="D9D2E9" w:space="0" w:sz="4" w:val="single"/>
        <w:bottom w:color="D9D2E9" w:space="0" w:sz="4" w:val="single"/>
        <w:right w:color="D9D2E9" w:space="0" w:sz="4" w:val="single"/>
        <w:insideH w:color="D9D2E9" w:space="0" w:sz="4" w:val="single"/>
        <w:insideV w:color="D9D2E9" w:space="0" w:sz="4" w:val="single"/>
      </w:tblBorders>
    </w:tblPr>
    <w:tblStylePr w:type="firstRow">
      <w:tblPr>
        <w:jc w:val="left"/>
        <w:tblInd w:type="dxa" w:w="0"/>
      </w:tblPr>
      <w:trPr>
        <w:jc w:val="left"/>
      </w:trPr>
      <w:tcPr>
        <w:tcBorders>
          <w:bottom w:val="single"/>
        </w:tcBorders>
        <w:vAlign w:val="bottom"/>
      </w:tcPr>
    </w:tblStylePr>
    <w:tblStylePr w:type="firstRow">
      <w:rPr>
        <w:b/>
        <w:color w:val="FFFFFF"/>
      </w:rPr>
      <w:tcPr>
        <w:shd w:color="auto" w:fill="4F268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z w:val="20"/>
      <w:szCs w:val="20"/>
      <w:shd w:color="auto" w:fill="F5F3FA"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F2683"/>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pBdr>
        <w:top w:color="C9BCE0" w:space="4" w:sz="4" w:val="single"/>
        <w:left w:color="C9BCE0" w:space="4" w:sz="4" w:val="single"/>
        <w:bottom w:color="C9BCE0" w:space="4" w:sz="4" w:val="single"/>
        <w:right w:color="C9BCE0" w:space="4" w:sz="4" w:val="single"/>
      </w:pBdr>
      <w:wordWrap w:val="off"/>
      <w:shd w:color="auto" w:fill="F5F3FA" w:val="clear"/>
    </w:pPr>
    <w:rPr>
      <w:rFonts w:ascii="Consolas" w:cs="Consolas" w:hAnsi="Consolas"/>
      <w:sz w:val="20"/>
      <w:szCs w:val="20"/>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footnotes" Target="footnotes.xml"/><Relationship Id="rId25" Type="http://schemas.openxmlformats.org/officeDocument/2006/relationships/customXml" Target="../customXml/item1.xml"/><Relationship Id="rId2" Type="http://schemas.openxmlformats.org/officeDocument/2006/relationships/styles" Target="styles.xml"/><Relationship Id="rId20" Type="http://schemas.openxmlformats.org/officeDocument/2006/relationships/hyperlink" Target="https://tech.asu.edu/features/a-step-forward-in-charting-the-future-of-AI-in-higher-education"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hyperlink" Target="https://tarleton.sharepoint.com/sites/StrategicInsights_njpwtl/Shared%20Documents/University%20AI%20Audit/SCHOOL%20RESEARCH%20FOR%20PAC/SCHOOLS/arizona-state-university/summary-report.docx?web=1" TargetMode="External"/><Relationship Id="rId5" Type="http://schemas.openxmlformats.org/officeDocument/2006/relationships/fontTable" Target="fontTable.xml"/><Relationship Id="rId23" Type="http://schemas.openxmlformats.org/officeDocument/2006/relationships/hyperlink" Target="https://tarleton.sharepoint.com/sites/StrategicInsights_njpwtl/Shared%20Documents/University%20AI%20Audit/SCHOOL%20RESEARCH%20FOR%20PAC/SCHOOLS/arizona-state-university/in-depth-report.docx?web=1" TargetMode="External"/><Relationship Id="rId4" Type="http://schemas.openxmlformats.org/officeDocument/2006/relationships/webSettings" Target="webSettings.xml"/><Relationship Id="rId27" Type="http://schemas.openxmlformats.org/officeDocument/2006/relationships/customXml" Target="../customXml/item3.xml"/></Relationships>
</file>

<file path=word/_rels/footnotes.xml.rels><?xml version="1.0" encoding="UTF-8"?><Relationships xmlns="http://schemas.openxmlformats.org/package/2006/relationships"><Relationship Type="http://schemas.openxmlformats.org/officeDocument/2006/relationships/hyperlink" Id="rId23" Target="https://tarleton.sharepoint.com/sites/StrategicInsights_njpwtl/Shared%20Documents/University%20AI%20Audit/SCHOOL%20RESEARCH%20FOR%20PAC/SCHOOLS/arizona-state-university/in-depth-report.docx?web=1" TargetMode="External" /><Relationship Type="http://schemas.openxmlformats.org/officeDocument/2006/relationships/hyperlink" Id="rId24" Target="https://tarleton.sharepoint.com/sites/StrategicInsights_njpwtl/Shared%20Documents/University%20AI%20Audit/SCHOOL%20RESEARCH%20FOR%20PAC/SCHOOLS/arizona-state-university/summary-report.docx?web=1" TargetMode="External" /><Relationship Type="http://schemas.openxmlformats.org/officeDocument/2006/relationships/hyperlink" Id="rId20" Target="https://tech.asu.edu/features/a-step-forward-in-charting-the-future-of-AI-in-higher-educ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23B73DB3632340A8C8FEE6EFDC4F94" ma:contentTypeVersion="7" ma:contentTypeDescription="Create a new document." ma:contentTypeScope="" ma:versionID="a44e4b9dde152e715fe3ab93679f971e">
  <xsd:schema xmlns:xsd="http://www.w3.org/2001/XMLSchema" xmlns:xs="http://www.w3.org/2001/XMLSchema" xmlns:p="http://schemas.microsoft.com/office/2006/metadata/properties" xmlns:ns2="4890911a-406b-4a21-a8f6-655236cc89c3" targetNamespace="http://schemas.microsoft.com/office/2006/metadata/properties" ma:root="true" ma:fieldsID="03eb6af99cecbff0d9dcbb855affef69" ns2:_="">
    <xsd:import namespace="4890911a-406b-4a21-a8f6-655236cc89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90911a-406b-4a21-a8f6-655236cc89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F454532-FBC5-4B9A-AFC5-CD0FC6F4ED00}"/>
</file>

<file path=customXml/itemProps2.xml><?xml version="1.0" encoding="utf-8"?>
<ds:datastoreItem xmlns:ds="http://schemas.openxmlformats.org/officeDocument/2006/customXml" ds:itemID="{817709AB-FB5B-47F1-A886-AA551782A939}"/>
</file>

<file path=customXml/itemProps3.xml><?xml version="1.0" encoding="utf-8"?>
<ds:datastoreItem xmlns:ds="http://schemas.openxmlformats.org/officeDocument/2006/customXml" ds:itemID="{E622F3E3-93C2-4C02-9079-ECD97B7C57D1}"/>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2026-07-26T02:44:53Z</dcterms:created>
  <dcterms:modified xsi:type="dcterms:W3CDTF">2026-07-26T02:44:53Z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0x010100D423B73DB3632340A8C8FEE6EFDC4F94</vt:lpwstr>
  </property>
</Properties>
</file>