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4eb0f56b2104df832114414e07c4d7b50fbbba4"/>
    <w:p>
      <w:pPr>
        <w:pStyle w:val="Heading1"/>
      </w:pPr>
      <w:r>
        <w:t xml:space="preserve">ASU and OpenAI Expand Collaboration, Scaling AI to Advance Student Success, Research and Innovation</w:t>
      </w:r>
    </w:p>
    <w:p>
      <w:pPr>
        <w:pStyle w:val="BlockText"/>
      </w:pPr>
      <w:r>
        <w:rPr>
          <w:b/>
          <w:bCs/>
        </w:rPr>
        <w:t xml:space="preserve">Original URL:</w:t>
      </w:r>
      <w:r>
        <w:t xml:space="preserve"> </w:t>
      </w:r>
      <w:hyperlink w:tgtFrame="_blank" r:id="rId20">
        <w:r>
          <w:rPr>
            <w:rStyle w:val="Hyperlink"/>
          </w:rPr>
          <w:t xml:space="preserve">https://tech.asu.edu/features/asu-and-openai-expand-collaboration-scaling-ai</w:t>
        </w:r>
      </w:hyperlink>
      <w:r>
        <w:t xml:space="preserve"> </w:t>
      </w:r>
      <w:r>
        <w:rPr>
          <w:b/>
          <w:bCs/>
        </w:rPr>
        <w:t xml:space="preserve">Publisher:</w:t>
      </w:r>
      <w:r>
        <w:t xml:space="preserve"> </w:t>
      </w:r>
      <w:r>
        <w:t xml:space="preserve">ASU Enterprise Technology —</w:t>
      </w:r>
      <w:r>
        <w:t xml:space="preserve"> </w:t>
      </w:r>
      <w:r>
        <w:rPr>
          <w:b/>
          <w:bCs/>
        </w:rPr>
        <w:t xml:space="preserve">Published:</w:t>
      </w:r>
      <w:r>
        <w:t xml:space="preserve"> </w:t>
      </w:r>
      <w:r>
        <w:t xml:space="preserve">2025-09-15 —</w:t>
      </w:r>
      <w:r>
        <w:t xml:space="preserve"> </w:t>
      </w:r>
      <w:r>
        <w:rPr>
          <w:b/>
          <w:bCs/>
        </w:rPr>
        <w:t xml:space="preserve">Retrieved:</w:t>
      </w:r>
      <w:r>
        <w:t xml:space="preserve"> </w:t>
      </w:r>
      <w:r>
        <w:t xml:space="preserve">2026-07-24 —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press-release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September 15, 2025 —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Tina Miller</w:t>
      </w:r>
    </w:p>
    <w:p>
      <w:pPr>
        <w:pStyle w:val="BodyText"/>
      </w:pPr>
      <w:r>
        <w:t xml:space="preserve">Arizona State University announced an expanded partnership with OpenAI, making</w:t>
      </w:r>
      <w:r>
        <w:t xml:space="preserve"> </w:t>
      </w:r>
      <w:r>
        <w:rPr>
          <w:b/>
          <w:bCs/>
        </w:rPr>
        <w:t xml:space="preserve">ChatGPT Edu with GPT-5 available at no cost to all students, faculty, researchers, and staff members</w:t>
      </w:r>
      <w:r>
        <w:t xml:space="preserve">. The initiative aims to enhance student outcomes, accelerate research, and transform institutional collaboration.</w:t>
      </w:r>
    </w:p>
    <w:bookmarkStart w:id="21" w:name="key-objectives"/>
    <w:p>
      <w:pPr>
        <w:pStyle w:val="Heading2"/>
      </w:pPr>
      <w:r>
        <w:t xml:space="preserve">Key objectives</w:t>
      </w:r>
    </w:p>
    <w:p>
      <w:pPr>
        <w:pStyle w:val="FirstParagraph"/>
      </w:pPr>
      <w:r>
        <w:t xml:space="preserve">The collaboration will:</w:t>
      </w:r>
    </w:p>
    <w:p>
      <w:pPr>
        <w:pStyle w:val="Compact"/>
        <w:numPr>
          <w:ilvl w:val="0"/>
          <w:numId w:val="1001"/>
        </w:numPr>
      </w:pPr>
      <w:r>
        <w:t xml:space="preserve">Conduct</w:t>
      </w:r>
      <w:r>
        <w:t xml:space="preserve"> </w:t>
      </w:r>
      <w:r>
        <w:rPr>
          <w:b/>
          <w:bCs/>
        </w:rPr>
        <w:t xml:space="preserve">learning outcomes research</w:t>
      </w:r>
      <w:r>
        <w:t xml:space="preserve"> </w:t>
      </w:r>
      <w:r>
        <w:t xml:space="preserve">using ChatGPT 5 to examine how AI supports deeper learning, assessment and student achievement</w:t>
      </w:r>
    </w:p>
    <w:p>
      <w:pPr>
        <w:pStyle w:val="Compact"/>
        <w:numPr>
          <w:ilvl w:val="0"/>
          <w:numId w:val="1001"/>
        </w:numPr>
      </w:pPr>
      <w:r>
        <w:t xml:space="preserve">Provide faculty and researchers with advanced AI tools to speed up experimentation and data analysis</w:t>
      </w:r>
    </w:p>
    <w:p>
      <w:pPr>
        <w:pStyle w:val="Compact"/>
        <w:numPr>
          <w:ilvl w:val="0"/>
          <w:numId w:val="1001"/>
        </w:numPr>
      </w:pPr>
      <w:r>
        <w:t xml:space="preserve">Create new AI experiences that reimagine teaching, collaboration, and enterprise operations</w:t>
      </w:r>
    </w:p>
    <w:bookmarkEnd w:id="21"/>
    <w:bookmarkStart w:id="22" w:name="stakeholder-perspectives"/>
    <w:p>
      <w:pPr>
        <w:pStyle w:val="Heading2"/>
      </w:pPr>
      <w:r>
        <w:t xml:space="preserve">Stakeholder perspectives</w:t>
      </w:r>
    </w:p>
    <w:p>
      <w:pPr>
        <w:pStyle w:val="FirstParagraph"/>
      </w:pPr>
      <w:r>
        <w:t xml:space="preserve">ASU Chief Information Officer</w:t>
      </w:r>
      <w:r>
        <w:t xml:space="preserve"> </w:t>
      </w:r>
      <w:r>
        <w:rPr>
          <w:b/>
          <w:bCs/>
        </w:rPr>
        <w:t xml:space="preserve">Lev Gonick</w:t>
      </w:r>
      <w:r>
        <w:t xml:space="preserve">: "Ensuring access to advanced AI tools like GPT-5 is not simply about technology deployment — it's about democratizing innovation."</w:t>
      </w:r>
    </w:p>
    <w:p>
      <w:pPr>
        <w:pStyle w:val="BodyText"/>
      </w:pPr>
      <w:r>
        <w:t xml:space="preserve">OpenAI's</w:t>
      </w:r>
      <w:r>
        <w:t xml:space="preserve"> </w:t>
      </w:r>
      <w:r>
        <w:rPr>
          <w:b/>
          <w:bCs/>
        </w:rPr>
        <w:t xml:space="preserve">Leah Belsky</w:t>
      </w:r>
      <w:r>
        <w:t xml:space="preserve">: "By making ChatGPT Edu available to every student, faculty member, and researcher, ASU is showing how AI can be integrated thoughtfully."</w:t>
      </w:r>
    </w:p>
    <w:bookmarkEnd w:id="22"/>
    <w:bookmarkStart w:id="23" w:name="implementation-timeline-and-access"/>
    <w:p>
      <w:pPr>
        <w:pStyle w:val="Heading2"/>
      </w:pPr>
      <w:r>
        <w:t xml:space="preserve">Implementation timeline and access</w:t>
      </w:r>
    </w:p>
    <w:p>
      <w:pPr>
        <w:pStyle w:val="Compact"/>
        <w:numPr>
          <w:ilvl w:val="0"/>
          <w:numId w:val="1002"/>
        </w:numPr>
      </w:pPr>
      <w:r>
        <w:t xml:space="preserve">Licenses begin</w:t>
      </w:r>
      <w:r>
        <w:t xml:space="preserve"> </w:t>
      </w:r>
      <w:r>
        <w:rPr>
          <w:b/>
          <w:bCs/>
        </w:rPr>
        <w:t xml:space="preserve">October 1, 2025</w:t>
      </w:r>
    </w:p>
    <w:p>
      <w:pPr>
        <w:pStyle w:val="Compact"/>
        <w:numPr>
          <w:ilvl w:val="0"/>
          <w:numId w:val="1002"/>
        </w:numPr>
      </w:pPr>
      <w:r>
        <w:t xml:space="preserve">ASU community members can request access at ai.asu.edu/ai-tools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privacy is protected through an enterprise agreement</w:t>
      </w:r>
      <w:r>
        <w:t xml:space="preserve"> </w:t>
      </w:r>
      <w:r>
        <w:t xml:space="preserve">ensuring conversations remain separate and unused for model training</w:t>
      </w:r>
    </w:p>
    <w:bookmarkEnd w:id="23"/>
    <w:bookmarkStart w:id="24" w:name="current-progress"/>
    <w:p>
      <w:pPr>
        <w:pStyle w:val="Heading2"/>
      </w:pPr>
      <w:r>
        <w:t xml:space="preserve">Current progress</w:t>
      </w:r>
    </w:p>
    <w:p>
      <w:pPr>
        <w:pStyle w:val="FirstParagraph"/>
      </w:pPr>
      <w:r>
        <w:t xml:space="preserve">Since launching in January 2024, ChatGPT Edu has powered</w:t>
      </w:r>
      <w:r>
        <w:t xml:space="preserve"> </w:t>
      </w:r>
      <w:r>
        <w:rPr>
          <w:b/>
          <w:bCs/>
        </w:rPr>
        <w:t xml:space="preserve">over 500 projects through the AI Innovation Challenge</w:t>
      </w:r>
      <w:r>
        <w:t xml:space="preserve">, spanning language learning applications to behavioral health simulations.</w:t>
      </w:r>
    </w:p>
    <w:bookmarkEnd w:id="24"/>
    <w:bookmarkStart w:id="25" w:name="complementary-tools"/>
    <w:p>
      <w:pPr>
        <w:pStyle w:val="Heading2"/>
      </w:pPr>
      <w:r>
        <w:t xml:space="preserve">Complementary tools</w:t>
      </w:r>
    </w:p>
    <w:p>
      <w:pPr>
        <w:pStyle w:val="FirstParagraph"/>
      </w:pPr>
      <w:r>
        <w:t xml:space="preserve">ChatGPT Edu joins ASU's existing AI toolkit, which includes</w:t>
      </w:r>
      <w:r>
        <w:t xml:space="preserve"> </w:t>
      </w:r>
      <w:r>
        <w:rPr>
          <w:b/>
          <w:bCs/>
        </w:rPr>
        <w:t xml:space="preserve">Google Gemini for Education, Microsoft Copilot Chat, and CreateAI</w:t>
      </w:r>
      <w:r>
        <w:t xml:space="preserve"> </w:t>
      </w:r>
      <w:r>
        <w:t xml:space="preserve">— the university's proprietary platform for building customized AI solutions.</w:t>
      </w:r>
    </w:p>
    <w:bookmarkEnd w:id="25"/>
    <w:bookmarkStart w:id="28" w:name="referenced-by"/>
    <w:p>
      <w:pPr>
        <w:pStyle w:val="Heading2"/>
      </w:pPr>
      <w:r>
        <w:t xml:space="preserve">Referenced by</w:t>
      </w:r>
    </w:p>
    <w:p>
      <w:pPr>
        <w:pStyle w:val="Compact"/>
        <w:numPr>
          <w:ilvl w:val="0"/>
          <w:numId w:val="1003"/>
        </w:numPr>
      </w:pPr>
      <w:hyperlink w:tgtFrame="_blank" r:id="rId26">
        <w:r>
          <w:rPr>
            <w:rStyle w:val="Hyperlink"/>
          </w:rPr>
          <w:t xml:space="preserve">In-Depth Report</w:t>
        </w:r>
      </w:hyperlink>
    </w:p>
    <w:p>
      <w:pPr>
        <w:pStyle w:val="Compact"/>
        <w:numPr>
          <w:ilvl w:val="0"/>
          <w:numId w:val="1003"/>
        </w:numPr>
      </w:pPr>
      <w:hyperlink w:tgtFrame="_blank" r:id="rId27">
        <w:r>
          <w:rPr>
            <w:rStyle w:val="Hyperlink"/>
          </w:rPr>
          <w:t xml:space="preserve">Summary Report</w:t>
        </w:r>
      </w:hyperlink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hAnsi="Calibri"/>
      <w:sz w:val="22"/>
      <w:szCs w:val="22"/>
      <w:color w:val="1F1F1F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hd w:color="auto" w:fill="4F2683" w:val="clear"/>
      <w:spacing w:after="160" w:before="240"/>
    </w:pPr>
    <w:rPr>
      <w:rFonts w:ascii="Calibri" w:cs="Calibri" w:hAnsi="Calibri"/>
      <w:color w:val="FFFFFF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pBdr>
        <w:bottom w:color="4F2683" w:space="4" w:sz="6" w:val="single"/>
      </w:pBdr>
      <w:keepNext/>
      <w:keepLines/>
      <w:outlineLvl w:val="1"/>
      <w:spacing w:after="120" w:before="280"/>
    </w:pPr>
    <w:rPr>
      <w:rFonts w:ascii="Calibri" w:cs="Calibri" w:hAnsi="Calibri"/>
      <w:color w:val="4F2683"/>
      <w:sz w:val="29"/>
      <w:szCs w:val="29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Calibri" w:hAnsi="Calibri"/>
      <w:color w:val="4F2683"/>
      <w:sz w:val="25"/>
      <w:szCs w:val="25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iCs/>
      <w:rFonts w:ascii="Calibri" w:cs="Calibri" w:hAnsi="Calibri"/>
      <w:color w:val="4F2683"/>
      <w:sz w:val="23"/>
      <w:szCs w:val="23"/>
      <w:b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4F2683" w:space="4" w:sz="24" w:val="single"/>
      </w:pBdr>
      <w:shd w:color="auto" w:fill="F3EFF9" w:val="clear"/>
      <w:spacing w:after="120" w:before="120"/>
      <w:ind w:left="240" w:right="24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D9D2E9" w:space="0" w:sz="4" w:val="single"/>
        <w:left w:color="D9D2E9" w:space="0" w:sz="4" w:val="single"/>
        <w:bottom w:color="D9D2E9" w:space="0" w:sz="4" w:val="single"/>
        <w:right w:color="D9D2E9" w:space="0" w:sz="4" w:val="single"/>
        <w:insideH w:color="D9D2E9" w:space="0" w:sz="4" w:val="single"/>
        <w:insideV w:color="D9D2E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  <w:tblStylePr w:type="firstRow">
      <w:rPr>
        <w:b/>
        <w:color w:val="FFFFFF"/>
      </w:rPr>
      <w:tcPr>
        <w:shd w:color="auto" w:fill="4F2683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sz w:val="20"/>
      <w:szCs w:val="20"/>
      <w:shd w:color="auto" w:fill="F5F3FA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4F2683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pBdr>
        <w:top w:color="C9BCE0" w:space="4" w:sz="4" w:val="single"/>
        <w:left w:color="C9BCE0" w:space="4" w:sz="4" w:val="single"/>
        <w:bottom w:color="C9BCE0" w:space="4" w:sz="4" w:val="single"/>
        <w:right w:color="C9BCE0" w:space="4" w:sz="4" w:val="single"/>
      </w:pBdr>
      <w:wordWrap w:val="off"/>
      <w:shd w:color="auto" w:fill="F5F3FA" w:val="clear"/>
    </w:pPr>
    <w:rPr>
      <w:rFonts w:ascii="Consolas" w:cs="Consolas" w:hAnsi="Consolas"/>
      <w:sz w:val="20"/>
      <w:szCs w:val="20"/>
    </w:r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26" Type="http://schemas.openxmlformats.org/officeDocument/2006/relationships/hyperlink" Target="https://tarleton.sharepoint.com/sites/StrategicInsights_njpwtl/Shared%20Documents/University%20AI%20Audit/SCHOOL%20RESEARCH%20FOR%20PAC/SCHOOLS/arizona-state-university/in-depth-report.docx?web=1" TargetMode="Externa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20" Type="http://schemas.openxmlformats.org/officeDocument/2006/relationships/hyperlink" Target="https://tech.asu.edu/features/asu-and-openai-expand-collaboration-scaling-ai" TargetMode="External"/><Relationship Id="rId29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28" Type="http://schemas.openxmlformats.org/officeDocument/2006/relationships/customXml" Target="../customXml/item1.xml"/><Relationship Id="rId4" Type="http://schemas.openxmlformats.org/officeDocument/2006/relationships/webSettings" Target="webSettings.xml"/><Relationship Id="rId27" Type="http://schemas.openxmlformats.org/officeDocument/2006/relationships/hyperlink" Target="https://tarleton.sharepoint.com/sites/StrategicInsights_njpwtl/Shared%20Documents/University%20AI%20Audit/SCHOOL%20RESEARCH%20FOR%20PAC/SCHOOLS/arizona-state-university/summary-report.docx?web=1" TargetMode="External"/><Relationship Id="rId30" Type="http://schemas.openxmlformats.org/officeDocument/2006/relationships/customXml" Target="../customXml/item3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tarleton.sharepoint.com/sites/StrategicInsights_njpwtl/Shared%20Documents/University%20AI%20Audit/SCHOOL%20RESEARCH%20FOR%20PAC/SCHOOLS/arizona-state-university/in-depth-report.docx?web=1" TargetMode="External" /><Relationship Type="http://schemas.openxmlformats.org/officeDocument/2006/relationships/hyperlink" Id="rId27" Target="https://tarleton.sharepoint.com/sites/StrategicInsights_njpwtl/Shared%20Documents/University%20AI%20Audit/SCHOOL%20RESEARCH%20FOR%20PAC/SCHOOLS/arizona-state-university/summary-report.docx?web=1" TargetMode="External" /><Relationship Type="http://schemas.openxmlformats.org/officeDocument/2006/relationships/hyperlink" Id="rId20" Target="https://tech.asu.edu/features/asu-and-openai-expand-collaboration-scaling-a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23B73DB3632340A8C8FEE6EFDC4F94" ma:contentTypeVersion="7" ma:contentTypeDescription="Create a new document." ma:contentTypeScope="" ma:versionID="a44e4b9dde152e715fe3ab93679f971e">
  <xsd:schema xmlns:xsd="http://www.w3.org/2001/XMLSchema" xmlns:xs="http://www.w3.org/2001/XMLSchema" xmlns:p="http://schemas.microsoft.com/office/2006/metadata/properties" xmlns:ns2="4890911a-406b-4a21-a8f6-655236cc89c3" targetNamespace="http://schemas.microsoft.com/office/2006/metadata/properties" ma:root="true" ma:fieldsID="03eb6af99cecbff0d9dcbb855affef69" ns2:_="">
    <xsd:import namespace="4890911a-406b-4a21-a8f6-655236cc89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90911a-406b-4a21-a8f6-655236cc89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010D533-0385-46C3-B37F-DBDF85AF8185}"/>
</file>

<file path=customXml/itemProps2.xml><?xml version="1.0" encoding="utf-8"?>
<ds:datastoreItem xmlns:ds="http://schemas.openxmlformats.org/officeDocument/2006/customXml" ds:itemID="{71577BAE-AB34-452F-BFE9-D33922DAD483}"/>
</file>

<file path=customXml/itemProps3.xml><?xml version="1.0" encoding="utf-8"?>
<ds:datastoreItem xmlns:ds="http://schemas.openxmlformats.org/officeDocument/2006/customXml" ds:itemID="{8E574CC0-817C-4130-B527-4724153B85F4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2026-07-26T02:44:54Z</dcterms:created>
  <dcterms:modified xsi:type="dcterms:W3CDTF">2026-07-26T02:44:54Z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0x010100D423B73DB3632340A8C8FEE6EFDC4F94</vt:lpwstr>
  </property>
</Properties>
</file>