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93539ffe88a3c766a710749d3c410c86226e1e"/>
    <w:p>
      <w:pPr>
        <w:pStyle w:val="Heading1"/>
      </w:pPr>
      <w:r>
        <w:t xml:space="preserve">University of Florida — In-Depth AI Strategy Report</w:t>
      </w:r>
    </w:p>
    <w:p>
      <w:pPr>
        <w:pStyle w:val="FirstParagraph"/>
      </w:pPr>
      <w:r>
        <w:t xml:space="preserve">Analysis of the University of Florida's (UF) "AI University" strategy against the Framework Reference (Gartner-style One-Page AI Strategy: AI Vision + Value, People &amp; Culture, Engineering, Governance, Organization, Data). Compact version:</w:t>
      </w:r>
      <w:r>
        <w:t xml:space="preserve"> </w:t>
      </w:r>
      <w:hyperlink w:tgtFrame="_blank" r:id="rId20">
        <w:r>
          <w:rPr>
            <w:rStyle w:val="Hyperlink"/>
          </w:rPr>
          <w:t xml:space="preserve">Summary Report</w:t>
        </w:r>
      </w:hyperlink>
      <w:r>
        <w:t xml:space="preserve">.</w:t>
      </w:r>
    </w:p>
    <w:p>
      <w:pPr>
        <w:pStyle w:val="BodyText"/>
      </w:pPr>
      <w:r>
        <w:t xml:space="preserve">Research date: 2026-07-24. All classifications below are evidence-based; where UF's public materials do not support a clean classification, that is stated explicitly.</w:t>
      </w:r>
    </w:p>
    <w:p>
      <w:r>
        <w:pict>
          <v:rect style="width:0;height:1.5pt" o:hralign="center" o:hrstd="t" o:hr="t"/>
        </w:pict>
      </w:r>
    </w:p>
    <w:bookmarkStart w:id="25" w:name="inferred-ai-vision"/>
    <w:p>
      <w:pPr>
        <w:pStyle w:val="Heading2"/>
      </w:pPr>
      <w:r>
        <w:t xml:space="preserve">Inferred AI Vision</w:t>
      </w:r>
    </w:p>
    <w:p>
      <w:pPr>
        <w:pStyle w:val="FirstParagraph"/>
      </w:pPr>
      <w:r>
        <w:t xml:space="preserve">UF has never published a one-page AI strategy in the Gartner template, but its public materials since 2020 are unusually consistent. Rendered in the template form:</w:t>
      </w:r>
    </w:p>
    <w:p>
      <w:pPr>
        <w:pStyle w:val="BlockText"/>
      </w:pPr>
      <w:r>
        <w:rPr>
          <w:b/>
          <w:bCs/>
        </w:rPr>
        <w:t xml:space="preserve">"We will use AI technology so that we can achieve better AI-ready workforce preparation, research discovery, and institutional efficiency in every major, every college, and daily university operations while protecting data privacy, academic integrity, and human oversight through university-owned infrastructure and ethics-first guidelines."</w:t>
      </w:r>
    </w:p>
    <w:p>
      <w:pPr>
        <w:pStyle w:val="FirstParagraph"/>
      </w:pPr>
      <w:r>
        <w:t xml:space="preserve">Supporting evidence:</w:t>
      </w:r>
    </w:p>
    <w:p>
      <w:pPr>
        <w:pStyle w:val="Compact"/>
        <w:numPr>
          <w:ilvl w:val="0"/>
          <w:numId w:val="1001"/>
        </w:numPr>
      </w:pPr>
      <w:r>
        <w:t xml:space="preserve">"AI for Everyone, Everywhere... We enhance teaching, drive discovery, and boost efficiency. Start big or start small. Just start." —</w:t>
      </w:r>
      <w:r>
        <w:t xml:space="preserve"> </w:t>
      </w:r>
      <w:hyperlink w:tgtFrame="_blank" r:id="rId21">
        <w:r>
          <w:rPr>
            <w:rStyle w:val="Hyperlink"/>
          </w:rPr>
          <w:t xml:space="preserve">UF AI Hub</w:t>
        </w:r>
      </w:hyperlink>
    </w:p>
    <w:p>
      <w:pPr>
        <w:pStyle w:val="Compact"/>
        <w:numPr>
          <w:ilvl w:val="0"/>
          <w:numId w:val="1001"/>
        </w:numPr>
      </w:pPr>
      <w:r>
        <w:t xml:space="preserve">Pre-2020 vision attributed to Provost Joe Glover: "build an AI university and integrate AI across the curriculum" —</w:t>
      </w:r>
      <w:r>
        <w:t xml:space="preserve"> </w:t>
      </w:r>
      <w:hyperlink w:tgtFrame="_blank" r:id="rId22">
        <w:r>
          <w:rPr>
            <w:rStyle w:val="Hyperlink"/>
          </w:rPr>
          <w:t xml:space="preserve">Building an AI University</w:t>
        </w:r>
      </w:hyperlink>
    </w:p>
    <w:p>
      <w:pPr>
        <w:pStyle w:val="Compact"/>
        <w:numPr>
          <w:ilvl w:val="0"/>
          <w:numId w:val="1001"/>
        </w:numPr>
      </w:pPr>
      <w:r>
        <w:t xml:space="preserve">"The ultimate goal of AI Across the Curriculum is the creation of an AI-ready workforce covering the essential 21st-century competencies identified as workforce and government needs worldwide." —</w:t>
      </w:r>
      <w:r>
        <w:t xml:space="preserve"> </w:t>
      </w:r>
      <w:hyperlink w:tgtFrame="_blank" r:id="rId23">
        <w:r>
          <w:rPr>
            <w:rStyle w:val="Hyperlink"/>
          </w:rPr>
          <w:t xml:space="preserve">Southworth et al. 2023 paper</w:t>
        </w:r>
      </w:hyperlink>
    </w:p>
    <w:p>
      <w:pPr>
        <w:pStyle w:val="Compact"/>
        <w:numPr>
          <w:ilvl w:val="0"/>
          <w:numId w:val="1001"/>
        </w:numPr>
      </w:pPr>
      <w:r>
        <w:t xml:space="preserve">The counterfactor is explicit in policy: "AI should be accessible, ethical, transparent, secure, and aligned with academic integrity and human values," and "keep the human in the loop in important academic, research, and HR decisions." —</w:t>
      </w:r>
      <w:r>
        <w:t xml:space="preserve"> </w:t>
      </w:r>
      <w:hyperlink w:tgtFrame="_blank" r:id="rId24">
        <w:r>
          <w:rPr>
            <w:rStyle w:val="Hyperlink"/>
          </w:rPr>
          <w:t xml:space="preserve">Guidelines for Use of AI at UF</w:t>
        </w:r>
      </w:hyperlink>
    </w:p>
    <w:p>
      <w:pPr>
        <w:pStyle w:val="FirstParagraph"/>
      </w:pPr>
      <w:r>
        <w:t xml:space="preserve">Mapped executive outcomes: market leadership ("first AI university," national model), quality/workforce outcomes (AI literacy for every graduate), and innovation (research discovery on HiPerGator).</w:t>
      </w:r>
    </w:p>
    <w:p>
      <w:r>
        <w:pict>
          <v:rect style="width:0;height:1.5pt" o:hralign="center" o:hrstd="t" o:hr="t"/>
        </w:pict>
      </w:r>
    </w:p>
    <w:bookmarkEnd w:id="25"/>
    <w:bookmarkStart w:id="29" w:name="element-1--value"/>
    <w:p>
      <w:pPr>
        <w:pStyle w:val="Heading2"/>
      </w:pPr>
      <w:r>
        <w:t xml:space="preserve">Element 1 — Value</w:t>
      </w:r>
    </w:p>
    <w:p>
      <w:pPr>
        <w:pStyle w:val="FirstParagraph"/>
      </w:pPr>
      <w:r>
        <w:rPr>
          <w:b/>
          <w:bCs/>
        </w:rPr>
        <w:t xml:space="preserve">Classification: Reinvent us / Transform (primary), Optimize (secondary).</w:t>
      </w:r>
    </w:p>
    <w:p>
      <w:pPr>
        <w:pStyle w:val="BodyText"/>
      </w:pPr>
      <w:r>
        <w:rPr>
          <w:b/>
          <w:bCs/>
        </w:rPr>
        <w:t xml:space="preserve">Transform.</w:t>
      </w:r>
      <w:r>
        <w:t xml:space="preserve"> </w:t>
      </w:r>
      <w:r>
        <w:t xml:space="preserve">UF's declared ambition is not incremental adoption but repositioning the institution — and higher education generally — around AI:</w:t>
      </w:r>
    </w:p>
    <w:p>
      <w:pPr>
        <w:pStyle w:val="Compact"/>
        <w:numPr>
          <w:ilvl w:val="0"/>
          <w:numId w:val="1002"/>
        </w:numPr>
      </w:pPr>
      <w:r>
        <w:t xml:space="preserve">"The UF-NVIDIA partnership shaped UF as the first AI university." —</w:t>
      </w:r>
      <w:r>
        <w:t xml:space="preserve"> </w:t>
      </w:r>
      <w:hyperlink w:tgtFrame="_blank" r:id="rId26">
        <w:r>
          <w:rPr>
            <w:rStyle w:val="Hyperlink"/>
          </w:rPr>
          <w:t xml:space="preserve">NaviGator AI launch release, Aug 26, 2024</w:t>
        </w:r>
      </w:hyperlink>
    </w:p>
    <w:p>
      <w:pPr>
        <w:pStyle w:val="Compact"/>
        <w:numPr>
          <w:ilvl w:val="0"/>
          <w:numId w:val="1002"/>
        </w:numPr>
      </w:pPr>
      <w:r>
        <w:t xml:space="preserve">The 2026 Warrington case study is literally titled</w:t>
      </w:r>
      <w:r>
        <w:t xml:space="preserve"> </w:t>
      </w:r>
      <w:r>
        <w:rPr>
          <w:i/>
          <w:iCs/>
        </w:rPr>
        <w:t xml:space="preserve">Building an AI University: From Infrastructure Gift to Systemic Transformation</w:t>
      </w:r>
      <w:r>
        <w:t xml:space="preserve"> </w:t>
      </w:r>
      <w:r>
        <w:t xml:space="preserve">and examines "how large institutions transition from technology adoption to organizational change." —</w:t>
      </w:r>
      <w:r>
        <w:t xml:space="preserve"> </w:t>
      </w:r>
      <w:hyperlink w:tgtFrame="_blank" r:id="rId27">
        <w:r>
          <w:rPr>
            <w:rStyle w:val="Hyperlink"/>
          </w:rPr>
          <w:t xml:space="preserve">Warrington case study news, May 27, 2026</w:t>
        </w:r>
      </w:hyperlink>
    </w:p>
    <w:p>
      <w:pPr>
        <w:pStyle w:val="Compact"/>
        <w:numPr>
          <w:ilvl w:val="0"/>
          <w:numId w:val="1002"/>
        </w:numPr>
      </w:pPr>
      <w:r>
        <w:t xml:space="preserve">UF markets its model for export: "The university seeks to share its comprehensive AI education approach as a foundation for other institutions to strengthen higher education broadly," and David Reed (associate provost): "We think we have the only scalable model for rapidly building up an AI workforce." —</w:t>
      </w:r>
      <w:r>
        <w:t xml:space="preserve"> </w:t>
      </w:r>
      <w:hyperlink w:tgtFrame="_blank" r:id="rId21">
        <w:r>
          <w:rPr>
            <w:rStyle w:val="Hyperlink"/>
          </w:rPr>
          <w:t xml:space="preserve">UF AI Hub</w:t>
        </w:r>
      </w:hyperlink>
      <w:r>
        <w:t xml:space="preserve">,</w:t>
      </w:r>
      <w:r>
        <w:t xml:space="preserve"> </w:t>
      </w:r>
      <w:hyperlink w:tgtFrame="_blank" r:id="rId28">
        <w:r>
          <w:rPr>
            <w:rStyle w:val="Hyperlink"/>
          </w:rPr>
          <w:t xml:space="preserve">Inside Higher Ed feature</w:t>
        </w:r>
      </w:hyperlink>
    </w:p>
    <w:p>
      <w:pPr>
        <w:pStyle w:val="Compact"/>
        <w:numPr>
          <w:ilvl w:val="0"/>
          <w:numId w:val="1002"/>
        </w:numPr>
      </w:pPr>
      <w:r>
        <w:t xml:space="preserve">The transformation motive is framed as market leadership plus national interest: "This is a matter of economic competitiveness and national security" (Reed), catalyzed by the 2021 NSCAI report. —</w:t>
      </w:r>
      <w:r>
        <w:t xml:space="preserve"> </w:t>
      </w:r>
      <w:hyperlink w:tgtFrame="_blank" r:id="rId28">
        <w:r>
          <w:rPr>
            <w:rStyle w:val="Hyperlink"/>
          </w:rPr>
          <w:t xml:space="preserve">Inside Higher Ed feature</w:t>
        </w:r>
      </w:hyperlink>
    </w:p>
    <w:p>
      <w:pPr>
        <w:pStyle w:val="FirstParagraph"/>
      </w:pPr>
      <w:r>
        <w:rPr>
          <w:b/>
          <w:bCs/>
        </w:rPr>
        <w:t xml:space="preserve">Optimize (secondary).</w:t>
      </w:r>
      <w:r>
        <w:t xml:space="preserve"> </w:t>
      </w:r>
      <w:r>
        <w:t xml:space="preserve">The homepage tagline — "We enhance teaching, drive discovery, and boost efficiency" (</w:t>
      </w:r>
      <w:hyperlink w:tgtFrame="_blank" r:id="rId21">
        <w:r>
          <w:rPr>
            <w:rStyle w:val="Hyperlink"/>
          </w:rPr>
          <w:t xml:space="preserve">UF AI Hub</w:t>
        </w:r>
      </w:hyperlink>
      <w:r>
        <w:t xml:space="preserve">) — plus NaviGator's purpose of "further injecting AI into the university's daily educational and business practices" (</w:t>
      </w:r>
      <w:hyperlink w:tgtFrame="_blank" r:id="rId26">
        <w:r>
          <w:rPr>
            <w:rStyle w:val="Hyperlink"/>
          </w:rPr>
          <w:t xml:space="preserve">NaviGator launch</w:t>
        </w:r>
      </w:hyperlink>
      <w:r>
        <w:t xml:space="preserve">) is squarely the Optimize posture (better speed, quality, reliability).</w:t>
      </w:r>
    </w:p>
    <w:p>
      <w:pPr>
        <w:pStyle w:val="BodyText"/>
      </w:pPr>
      <w:r>
        <w:t xml:space="preserve">Not chosen:</w:t>
      </w:r>
      <w:r>
        <w:t xml:space="preserve"> </w:t>
      </w:r>
      <w:r>
        <w:rPr>
          <w:i/>
          <w:iCs/>
        </w:rPr>
        <w:t xml:space="preserve">Cut costs</w:t>
      </w:r>
      <w:r>
        <w:t xml:space="preserve"> </w:t>
      </w:r>
      <w:r>
        <w:t xml:space="preserve">(no published headcount/spend-reduction goals);</w:t>
      </w:r>
      <w:r>
        <w:t xml:space="preserve"> </w:t>
      </w:r>
      <w:r>
        <w:rPr>
          <w:i/>
          <w:iCs/>
        </w:rPr>
        <w:t xml:space="preserve">Grow revenue</w:t>
      </w:r>
      <w:r>
        <w:t xml:space="preserve"> </w:t>
      </w:r>
      <w:r>
        <w:t xml:space="preserve">appears only indirectly (paid HiPerGator research allocations, stackable professional credentials, enrollment appeal) and is never stated as a driver;</w:t>
      </w:r>
      <w:r>
        <w:t xml:space="preserve"> </w:t>
      </w:r>
      <w:r>
        <w:rPr>
          <w:i/>
          <w:iCs/>
        </w:rPr>
        <w:t xml:space="preserve">Reduce risk</w:t>
      </w:r>
      <w:r>
        <w:t xml:space="preserve"> </w:t>
      </w:r>
      <w:r>
        <w:t xml:space="preserve">is treated as a guardrail, not the value case.</w:t>
      </w:r>
    </w:p>
    <w:p>
      <w:r>
        <w:pict>
          <v:rect style="width:0;height:1.5pt" o:hralign="center" o:hrstd="t" o:hr="t"/>
        </w:pict>
      </w:r>
    </w:p>
    <w:bookmarkEnd w:id="29"/>
    <w:bookmarkStart w:id="32" w:name="element-2--people-and-culture"/>
    <w:p>
      <w:pPr>
        <w:pStyle w:val="Heading2"/>
      </w:pPr>
      <w:r>
        <w:t xml:space="preserve">Element 2 — People and Culture</w:t>
      </w:r>
    </w:p>
    <w:p>
      <w:pPr>
        <w:pStyle w:val="FirstParagraph"/>
      </w:pPr>
      <w:r>
        <w:rPr>
          <w:b/>
          <w:bCs/>
        </w:rPr>
        <w:t xml:space="preserve">Classification: Empowerment (dominant, university-wide), with Augmentation as the stated mode for day-to-day tool use.</w:t>
      </w:r>
    </w:p>
    <w:p>
      <w:pPr>
        <w:pStyle w:val="BodyText"/>
      </w:pPr>
      <w:r>
        <w:t xml:space="preserve">Empowerment — provide tools and training, workers/students bring curiosity and initiative — is nearly verbatim UF language:</w:t>
      </w:r>
    </w:p>
    <w:p>
      <w:pPr>
        <w:pStyle w:val="Compact"/>
        <w:numPr>
          <w:ilvl w:val="0"/>
          <w:numId w:val="1003"/>
        </w:numPr>
      </w:pPr>
      <w:r>
        <w:t xml:space="preserve">"...upholds the university's vision to prepare every student, faculty, and staff member to be empowered AI users." —</w:t>
      </w:r>
      <w:r>
        <w:t xml:space="preserve"> </w:t>
      </w:r>
      <w:hyperlink w:tgtFrame="_blank" r:id="rId26">
        <w:r>
          <w:rPr>
            <w:rStyle w:val="Hyperlink"/>
          </w:rPr>
          <w:t xml:space="preserve">NaviGator AI launch</w:t>
        </w:r>
      </w:hyperlink>
    </w:p>
    <w:p>
      <w:pPr>
        <w:pStyle w:val="Compact"/>
        <w:numPr>
          <w:ilvl w:val="0"/>
          <w:numId w:val="1003"/>
        </w:numPr>
      </w:pPr>
      <w:r>
        <w:t xml:space="preserve">"Start big or start small. Just start." —</w:t>
      </w:r>
      <w:r>
        <w:t xml:space="preserve"> </w:t>
      </w:r>
      <w:hyperlink w:tgtFrame="_blank" r:id="rId21">
        <w:r>
          <w:rPr>
            <w:rStyle w:val="Hyperlink"/>
          </w:rPr>
          <w:t xml:space="preserve">UF AI Hub</w:t>
        </w:r>
      </w:hyperlink>
    </w:p>
    <w:p>
      <w:pPr>
        <w:pStyle w:val="Compact"/>
        <w:numPr>
          <w:ilvl w:val="0"/>
          <w:numId w:val="1003"/>
        </w:numPr>
      </w:pPr>
      <w:r>
        <w:t xml:space="preserve">Provost Glover: "I believe that every student should have the opportunity to learn AI for their future benefit, and that it's actually best done in the context of their chosen major." —</w:t>
      </w:r>
      <w:r>
        <w:t xml:space="preserve"> </w:t>
      </w:r>
      <w:hyperlink w:tgtFrame="_blank" r:id="rId30">
        <w:r>
          <w:rPr>
            <w:rStyle w:val="Hyperlink"/>
          </w:rPr>
          <w:t xml:space="preserve">AI Across the Curriculum</w:t>
        </w:r>
      </w:hyperlink>
    </w:p>
    <w:p>
      <w:pPr>
        <w:pStyle w:val="Compact"/>
        <w:numPr>
          <w:ilvl w:val="0"/>
          <w:numId w:val="1003"/>
        </w:numPr>
      </w:pPr>
      <w:r>
        <w:t xml:space="preserve">Ja'Net Glover (career services): "AI is not an IT thing or an engineering thing. This is an everybody thing." —</w:t>
      </w:r>
      <w:r>
        <w:t xml:space="preserve"> </w:t>
      </w:r>
      <w:hyperlink w:tgtFrame="_blank" r:id="rId28">
        <w:r>
          <w:rPr>
            <w:rStyle w:val="Hyperlink"/>
          </w:rPr>
          <w:t xml:space="preserve">Inside Higher Ed feature</w:t>
        </w:r>
      </w:hyperlink>
    </w:p>
    <w:p>
      <w:pPr>
        <w:pStyle w:val="Compact"/>
        <w:numPr>
          <w:ilvl w:val="0"/>
          <w:numId w:val="1003"/>
        </w:numPr>
      </w:pPr>
      <w:r>
        <w:t xml:space="preserve">Massive training scaffolding: AI Learning Academy, AI Days, AI Adventure Series, AI Faculty Awards, HR "AI Foundations" certificate program, university-wide AI Fundamentals certificate open to all majors. —</w:t>
      </w:r>
      <w:r>
        <w:t xml:space="preserve"> </w:t>
      </w:r>
      <w:hyperlink w:tgtFrame="_blank" r:id="rId31">
        <w:r>
          <w:rPr>
            <w:rStyle w:val="Hyperlink"/>
          </w:rPr>
          <w:t xml:space="preserve">AI² Center</w:t>
        </w:r>
      </w:hyperlink>
      <w:r>
        <w:t xml:space="preserve">,</w:t>
      </w:r>
      <w:r>
        <w:t xml:space="preserve"> </w:t>
      </w:r>
      <w:hyperlink w:tgtFrame="_blank" r:id="rId24">
        <w:r>
          <w:rPr>
            <w:rStyle w:val="Hyperlink"/>
          </w:rPr>
          <w:t xml:space="preserve">Guidelines</w:t>
        </w:r>
      </w:hyperlink>
      <w:r>
        <w:t xml:space="preserve">,</w:t>
      </w:r>
      <w:r>
        <w:t xml:space="preserve"> </w:t>
      </w:r>
      <w:hyperlink w:tgtFrame="_blank" r:id="rId21">
        <w:r>
          <w:rPr>
            <w:rStyle w:val="Hyperlink"/>
          </w:rPr>
          <w:t xml:space="preserve">UF AI Hub</w:t>
        </w:r>
      </w:hyperlink>
    </w:p>
    <w:p>
      <w:pPr>
        <w:pStyle w:val="FirstParagraph"/>
      </w:pPr>
      <w:r>
        <w:t xml:space="preserve">Augmentation appears in how tools are framed ("AI can assist instructors with course preparation...", "AI should be utilized as a tool to augment and support the capabilities of employees on campus and should not be a replacement for human judgement" —</w:t>
      </w:r>
      <w:r>
        <w:t xml:space="preserve"> </w:t>
      </w:r>
      <w:hyperlink w:tgtFrame="_blank" r:id="rId24">
        <w:r>
          <w:rPr>
            <w:rStyle w:val="Hyperlink"/>
          </w:rPr>
          <w:t xml:space="preserve">Guidelines</w:t>
        </w:r>
      </w:hyperlink>
      <w:r>
        <w:t xml:space="preserve">). There is no evidence of an Automation (headcount-avoidance) posture anywhere in UF's public materials; the HR guidance explicitly requires human decision-makers.</w:t>
      </w:r>
    </w:p>
    <w:p>
      <w:r>
        <w:pict>
          <v:rect style="width:0;height:1.5pt" o:hralign="center" o:hrstd="t" o:hr="t"/>
        </w:pict>
      </w:r>
    </w:p>
    <w:bookmarkEnd w:id="32"/>
    <w:bookmarkStart w:id="37" w:name="element-3--engineering"/>
    <w:p>
      <w:pPr>
        <w:pStyle w:val="Heading2"/>
      </w:pPr>
      <w:r>
        <w:t xml:space="preserve">Element 3 — Engineering</w:t>
      </w:r>
    </w:p>
    <w:p>
      <w:pPr>
        <w:pStyle w:val="FirstParagraph"/>
      </w:pPr>
      <w:r>
        <w:rPr>
          <w:b/>
          <w:bCs/>
        </w:rPr>
        <w:t xml:space="preserve">Classification: Blend-preferred approach + Invest in all AI skills (AI-first) skills posture.</w:t>
      </w:r>
    </w:p>
    <w:p>
      <w:pPr>
        <w:pStyle w:val="BodyText"/>
      </w:pPr>
      <w:r>
        <w:rPr>
          <w:b/>
          <w:bCs/>
        </w:rPr>
        <w:t xml:space="preserve">Blend-preferred.</w:t>
      </w:r>
      <w:r>
        <w:t xml:space="preserve"> </w:t>
      </w:r>
      <w:r>
        <w:t xml:space="preserve">UF's flagship platform, NaviGator AI, is precisely the "public models + secure wrappers/interfaces" pattern:</w:t>
      </w:r>
    </w:p>
    <w:p>
      <w:pPr>
        <w:pStyle w:val="Compact"/>
        <w:numPr>
          <w:ilvl w:val="0"/>
          <w:numId w:val="1004"/>
        </w:numPr>
      </w:pPr>
      <w:r>
        <w:t xml:space="preserve">"NaviGator AI Chat was custom-built to allow UF faculty, students, and staff to interact with their data in a private, GPT-like environment using their choice of Large Language Models... hosts 26 LLMs, including NVIDIA NIMs for Meta's Llama, Mistral, and ESMFold protein; OpenAI's GPT and DALL-E; Google's Gemini; Stability AI's Stable Diffusion; and Anthropic's Claude." —</w:t>
      </w:r>
      <w:r>
        <w:t xml:space="preserve"> </w:t>
      </w:r>
      <w:hyperlink w:tgtFrame="_blank" r:id="rId26">
        <w:r>
          <w:rPr>
            <w:rStyle w:val="Hyperlink"/>
          </w:rPr>
          <w:t xml:space="preserve">NaviGator AI launch, 2024</w:t>
        </w:r>
      </w:hyperlink>
    </w:p>
    <w:p>
      <w:pPr>
        <w:pStyle w:val="Compact"/>
        <w:numPr>
          <w:ilvl w:val="0"/>
          <w:numId w:val="1004"/>
        </w:numPr>
      </w:pPr>
      <w:r>
        <w:t xml:space="preserve">The wrapper is dual-backed: open models served locally on UF's own HiPerGator, and cloud models under contracted vendor agreements. —</w:t>
      </w:r>
      <w:r>
        <w:t xml:space="preserve"> </w:t>
      </w:r>
      <w:hyperlink w:tgtFrame="_blank" r:id="rId33">
        <w:r>
          <w:rPr>
            <w:rStyle w:val="Hyperlink"/>
          </w:rPr>
          <w:t xml:space="preserve">NaviGator Chat (UFIT)</w:t>
        </w:r>
      </w:hyperlink>
    </w:p>
    <w:p>
      <w:pPr>
        <w:pStyle w:val="Compact"/>
        <w:numPr>
          <w:ilvl w:val="0"/>
          <w:numId w:val="1004"/>
        </w:numPr>
      </w:pPr>
      <w:r>
        <w:t xml:space="preserve">Off-the-shelf products are also sanctioned ("UF GPT: Microsoft Copilot"), so there is a buy element, but the center of gravity is the in-house-built secure interface over third-party models. —</w:t>
      </w:r>
      <w:r>
        <w:t xml:space="preserve"> </w:t>
      </w:r>
      <w:hyperlink w:tgtFrame="_blank" r:id="rId24">
        <w:r>
          <w:rPr>
            <w:rStyle w:val="Hyperlink"/>
          </w:rPr>
          <w:t xml:space="preserve">Guidelines</w:t>
        </w:r>
      </w:hyperlink>
    </w:p>
    <w:p>
      <w:pPr>
        <w:pStyle w:val="Compact"/>
        <w:numPr>
          <w:ilvl w:val="0"/>
          <w:numId w:val="1004"/>
        </w:numPr>
      </w:pPr>
      <w:r>
        <w:t xml:space="preserve">Build-first elements exist at the infrastructure layer (university-owned supercomputer, first DGX B200 SuperPOD in U.S. higher education) rather than the bespoke-model layer. —</w:t>
      </w:r>
      <w:r>
        <w:t xml:space="preserve"> </w:t>
      </w:r>
      <w:hyperlink w:tgtFrame="_blank" r:id="rId34">
        <w:r>
          <w:rPr>
            <w:rStyle w:val="Hyperlink"/>
          </w:rPr>
          <w:t xml:space="preserve">HiPerGator</w:t>
        </w:r>
      </w:hyperlink>
      <w:r>
        <w:t xml:space="preserve">,</w:t>
      </w:r>
      <w:r>
        <w:t xml:space="preserve"> </w:t>
      </w:r>
      <w:hyperlink w:tgtFrame="_blank" r:id="rId35">
        <w:r>
          <w:rPr>
            <w:rStyle w:val="Hyperlink"/>
          </w:rPr>
          <w:t xml:space="preserve">HiPerGator 4th gen, 2025</w:t>
        </w:r>
      </w:hyperlink>
    </w:p>
    <w:p>
      <w:pPr>
        <w:pStyle w:val="FirstParagraph"/>
      </w:pPr>
      <w:r>
        <w:rPr>
          <w:b/>
          <w:bCs/>
        </w:rPr>
        <w:t xml:space="preserve">AI-first skills posture.</w:t>
      </w:r>
      <w:r>
        <w:t xml:space="preserve"> </w:t>
      </w:r>
      <w:r>
        <w:t xml:space="preserve">UF insources essentially everything: UFIT "developed and released" NaviGator itself (</w:t>
      </w:r>
      <w:hyperlink w:tgtFrame="_blank" r:id="rId26">
        <w:r>
          <w:rPr>
            <w:rStyle w:val="Hyperlink"/>
          </w:rPr>
          <w:t xml:space="preserve">NaviGator launch</w:t>
        </w:r>
      </w:hyperlink>
      <w:r>
        <w:t xml:space="preserve">); 106 AI faculty hired 2020–2022 across all 16 colleges (</w:t>
      </w:r>
      <w:hyperlink w:tgtFrame="_blank" r:id="rId27">
        <w:r>
          <w:rPr>
            <w:rStyle w:val="Hyperlink"/>
          </w:rPr>
          <w:t xml:space="preserve">Warrington case study</w:t>
        </w:r>
      </w:hyperlink>
      <w:r>
        <w:t xml:space="preserve">); in-house Research Computing Facilitators and Research Software Engineers support HiPerGator users (</w:t>
      </w:r>
      <w:hyperlink w:tgtFrame="_blank" r:id="rId24">
        <w:r>
          <w:rPr>
            <w:rStyle w:val="Hyperlink"/>
          </w:rPr>
          <w:t xml:space="preserve">Guidelines — researcher section</w:t>
        </w:r>
      </w:hyperlink>
      <w:r>
        <w:t xml:space="preserve">). NVIDIA supplies hardware, training, and solution architects as a partner, but operation and development are UF-owned (</w:t>
      </w:r>
      <w:hyperlink w:tgtFrame="_blank" r:id="rId36">
        <w:r>
          <w:rPr>
            <w:rStyle w:val="Hyperlink"/>
          </w:rPr>
          <w:t xml:space="preserve">NVIDIA partnership, 2020</w:t>
        </w:r>
      </w:hyperlink>
      <w:r>
        <w:t xml:space="preserve">).</w:t>
      </w:r>
    </w:p>
    <w:p>
      <w:r>
        <w:pict>
          <v:rect style="width:0;height:1.5pt" o:hralign="center" o:hrstd="t" o:hr="t"/>
        </w:pict>
      </w:r>
    </w:p>
    <w:bookmarkEnd w:id="37"/>
    <w:bookmarkStart w:id="38" w:name="element-4--governance"/>
    <w:p>
      <w:pPr>
        <w:pStyle w:val="Heading2"/>
      </w:pPr>
      <w:r>
        <w:t xml:space="preserve">Element 4 — Governance</w:t>
      </w:r>
    </w:p>
    <w:p>
      <w:pPr>
        <w:pStyle w:val="FirstParagraph"/>
      </w:pPr>
      <w:r>
        <w:rPr>
          <w:b/>
          <w:bCs/>
        </w:rPr>
        <w:t xml:space="preserve">Classification: Edge Ownership (policies + professionalism; trust departments), inside centrally provided guardrails.</w:t>
      </w:r>
    </w:p>
    <w:p>
      <w:pPr>
        <w:pStyle w:val="Compact"/>
        <w:numPr>
          <w:ilvl w:val="0"/>
          <w:numId w:val="1005"/>
        </w:numPr>
      </w:pPr>
      <w:r>
        <w:t xml:space="preserve">UF's most telling governance decision: "Administrators at UF evaluated current regulations and policies and chose not to change or amend them in reference to AI or generative AI. In each case it was determined that the regulations and policies were sufficiently robust that such additions were not necessary." —</w:t>
      </w:r>
      <w:r>
        <w:t xml:space="preserve"> </w:t>
      </w:r>
      <w:hyperlink w:tgtFrame="_blank" r:id="rId24">
        <w:r>
          <w:rPr>
            <w:rStyle w:val="Hyperlink"/>
          </w:rPr>
          <w:t xml:space="preserve">Guidelines for Use of AI at UF</w:t>
        </w:r>
      </w:hyperlink>
      <w:r>
        <w:t xml:space="preserve">. This is governance by existing policy plus professional judgment, not new central AI review boards.</w:t>
      </w:r>
    </w:p>
    <w:p>
      <w:pPr>
        <w:pStyle w:val="Compact"/>
        <w:numPr>
          <w:ilvl w:val="0"/>
          <w:numId w:val="1005"/>
        </w:numPr>
      </w:pPr>
      <w:r>
        <w:t xml:space="preserve">Course-level AI rules are delegated to instructors, who choose among three integration levels (AI-Permitted / Some AI / No AI), and "Syllabus guidelines may vary by college, department, and/or course." —</w:t>
      </w:r>
      <w:r>
        <w:t xml:space="preserve"> </w:t>
      </w:r>
      <w:hyperlink w:tgtFrame="_blank" r:id="rId24">
        <w:r>
          <w:rPr>
            <w:rStyle w:val="Hyperlink"/>
          </w:rPr>
          <w:t xml:space="preserve">Guidelines</w:t>
        </w:r>
      </w:hyperlink>
    </w:p>
    <w:p>
      <w:pPr>
        <w:pStyle w:val="Compact"/>
        <w:numPr>
          <w:ilvl w:val="0"/>
          <w:numId w:val="1005"/>
        </w:numPr>
      </w:pPr>
      <w:r>
        <w:t xml:space="preserve">The Guidelines are framed as dos and don'ts and "guiding principles" (AI is for Everyone; Transparency and Accountability; Reliability and Safety; etc.) rather than approval gates. Version 1 (2023) was produced by a broad faculty/staff working group; Version 2 (2026) updated tools and language. —</w:t>
      </w:r>
      <w:r>
        <w:t xml:space="preserve"> </w:t>
      </w:r>
      <w:hyperlink w:tgtFrame="_blank" r:id="rId24">
        <w:r>
          <w:rPr>
            <w:rStyle w:val="Hyperlink"/>
          </w:rPr>
          <w:t xml:space="preserve">Guidelines</w:t>
        </w:r>
      </w:hyperlink>
    </w:p>
    <w:p>
      <w:pPr>
        <w:pStyle w:val="Compact"/>
        <w:numPr>
          <w:ilvl w:val="0"/>
          <w:numId w:val="1005"/>
        </w:numPr>
      </w:pPr>
      <w:r>
        <w:t xml:space="preserve">Central guardrails do exist at the tool/data layer — new AI applications must pass UFIT's Integrated Risk Assessment ("Fast Path Solutions" list), and sensitive data is restricted to on-premises models — which gives the edges a safe sandbox to be trusted within. —</w:t>
      </w:r>
      <w:r>
        <w:t xml:space="preserve"> </w:t>
      </w:r>
      <w:hyperlink w:tgtFrame="_blank" r:id="rId24">
        <w:r>
          <w:rPr>
            <w:rStyle w:val="Hyperlink"/>
          </w:rPr>
          <w:t xml:space="preserve">Guidelines</w:t>
        </w:r>
      </w:hyperlink>
      <w:r>
        <w:t xml:space="preserve">,</w:t>
      </w:r>
      <w:r>
        <w:t xml:space="preserve"> </w:t>
      </w:r>
      <w:hyperlink w:tgtFrame="_blank" r:id="rId33">
        <w:r>
          <w:rPr>
            <w:rStyle w:val="Hyperlink"/>
          </w:rPr>
          <w:t xml:space="preserve">NaviGator Chat (UFIT)</w:t>
        </w:r>
      </w:hyperlink>
    </w:p>
    <w:p>
      <w:pPr>
        <w:pStyle w:val="Compact"/>
        <w:numPr>
          <w:ilvl w:val="0"/>
          <w:numId w:val="1005"/>
        </w:numPr>
      </w:pPr>
      <w:r>
        <w:t xml:space="preserve">Ethics is institutionalized as education rather than enforcement: required ethics courses in all AI certificates and micro-credentials, a Working Group in AI Ethics and Policy, and signature of the Rome Call for AI Ethics. —</w:t>
      </w:r>
      <w:r>
        <w:t xml:space="preserve"> </w:t>
      </w:r>
      <w:hyperlink w:tgtFrame="_blank" r:id="rId22">
        <w:r>
          <w:rPr>
            <w:rStyle w:val="Hyperlink"/>
          </w:rPr>
          <w:t xml:space="preserve">Building an AI University</w:t>
        </w:r>
      </w:hyperlink>
      <w:r>
        <w:t xml:space="preserve">,</w:t>
      </w:r>
      <w:r>
        <w:t xml:space="preserve"> </w:t>
      </w:r>
      <w:hyperlink w:tgtFrame="_blank" r:id="rId28">
        <w:r>
          <w:rPr>
            <w:rStyle w:val="Hyperlink"/>
          </w:rPr>
          <w:t xml:space="preserve">Inside Higher Ed feature</w:t>
        </w:r>
      </w:hyperlink>
    </w:p>
    <w:p>
      <w:pPr>
        <w:pStyle w:val="FirstParagraph"/>
      </w:pPr>
      <w:r>
        <w:t xml:space="preserve">Elements of "Intentional Innovation" (free experimentation with 26–30+ models via NaviGator) are present, but the strong policy scaffolding, risk-assessment requirement, and academic-integrity framing make Edge Ownership the best fit. UF is clearly not Risk-Averse (no central pre-approval of use cases) and no stoplight-triage body is documented (not "Quick Matters Most").</w:t>
      </w:r>
    </w:p>
    <w:p>
      <w:r>
        <w:pict>
          <v:rect style="width:0;height:1.5pt" o:hralign="center" o:hrstd="t" o:hr="t"/>
        </w:pict>
      </w:r>
    </w:p>
    <w:bookmarkEnd w:id="38"/>
    <w:bookmarkStart w:id="40" w:name="element-5--organization"/>
    <w:p>
      <w:pPr>
        <w:pStyle w:val="Heading2"/>
      </w:pPr>
      <w:r>
        <w:t xml:space="preserve">Element 5 — Organization</w:t>
      </w:r>
    </w:p>
    <w:p>
      <w:pPr>
        <w:pStyle w:val="FirstParagraph"/>
      </w:pPr>
      <w:r>
        <w:rPr>
          <w:b/>
          <w:bCs/>
        </w:rPr>
        <w:t xml:space="preserve">Classification: Deeply Structured.</w:t>
      </w:r>
    </w:p>
    <w:p>
      <w:pPr>
        <w:pStyle w:val="BodyText"/>
      </w:pPr>
      <w:r>
        <w:t xml:space="preserve">UF's operating model has all four components of the framework's Deeply Structured posture:</w:t>
      </w:r>
    </w:p>
    <w:p>
      <w:pPr>
        <w:pStyle w:val="Compact"/>
        <w:numPr>
          <w:ilvl w:val="0"/>
          <w:numId w:val="1006"/>
        </w:numPr>
      </w:pPr>
      <w:r>
        <w:rPr>
          <w:b/>
          <w:bCs/>
        </w:rPr>
        <w:t xml:space="preserve">Strategy/governance apex:</w:t>
      </w:r>
      <w:r>
        <w:t xml:space="preserve"> </w:t>
      </w:r>
      <w:r>
        <w:t xml:space="preserve">The Provost's Office "serves as the coordinating point for this university-wide initiative" —</w:t>
      </w:r>
      <w:r>
        <w:t xml:space="preserve"> </w:t>
      </w:r>
      <w:hyperlink w:tgtFrame="_blank" r:id="rId30">
        <w:r>
          <w:rPr>
            <w:rStyle w:val="Hyperlink"/>
          </w:rPr>
          <w:t xml:space="preserve">AI Across the Curriculum</w:t>
        </w:r>
      </w:hyperlink>
      <w:r>
        <w:t xml:space="preserve">; the Guidelines are issued by the Office of the Provost —</w:t>
      </w:r>
      <w:r>
        <w:t xml:space="preserve"> </w:t>
      </w:r>
      <w:hyperlink w:tgtFrame="_blank" r:id="rId24">
        <w:r>
          <w:rPr>
            <w:rStyle w:val="Hyperlink"/>
          </w:rPr>
          <w:t xml:space="preserve">Guidelines</w:t>
        </w:r>
      </w:hyperlink>
      <w:r>
        <w:t xml:space="preserve">; an</w:t>
      </w:r>
      <w:r>
        <w:t xml:space="preserve"> </w:t>
      </w:r>
      <w:r>
        <w:rPr>
          <w:b/>
          <w:bCs/>
        </w:rPr>
        <w:t xml:space="preserve">AI Education Committee (AI-Ed)</w:t>
      </w:r>
      <w:r>
        <w:t xml:space="preserve"> </w:t>
      </w:r>
      <w:r>
        <w:t xml:space="preserve">meets monthly to review and vote on AI course designations —</w:t>
      </w:r>
      <w:r>
        <w:t xml:space="preserve"> </w:t>
      </w:r>
      <w:hyperlink w:tgtFrame="_blank" r:id="rId39">
        <w:r>
          <w:rPr>
            <w:rStyle w:val="Hyperlink"/>
          </w:rPr>
          <w:t xml:space="preserve">AI Course Designations</w:t>
        </w:r>
      </w:hyperlink>
      <w:r>
        <w:t xml:space="preserve">.</w:t>
      </w:r>
    </w:p>
    <w:p>
      <w:pPr>
        <w:pStyle w:val="Compact"/>
        <w:numPr>
          <w:ilvl w:val="0"/>
          <w:numId w:val="1006"/>
        </w:numPr>
      </w:pPr>
      <w:r>
        <w:rPr>
          <w:b/>
          <w:bCs/>
        </w:rPr>
        <w:t xml:space="preserve">Shared-services COE:</w:t>
      </w:r>
      <w:r>
        <w:t xml:space="preserve"> </w:t>
      </w:r>
      <w:r>
        <w:t xml:space="preserve">The</w:t>
      </w:r>
      <w:r>
        <w:t xml:space="preserve"> </w:t>
      </w:r>
      <w:r>
        <w:rPr>
          <w:b/>
          <w:bCs/>
        </w:rPr>
        <w:t xml:space="preserve">AI² Center</w:t>
      </w:r>
      <w:r>
        <w:t xml:space="preserve"> </w:t>
      </w:r>
      <w:r>
        <w:t xml:space="preserve">(Artificial Intelligence Academic Initiative Center), established 2022, is the "central hub coordinating teaching and learning of AI across the university," coordinating program/certificate development, the AI Learning Academy, the Quality Enhancement Plan, and partnerships with the Career Connections Center, Florida colleges and universities, SEC universities, and industry. —</w:t>
      </w:r>
      <w:r>
        <w:t xml:space="preserve"> </w:t>
      </w:r>
      <w:hyperlink w:tgtFrame="_blank" r:id="rId31">
        <w:r>
          <w:rPr>
            <w:rStyle w:val="Hyperlink"/>
          </w:rPr>
          <w:t xml:space="preserve">AI² Center</w:t>
        </w:r>
      </w:hyperlink>
      <w:r>
        <w:t xml:space="preserve">,</w:t>
      </w:r>
      <w:r>
        <w:t xml:space="preserve"> </w:t>
      </w:r>
      <w:hyperlink w:tgtFrame="_blank" r:id="rId22">
        <w:r>
          <w:rPr>
            <w:rStyle w:val="Hyperlink"/>
          </w:rPr>
          <w:t xml:space="preserve">Building an AI University</w:t>
        </w:r>
      </w:hyperlink>
    </w:p>
    <w:p>
      <w:pPr>
        <w:pStyle w:val="Compact"/>
        <w:numPr>
          <w:ilvl w:val="0"/>
          <w:numId w:val="1006"/>
        </w:numPr>
      </w:pPr>
      <w:r>
        <w:rPr>
          <w:b/>
          <w:bCs/>
        </w:rPr>
        <w:t xml:space="preserve">Platform team:</w:t>
      </w:r>
      <w:r>
        <w:t xml:space="preserve"> </w:t>
      </w:r>
      <w:r>
        <w:t xml:space="preserve">UFIT (VP/CIO Elias Eldayrie; UFIT Research Computing under Erik Deumens) owns and operates HiPerGator and built/runs the NaviGator platform. —</w:t>
      </w:r>
      <w:r>
        <w:t xml:space="preserve"> </w:t>
      </w:r>
      <w:hyperlink w:tgtFrame="_blank" r:id="rId26">
        <w:r>
          <w:rPr>
            <w:rStyle w:val="Hyperlink"/>
          </w:rPr>
          <w:t xml:space="preserve">NaviGator AI launch</w:t>
        </w:r>
      </w:hyperlink>
      <w:r>
        <w:t xml:space="preserve">,</w:t>
      </w:r>
      <w:r>
        <w:t xml:space="preserve"> </w:t>
      </w:r>
      <w:hyperlink w:tgtFrame="_blank" r:id="rId35">
        <w:r>
          <w:rPr>
            <w:rStyle w:val="Hyperlink"/>
          </w:rPr>
          <w:t xml:space="preserve">HiPerGator 4th gen</w:t>
        </w:r>
      </w:hyperlink>
    </w:p>
    <w:p>
      <w:pPr>
        <w:pStyle w:val="Compact"/>
        <w:numPr>
          <w:ilvl w:val="0"/>
          <w:numId w:val="1006"/>
        </w:numPr>
      </w:pPr>
      <w:r>
        <w:rPr>
          <w:b/>
          <w:bCs/>
        </w:rPr>
        <w:t xml:space="preserve">Fusion/distributed delivery:</w:t>
      </w:r>
      <w:r>
        <w:t xml:space="preserve"> </w:t>
      </w:r>
      <w:r>
        <w:t xml:space="preserve">100+ strategically hired AI faculty embedded in all 16 colleges deliver AI in-discipline ("hired 100 strategic faculty across its 16 colleges to ensure each college has AI-trained faculty ready to teach within their disciplines"). —</w:t>
      </w:r>
      <w:r>
        <w:t xml:space="preserve"> </w:t>
      </w:r>
      <w:hyperlink w:tgtFrame="_blank" r:id="rId30">
        <w:r>
          <w:rPr>
            <w:rStyle w:val="Hyperlink"/>
          </w:rPr>
          <w:t xml:space="preserve">AI Across the Curriculum</w:t>
        </w:r>
      </w:hyperlink>
      <w:r>
        <w:t xml:space="preserve">,</w:t>
      </w:r>
      <w:r>
        <w:t xml:space="preserve"> </w:t>
      </w:r>
      <w:hyperlink w:tgtFrame="_blank" r:id="rId27">
        <w:r>
          <w:rPr>
            <w:rStyle w:val="Hyperlink"/>
          </w:rPr>
          <w:t xml:space="preserve">Warrington case study</w:t>
        </w:r>
      </w:hyperlink>
    </w:p>
    <w:p>
      <w:pPr>
        <w:pStyle w:val="Compact"/>
        <w:numPr>
          <w:ilvl w:val="0"/>
          <w:numId w:val="1006"/>
        </w:numPr>
      </w:pPr>
      <w:r>
        <w:t xml:space="preserve">Funding is also centrally orchestrated: $18.8M allocated across 15 projects in 10 colleges in 2023. —</w:t>
      </w:r>
      <w:r>
        <w:t xml:space="preserve"> </w:t>
      </w:r>
      <w:hyperlink w:tgtFrame="_blank" r:id="rId22">
        <w:r>
          <w:rPr>
            <w:rStyle w:val="Hyperlink"/>
          </w:rPr>
          <w:t xml:space="preserve">Building an AI University</w:t>
        </w:r>
      </w:hyperlink>
    </w:p>
    <w:p>
      <w:pPr>
        <w:pStyle w:val="FirstParagraph"/>
      </w:pPr>
      <w:r>
        <w:t xml:space="preserve">Leadership customization note: UF has no CAIO; leadership is split between academic (Provost/associate provosts, AI² Center directors — David Reed inaugural, Hans van Oostrom current) and technology (CIO Eldayrie) lines. The Warrington Press micro-case series on "the leadership structure behind UF's AI initiative" is forthcoming. —</w:t>
      </w:r>
      <w:r>
        <w:t xml:space="preserve"> </w:t>
      </w:r>
      <w:hyperlink w:tgtFrame="_blank" r:id="rId27">
        <w:r>
          <w:rPr>
            <w:rStyle w:val="Hyperlink"/>
          </w:rPr>
          <w:t xml:space="preserve">Warrington case study</w:t>
        </w:r>
      </w:hyperlink>
    </w:p>
    <w:p>
      <w:r>
        <w:pict>
          <v:rect style="width:0;height:1.5pt" o:hralign="center" o:hrstd="t" o:hr="t"/>
        </w:pict>
      </w:r>
    </w:p>
    <w:bookmarkEnd w:id="40"/>
    <w:bookmarkStart w:id="41" w:name="element-6--data"/>
    <w:p>
      <w:pPr>
        <w:pStyle w:val="Heading2"/>
      </w:pPr>
      <w:r>
        <w:t xml:space="preserve">Element 6 — Data</w:t>
      </w:r>
    </w:p>
    <w:p>
      <w:pPr>
        <w:pStyle w:val="FirstParagraph"/>
      </w:pPr>
      <w:r>
        <w:rPr>
          <w:b/>
          <w:bCs/>
        </w:rPr>
        <w:t xml:space="preserve">Classification: Supercaution (best single fit) — a deliberately tiered regime anchored on university-owned infrastructure, with controlled cloud use for non-sensitive data.</w:t>
      </w:r>
    </w:p>
    <w:p>
      <w:pPr>
        <w:pStyle w:val="Compact"/>
        <w:numPr>
          <w:ilvl w:val="0"/>
          <w:numId w:val="1007"/>
        </w:numPr>
      </w:pPr>
      <w:r>
        <w:t xml:space="preserve">The defining rule: "UF permits the usage of restricted or sensitive data with models deployed on UF HiPerGator (tagged as Sensitive and/or Restricted in NaviGator Chat). The usage of restricted or sensitive data is not permitted with cloud models (tagged as External in NaviGator Chat)." —</w:t>
      </w:r>
      <w:r>
        <w:t xml:space="preserve"> </w:t>
      </w:r>
      <w:hyperlink w:tgtFrame="_blank" r:id="rId24">
        <w:r>
          <w:rPr>
            <w:rStyle w:val="Hyperlink"/>
          </w:rPr>
          <w:t xml:space="preserve">Guidelines</w:t>
        </w:r>
      </w:hyperlink>
    </w:p>
    <w:p>
      <w:pPr>
        <w:pStyle w:val="Compact"/>
        <w:numPr>
          <w:ilvl w:val="0"/>
          <w:numId w:val="1007"/>
        </w:numPr>
      </w:pPr>
      <w:r>
        <w:t xml:space="preserve">"The private environment guarantees user data is not used in the training of any available model." —</w:t>
      </w:r>
      <w:r>
        <w:t xml:space="preserve"> </w:t>
      </w:r>
      <w:hyperlink w:tgtFrame="_blank" r:id="rId26">
        <w:r>
          <w:rPr>
            <w:rStyle w:val="Hyperlink"/>
          </w:rPr>
          <w:t xml:space="preserve">NaviGator AI launch</w:t>
        </w:r>
      </w:hyperlink>
      <w:r>
        <w:t xml:space="preserve">; "Data does not contribute to model training... Messages sent to cloud-hosted models (Microsoft, Amazon, Google) follow existing vendor agreements." —</w:t>
      </w:r>
      <w:r>
        <w:t xml:space="preserve"> </w:t>
      </w:r>
      <w:hyperlink w:tgtFrame="_blank" r:id="rId33">
        <w:r>
          <w:rPr>
            <w:rStyle w:val="Hyperlink"/>
          </w:rPr>
          <w:t xml:space="preserve">NaviGator Chat (UFIT)</w:t>
        </w:r>
      </w:hyperlink>
    </w:p>
    <w:p>
      <w:pPr>
        <w:pStyle w:val="Compact"/>
        <w:numPr>
          <w:ilvl w:val="0"/>
          <w:numId w:val="1007"/>
        </w:numPr>
      </w:pPr>
      <w:r>
        <w:t xml:space="preserve">By 2024, "UF policy mandates faculty, staff, and students use NaviGator AI for university business" — channeling institutional data through the secured platform. —</w:t>
      </w:r>
      <w:r>
        <w:t xml:space="preserve"> </w:t>
      </w:r>
      <w:hyperlink w:tgtFrame="_blank" r:id="rId22">
        <w:r>
          <w:rPr>
            <w:rStyle w:val="Hyperlink"/>
          </w:rPr>
          <w:t xml:space="preserve">Building an AI University</w:t>
        </w:r>
      </w:hyperlink>
    </w:p>
    <w:p>
      <w:pPr>
        <w:pStyle w:val="Compact"/>
        <w:numPr>
          <w:ilvl w:val="0"/>
          <w:numId w:val="1007"/>
        </w:numPr>
      </w:pPr>
      <w:r>
        <w:t xml:space="preserve">Data management is treated as strategic: CIO Eldayrie — "Clean data is the oxygen of AI"; data handling is governed by UF's Data Classification Policy, Restricted Data regulation, and Integrated Risk Assessment of tools. —</w:t>
      </w:r>
      <w:r>
        <w:t xml:space="preserve"> </w:t>
      </w:r>
      <w:hyperlink w:tgtFrame="_blank" r:id="rId22">
        <w:r>
          <w:rPr>
            <w:rStyle w:val="Hyperlink"/>
          </w:rPr>
          <w:t xml:space="preserve">Building an AI University</w:t>
        </w:r>
      </w:hyperlink>
      <w:r>
        <w:t xml:space="preserve">,</w:t>
      </w:r>
      <w:r>
        <w:t xml:space="preserve"> </w:t>
      </w:r>
      <w:hyperlink w:tgtFrame="_blank" r:id="rId24">
        <w:r>
          <w:rPr>
            <w:rStyle w:val="Hyperlink"/>
          </w:rPr>
          <w:t xml:space="preserve">Guidelines</w:t>
        </w:r>
      </w:hyperlink>
    </w:p>
    <w:p>
      <w:pPr>
        <w:pStyle w:val="Compact"/>
        <w:numPr>
          <w:ilvl w:val="0"/>
          <w:numId w:val="1007"/>
        </w:numPr>
      </w:pPr>
      <w:r>
        <w:t xml:space="preserve">AI-Centric signals exist — UF owns the most powerful university-operated AI supercomputer and continuously expands storage (Orange 3→16→30 PB) and compute as competitive advantage (</w:t>
      </w:r>
      <w:hyperlink w:tgtFrame="_blank" r:id="rId22">
        <w:r>
          <w:rPr>
            <w:rStyle w:val="Hyperlink"/>
          </w:rPr>
          <w:t xml:space="preserve">Building an AI University</w:t>
        </w:r>
      </w:hyperlink>
      <w:r>
        <w:t xml:space="preserve">,</w:t>
      </w:r>
      <w:r>
        <w:t xml:space="preserve"> </w:t>
      </w:r>
      <w:hyperlink w:tgtFrame="_blank" r:id="rId34">
        <w:r>
          <w:rPr>
            <w:rStyle w:val="Hyperlink"/>
          </w:rPr>
          <w:t xml:space="preserve">HiPerGator</w:t>
        </w:r>
      </w:hyperlink>
      <w:r>
        <w:t xml:space="preserve">) — and UF Health has publicly trained bespoke clinical models (e.g., GatorTron) on HiPerGator, but that program is not covered in this source library, so a full AI-Centric classification is not claimed here.</w:t>
      </w:r>
    </w:p>
    <w:p>
      <w:pPr>
        <w:pStyle w:val="FirstParagraph"/>
      </w:pPr>
      <w:r>
        <w:t xml:space="preserve">Pure Supercaution ("AI only inside our own secure firewalls") slightly overstates UF's stance for non-sensitive use, where contracted cloud models are allowed; the posture is best read as</w:t>
      </w:r>
      <w:r>
        <w:t xml:space="preserve"> </w:t>
      </w:r>
      <w:r>
        <w:rPr>
          <w:b/>
          <w:bCs/>
        </w:rPr>
        <w:t xml:space="preserve">Supercaution for anything sensitive, secure-wrapper pragmatism for everything else</w:t>
      </w:r>
      <w:r>
        <w:t xml:space="preserve">.</w:t>
      </w:r>
    </w:p>
    <w:p>
      <w:r>
        <w:pict>
          <v:rect style="width:0;height:1.5pt" o:hralign="center" o:hrstd="t" o:hr="t"/>
        </w:pict>
      </w:r>
    </w:p>
    <w:bookmarkEnd w:id="41"/>
    <w:bookmarkStart w:id="43" w:name="timeline-of-implementation"/>
    <w:p>
      <w:pPr>
        <w:pStyle w:val="Heading2"/>
      </w:pPr>
      <w:r>
        <w:t xml:space="preserve">Timeline of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When</w:t>
            </w:r>
          </w:p>
        </w:tc>
        <w:tc>
          <w:tcPr/>
          <w:p>
            <w:pPr>
              <w:pStyle w:val="Compact"/>
            </w:pPr>
            <w:r>
              <w:t xml:space="preserve">Milestone</w:t>
            </w:r>
          </w:p>
        </w:tc>
        <w:tc>
          <w:tcPr/>
          <w:p>
            <w:pPr>
              <w:pStyle w:val="Compact"/>
            </w:pPr>
            <w:r>
              <w:t xml:space="preserve">Source</w:t>
            </w:r>
          </w:p>
        </w:tc>
      </w:tr>
      <w:tr>
        <w:tc>
          <w:tcPr/>
          <w:p>
            <w:pPr>
              <w:pStyle w:val="Compact"/>
            </w:pPr>
            <w:r>
              <w:t xml:space="preserve">Pre-2020</w:t>
            </w:r>
          </w:p>
        </w:tc>
        <w:tc>
          <w:tcPr/>
          <w:p>
            <w:pPr>
              <w:pStyle w:val="Compact"/>
            </w:pPr>
            <w:r>
              <w:t xml:space="preserve">HiPerGator generations 1–2; Provost Glover's vision to "build an AI university and integrate AI across the curriculum"</w:t>
            </w:r>
          </w:p>
        </w:tc>
        <w:tc>
          <w:tcPr/>
          <w:p>
            <w:pPr>
              <w:pStyle w:val="Compact"/>
            </w:pPr>
            <w:hyperlink w:tgtFrame="_blank" r:id="rId22">
              <w:r>
                <w:rPr>
                  <w:rStyle w:val="Hyperlink"/>
                </w:rPr>
                <w:t xml:space="preserve">Building an AI University</w:t>
              </w:r>
            </w:hyperlink>
          </w:p>
        </w:tc>
      </w:tr>
      <w:tr>
        <w:tc>
          <w:tcPr/>
          <w:p>
            <w:pPr>
              <w:pStyle w:val="Compact"/>
            </w:pPr>
            <w:r>
              <w:t xml:space="preserve">Jul 21–22, 2020</w:t>
            </w:r>
          </w:p>
        </w:tc>
        <w:tc>
          <w:tcPr/>
          <w:p>
            <w:pPr>
              <w:pStyle w:val="Compact"/>
            </w:pPr>
            <m:oMath>
              <m:r>
                <m:t>70</m:t>
              </m:r>
              <m:r>
                <m:t>M</m:t>
              </m:r>
              <m:r>
                <m:t>U</m:t>
              </m:r>
              <m:r>
                <m:t>F</m:t>
              </m:r>
              <m:r>
                <m:rPr>
                  <m:sty m:val="p"/>
                </m:rPr>
                <m:t>–</m:t>
              </m:r>
              <m:r>
                <m:t>N</m:t>
              </m:r>
              <m:r>
                <m:t>V</m:t>
              </m:r>
              <m:r>
                <m:t>I</m:t>
              </m:r>
              <m:r>
                <m:t>D</m:t>
              </m:r>
              <m:r>
                <m:t>I</m:t>
              </m:r>
              <m:r>
                <m:t>A</m:t>
              </m:r>
              <m:r>
                <m:t>p</m:t>
              </m:r>
              <m:r>
                <m:t>a</m:t>
              </m:r>
              <m:r>
                <m:t>r</m:t>
              </m:r>
              <m:r>
                <m:t>t</m:t>
              </m:r>
              <m:r>
                <m:t>n</m:t>
              </m:r>
              <m:r>
                <m:t>e</m:t>
              </m:r>
              <m:r>
                <m:t>r</m:t>
              </m:r>
              <m:r>
                <m:t>s</m:t>
              </m:r>
              <m:r>
                <m:t>h</m:t>
              </m:r>
              <m:r>
                <m:t>i</m:t>
              </m:r>
              <m:r>
                <m:t>p</m:t>
              </m:r>
              <m:r>
                <m:t>a</m:t>
              </m:r>
              <m:r>
                <m:t>n</m:t>
              </m:r>
              <m:r>
                <m:t>n</m:t>
              </m:r>
              <m:r>
                <m:t>o</m:t>
              </m:r>
              <m:r>
                <m:t>u</m:t>
              </m:r>
              <m:r>
                <m:t>n</m:t>
              </m:r>
              <m:r>
                <m:t>c</m:t>
              </m:r>
              <m:r>
                <m:t>e</m:t>
              </m:r>
              <m:r>
                <m:t>d</m:t>
              </m:r>
              <m:r>
                <m:rPr>
                  <m:sty m:val="p"/>
                </m:rPr>
                <m:t>(</m:t>
              </m:r>
            </m:oMath>
            <w:r>
              <w:t xml:space="preserve">25M Malachowsky + $25M NVIDIA in-kind + $20M UF); commitment to hire 100 AI faculty and integrate AI across all disciplines; first U.S. university to receive DGX A100 systems</w:t>
            </w:r>
          </w:p>
        </w:tc>
        <w:tc>
          <w:tcPr/>
          <w:p>
            <w:pPr>
              <w:pStyle w:val="Compact"/>
            </w:pPr>
            <w:hyperlink w:tgtFrame="_blank" r:id="rId36">
              <w:r>
                <w:rPr>
                  <w:rStyle w:val="Hyperlink"/>
                </w:rPr>
                <w:t xml:space="preserve">NVIDIA Partnership 2020</w:t>
              </w:r>
            </w:hyperlink>
          </w:p>
        </w:tc>
      </w:tr>
      <w:tr>
        <w:tc>
          <w:tcPr/>
          <w:p>
            <w:pPr>
              <w:pStyle w:val="Compact"/>
            </w:pPr>
            <w:r>
              <w:t xml:space="preserve">2020</w:t>
            </w:r>
          </w:p>
        </w:tc>
        <w:tc>
          <w:tcPr/>
          <w:p>
            <w:pPr>
              <w:pStyle w:val="Compact"/>
            </w:pPr>
            <w:r>
              <w:t xml:space="preserve">$15M datacenter investment; HiPerGator 3 acquisition (140 DGX A100 nodes, 1,120 A100 GPUs)</w:t>
            </w:r>
          </w:p>
        </w:tc>
        <w:tc>
          <w:tcPr/>
          <w:p>
            <w:pPr>
              <w:pStyle w:val="Compact"/>
            </w:pPr>
            <w:hyperlink w:tgtFrame="_blank" r:id="rId22">
              <w:r>
                <w:rPr>
                  <w:rStyle w:val="Hyperlink"/>
                </w:rPr>
                <w:t xml:space="preserve">Building an AI University</w:t>
              </w:r>
            </w:hyperlink>
          </w:p>
        </w:tc>
      </w:tr>
      <w:tr>
        <w:tc>
          <w:tcPr/>
          <w:p>
            <w:pPr>
              <w:pStyle w:val="Compact"/>
            </w:pPr>
            <w:r>
              <w:t xml:space="preserve">2021</w:t>
            </w:r>
          </w:p>
        </w:tc>
        <w:tc>
          <w:tcPr/>
          <w:p>
            <w:pPr>
              <w:pStyle w:val="Compact"/>
            </w:pPr>
            <w:r>
              <w:t xml:space="preserve">HiPerGator AI completed — #22 TOP500, #2 Green500, most powerful AI supercomputer in higher ed; 106 AI faculty hired 2020–2022</w:t>
            </w:r>
          </w:p>
        </w:tc>
        <w:tc>
          <w:tcPr/>
          <w:p>
            <w:pPr>
              <w:pStyle w:val="Compact"/>
            </w:pPr>
            <w:hyperlink w:tgtFrame="_blank" r:id="rId34">
              <w:r>
                <w:rPr>
                  <w:rStyle w:val="Hyperlink"/>
                </w:rPr>
                <w:t xml:space="preserve">HiPerGator</w:t>
              </w:r>
            </w:hyperlink>
            <w:r>
              <w:t xml:space="preserve">,</w:t>
            </w:r>
            <w:r>
              <w:t xml:space="preserve"> </w:t>
            </w:r>
            <w:hyperlink w:tgtFrame="_blank" r:id="rId27">
              <w:r>
                <w:rPr>
                  <w:rStyle w:val="Hyperlink"/>
                </w:rPr>
                <w:t xml:space="preserve">Warrington case study</w:t>
              </w:r>
            </w:hyperlink>
          </w:p>
        </w:tc>
      </w:tr>
      <w:tr>
        <w:tc>
          <w:tcPr/>
          <w:p>
            <w:pPr>
              <w:pStyle w:val="Compact"/>
            </w:pPr>
            <w:r>
              <w:t xml:space="preserve">2022</w:t>
            </w:r>
          </w:p>
        </w:tc>
        <w:tc>
          <w:tcPr/>
          <w:p>
            <w:pPr>
              <w:pStyle w:val="Compact"/>
            </w:pPr>
            <w:r>
              <w:t xml:space="preserve">AI Across the Curriculum launch; AI² Center established; AI Days and AI Scholars begin; storage expansion (Orange 3→16 PB)</w:t>
            </w:r>
          </w:p>
        </w:tc>
        <w:tc>
          <w:tcPr/>
          <w:p>
            <w:pPr>
              <w:pStyle w:val="Compact"/>
            </w:pPr>
            <w:hyperlink w:tgtFrame="_blank" r:id="rId22">
              <w:r>
                <w:rPr>
                  <w:rStyle w:val="Hyperlink"/>
                </w:rPr>
                <w:t xml:space="preserve">Building an AI University</w:t>
              </w:r>
            </w:hyperlink>
            <w:r>
              <w:t xml:space="preserve">,</w:t>
            </w:r>
            <w:r>
              <w:t xml:space="preserve"> </w:t>
            </w:r>
            <w:hyperlink w:tgtFrame="_blank" r:id="rId31">
              <w:r>
                <w:rPr>
                  <w:rStyle w:val="Hyperlink"/>
                </w:rPr>
                <w:t xml:space="preserve">AI² Center</w:t>
              </w:r>
            </w:hyperlink>
          </w:p>
        </w:tc>
      </w:tr>
      <w:tr>
        <w:tc>
          <w:tcPr/>
          <w:p>
            <w:pPr>
              <w:pStyle w:val="Compact"/>
            </w:pPr>
            <w:r>
              <w:t xml:space="preserve">Jan 2023</w:t>
            </w:r>
          </w:p>
        </w:tc>
        <w:tc>
          <w:tcPr/>
          <w:p>
            <w:pPr>
              <w:pStyle w:val="Compact"/>
            </w:pPr>
            <w:r>
              <w:t xml:space="preserve">Southworth et al. model paper published (</w:t>
            </w:r>
            <w:r>
              <w:rPr>
                <w:i/>
                <w:iCs/>
              </w:rPr>
              <w:t xml:space="preserve">Computers and Education: AI</w:t>
            </w:r>
            <w:r>
              <w:t xml:space="preserve">); undergraduate AI initiative doubles as UF's SACSCOC Quality Enhancement Plan</w:t>
            </w:r>
          </w:p>
        </w:tc>
        <w:tc>
          <w:tcPr/>
          <w:p>
            <w:pPr>
              <w:pStyle w:val="Compact"/>
            </w:pPr>
            <w:hyperlink w:tgtFrame="_blank" r:id="rId23">
              <w:r>
                <w:rPr>
                  <w:rStyle w:val="Hyperlink"/>
                </w:rPr>
                <w:t xml:space="preserve">Southworth 2023 paper</w:t>
              </w:r>
            </w:hyperlink>
            <w:r>
              <w:t xml:space="preserve">,</w:t>
            </w:r>
            <w:r>
              <w:t xml:space="preserve"> </w:t>
            </w:r>
            <w:hyperlink w:tgtFrame="_blank" r:id="rId42">
              <w:r>
                <w:rPr>
                  <w:rStyle w:val="Hyperlink"/>
                </w:rPr>
                <w:t xml:space="preserve">UF News, Jan 30, 2023</w:t>
              </w:r>
            </w:hyperlink>
          </w:p>
        </w:tc>
      </w:tr>
      <w:tr>
        <w:tc>
          <w:tcPr/>
          <w:p>
            <w:pPr>
              <w:pStyle w:val="Compact"/>
            </w:pPr>
            <w:r>
              <w:t xml:space="preserve">2023</w:t>
            </w:r>
          </w:p>
        </w:tc>
        <w:tc>
          <w:tcPr/>
          <w:p>
            <w:pPr>
              <w:pStyle w:val="Compact"/>
            </w:pPr>
            <w:r>
              <w:t xml:space="preserve">Guidelines for Use of AI v1 (Provost's Office); $18.8M allocated to 15 projects in 10 colleges; State of Florida strategic AI investment; post-ChatGPT visits from universities worldwide</w:t>
            </w:r>
          </w:p>
        </w:tc>
        <w:tc>
          <w:tcPr/>
          <w:p>
            <w:pPr>
              <w:pStyle w:val="Compact"/>
            </w:pPr>
            <w:hyperlink w:tgtFrame="_blank" r:id="rId24">
              <w:r>
                <w:rPr>
                  <w:rStyle w:val="Hyperlink"/>
                </w:rPr>
                <w:t xml:space="preserve">Guidelines</w:t>
              </w:r>
            </w:hyperlink>
            <w:r>
              <w:t xml:space="preserve">,</w:t>
            </w:r>
            <w:r>
              <w:t xml:space="preserve"> </w:t>
            </w:r>
            <w:hyperlink w:tgtFrame="_blank" r:id="rId22">
              <w:r>
                <w:rPr>
                  <w:rStyle w:val="Hyperlink"/>
                </w:rPr>
                <w:t xml:space="preserve">Building an AI University</w:t>
              </w:r>
            </w:hyperlink>
          </w:p>
        </w:tc>
      </w:tr>
      <w:tr>
        <w:tc>
          <w:tcPr/>
          <w:p>
            <w:pPr>
              <w:pStyle w:val="Compact"/>
            </w:pPr>
            <w:r>
              <w:t xml:space="preserve">Jul–Sep 2024</w:t>
            </w:r>
          </w:p>
        </w:tc>
        <w:tc>
          <w:tcPr/>
          <w:p>
            <w:pPr>
              <w:pStyle w:val="Compact"/>
            </w:pPr>
            <w:r>
              <w:t xml:space="preserve">NaviGator AI soft launch (July), unveiled Aug 26 as "higher ed's first comprehensive, self-service AI platform" (26 LLMs), production Sept 2024; policy mandating NaviGator for university business; AI certification program (fundamentals, ethics, applied)</w:t>
            </w:r>
          </w:p>
        </w:tc>
        <w:tc>
          <w:tcPr/>
          <w:p>
            <w:pPr>
              <w:pStyle w:val="Compact"/>
            </w:pPr>
            <w:hyperlink w:tgtFrame="_blank" r:id="rId26">
              <w:r>
                <w:rPr>
                  <w:rStyle w:val="Hyperlink"/>
                </w:rPr>
                <w:t xml:space="preserve">NaviGator launch</w:t>
              </w:r>
            </w:hyperlink>
            <w:r>
              <w:t xml:space="preserve">,</w:t>
            </w:r>
            <w:r>
              <w:t xml:space="preserve"> </w:t>
            </w:r>
            <w:hyperlink w:tgtFrame="_blank" r:id="rId22">
              <w:r>
                <w:rPr>
                  <w:rStyle w:val="Hyperlink"/>
                </w:rPr>
                <w:t xml:space="preserve">Building an AI University</w:t>
              </w:r>
            </w:hyperlink>
            <w:r>
              <w:t xml:space="preserve">,</w:t>
            </w:r>
            <w:r>
              <w:t xml:space="preserve"> </w:t>
            </w:r>
            <w:hyperlink w:tgtFrame="_blank" r:id="rId35">
              <w:r>
                <w:rPr>
                  <w:rStyle w:val="Hyperlink"/>
                </w:rPr>
                <w:t xml:space="preserve">HiPerGator 4th gen</w:t>
              </w:r>
            </w:hyperlink>
          </w:p>
        </w:tc>
      </w:tr>
      <w:tr>
        <w:tc>
          <w:tcPr/>
          <w:p>
            <w:pPr>
              <w:pStyle w:val="Compact"/>
            </w:pPr>
            <w:r>
              <w:t xml:space="preserve">Dec 2024</w:t>
            </w:r>
          </w:p>
        </w:tc>
        <w:tc>
          <w:tcPr/>
          <w:p>
            <w:pPr>
              <w:pStyle w:val="Compact"/>
            </w:pPr>
            <w:r>
              <w:t xml:space="preserve">Board of Trustees approves $24M HiPerGator 4 (63 NVIDIA DGX B200 nodes — first B200 SuperPOD in U.S. higher education)</w:t>
            </w:r>
          </w:p>
        </w:tc>
        <w:tc>
          <w:tcPr/>
          <w:p>
            <w:pPr>
              <w:pStyle w:val="Compact"/>
            </w:pPr>
            <w:hyperlink w:tgtFrame="_blank" r:id="rId35">
              <w:r>
                <w:rPr>
                  <w:rStyle w:val="Hyperlink"/>
                </w:rPr>
                <w:t xml:space="preserve">HiPerGator 4th gen</w:t>
              </w:r>
            </w:hyperlink>
          </w:p>
        </w:tc>
      </w:tr>
      <w:tr>
        <w:tc>
          <w:tcPr/>
          <w:p>
            <w:pPr>
              <w:pStyle w:val="Compact"/>
            </w:pPr>
            <w:r>
              <w:t xml:space="preserve">Jun–Fall 2025</w:t>
            </w:r>
          </w:p>
        </w:tc>
        <w:tc>
          <w:tcPr/>
          <w:p>
            <w:pPr>
              <w:pStyle w:val="Compact"/>
            </w:pPr>
            <w:r>
              <w:t xml:space="preserve">HiPerGator 4 early access (June) and full production (Fall 2025); 20,000 AMD CPU cores, 17 PB storage</w:t>
            </w:r>
          </w:p>
        </w:tc>
        <w:tc>
          <w:tcPr/>
          <w:p>
            <w:pPr>
              <w:pStyle w:val="Compact"/>
            </w:pPr>
            <w:hyperlink w:tgtFrame="_blank" r:id="rId35">
              <w:r>
                <w:rPr>
                  <w:rStyle w:val="Hyperlink"/>
                </w:rPr>
                <w:t xml:space="preserve">HiPerGator 4th gen</w:t>
              </w:r>
            </w:hyperlink>
            <w:r>
              <w:t xml:space="preserve">,</w:t>
            </w:r>
            <w:r>
              <w:t xml:space="preserve"> </w:t>
            </w:r>
            <w:hyperlink w:tgtFrame="_blank" r:id="rId22">
              <w:r>
                <w:rPr>
                  <w:rStyle w:val="Hyperlink"/>
                </w:rPr>
                <w:t xml:space="preserve">Building an AI University</w:t>
              </w:r>
            </w:hyperlink>
          </w:p>
        </w:tc>
      </w:tr>
      <w:tr>
        <w:tc>
          <w:tcPr/>
          <w:p>
            <w:pPr>
              <w:pStyle w:val="Compact"/>
            </w:pPr>
            <w:r>
              <w:t xml:space="preserve">May 27, 2026</w:t>
            </w:r>
          </w:p>
        </w:tc>
        <w:tc>
          <w:tcPr/>
          <w:p>
            <w:pPr>
              <w:pStyle w:val="Compact"/>
            </w:pPr>
            <w:r>
              <w:t xml:space="preserve">Warrington Press case study</w:t>
            </w:r>
            <w:r>
              <w:t xml:space="preserve"> </w:t>
            </w:r>
            <w:r>
              <w:rPr>
                <w:i/>
                <w:iCs/>
              </w:rPr>
              <w:t xml:space="preserve">Building an AI University</w:t>
            </w:r>
            <w:r>
              <w:t xml:space="preserve"> </w:t>
            </w:r>
            <w:r>
              <w:t xml:space="preserve">published; reports 230+ AI-designated courses, 300+ faculty, 14,000 annual enrollments, ~$95M cumulative investment</w:t>
            </w:r>
          </w:p>
        </w:tc>
        <w:tc>
          <w:tcPr/>
          <w:p>
            <w:pPr>
              <w:pStyle w:val="Compact"/>
            </w:pPr>
            <w:hyperlink w:tgtFrame="_blank" r:id="rId27">
              <w:r>
                <w:rPr>
                  <w:rStyle w:val="Hyperlink"/>
                </w:rPr>
                <w:t xml:space="preserve">Warrington case study</w:t>
              </w:r>
            </w:hyperlink>
          </w:p>
        </w:tc>
      </w:tr>
      <w:tr>
        <w:tc>
          <w:tcPr/>
          <w:p>
            <w:pPr>
              <w:pStyle w:val="Compact"/>
            </w:pPr>
            <w:r>
              <w:t xml:space="preserve">2026</w:t>
            </w:r>
          </w:p>
        </w:tc>
        <w:tc>
          <w:tcPr/>
          <w:p>
            <w:pPr>
              <w:pStyle w:val="Compact"/>
            </w:pPr>
            <w:r>
              <w:t xml:space="preserve">Guidelines v2; Digital Twin Hub (360 RTX-6000 Blackwell GPUs); 16 DGX B300 + 40 RTX-6000 GPUs for NaviGator inferencing; Orange storage to 30 PB; AI² Summit 2026; DOE Genesis Mission grant (July 2026)</w:t>
            </w:r>
          </w:p>
        </w:tc>
        <w:tc>
          <w:tcPr/>
          <w:p>
            <w:pPr>
              <w:pStyle w:val="Compact"/>
            </w:pPr>
            <w:hyperlink w:tgtFrame="_blank" r:id="rId22">
              <w:r>
                <w:rPr>
                  <w:rStyle w:val="Hyperlink"/>
                </w:rPr>
                <w:t xml:space="preserve">Building an AI University</w:t>
              </w:r>
            </w:hyperlink>
            <w:r>
              <w:t xml:space="preserve">,</w:t>
            </w:r>
            <w:r>
              <w:t xml:space="preserve"> </w:t>
            </w:r>
            <w:hyperlink w:tgtFrame="_blank" r:id="rId24">
              <w:r>
                <w:rPr>
                  <w:rStyle w:val="Hyperlink"/>
                </w:rPr>
                <w:t xml:space="preserve">Guidelines</w:t>
              </w:r>
            </w:hyperlink>
            <w:r>
              <w:t xml:space="preserve">,</w:t>
            </w:r>
            <w:r>
              <w:t xml:space="preserve"> </w:t>
            </w:r>
            <w:hyperlink w:tgtFrame="_blank" r:id="rId21">
              <w:r>
                <w:rPr>
                  <w:rStyle w:val="Hyperlink"/>
                </w:rPr>
                <w:t xml:space="preserve">UF AI Hub</w:t>
              </w:r>
            </w:hyperlink>
          </w:p>
        </w:tc>
      </w:tr>
    </w:tbl>
    <w:p>
      <w:r>
        <w:pict>
          <v:rect style="width:0;height:1.5pt" o:hralign="center" o:hrstd="t" o:hr="t"/>
        </w:pict>
      </w:r>
    </w:p>
    <w:bookmarkEnd w:id="43"/>
    <w:bookmarkStart w:id="44" w:name="measured-outcomes--success-evidence"/>
    <w:p>
      <w:pPr>
        <w:pStyle w:val="Heading2"/>
      </w:pPr>
      <w:r>
        <w:t xml:space="preserve">Measured Outcomes / Success Evidence</w:t>
      </w:r>
    </w:p>
    <w:p>
      <w:pPr>
        <w:pStyle w:val="FirstParagraph"/>
      </w:pPr>
      <w:r>
        <w:rPr>
          <w:b/>
          <w:bCs/>
        </w:rPr>
        <w:t xml:space="preserve">Curriculum and enrollment</w:t>
      </w:r>
    </w:p>
    <w:p>
      <w:pPr>
        <w:pStyle w:val="Compact"/>
        <w:numPr>
          <w:ilvl w:val="0"/>
          <w:numId w:val="1008"/>
        </w:numPr>
      </w:pPr>
      <w:r>
        <w:t xml:space="preserve">230+ AI-designated courses across all 16 colleges by 2025 (200+ per the current hub page); 300+ participating faculty;</w:t>
      </w:r>
      <w:r>
        <w:t xml:space="preserve"> </w:t>
      </w:r>
      <w:r>
        <w:rPr>
          <w:b/>
          <w:bCs/>
        </w:rPr>
        <w:t xml:space="preserve">14,000 annual student enrollments</w:t>
      </w:r>
      <w:r>
        <w:t xml:space="preserve"> </w:t>
      </w:r>
      <w:r>
        <w:t xml:space="preserve">in AI courses. —</w:t>
      </w:r>
      <w:r>
        <w:t xml:space="preserve"> </w:t>
      </w:r>
      <w:hyperlink w:tgtFrame="_blank" r:id="rId27">
        <w:r>
          <w:rPr>
            <w:rStyle w:val="Hyperlink"/>
          </w:rPr>
          <w:t xml:space="preserve">Warrington case study</w:t>
        </w:r>
      </w:hyperlink>
      <w:r>
        <w:t xml:space="preserve">,</w:t>
      </w:r>
      <w:r>
        <w:t xml:space="preserve"> </w:t>
      </w:r>
      <w:hyperlink w:tgtFrame="_blank" r:id="rId21">
        <w:r>
          <w:rPr>
            <w:rStyle w:val="Hyperlink"/>
          </w:rPr>
          <w:t xml:space="preserve">UF AI Hub</w:t>
        </w:r>
      </w:hyperlink>
      <w:r>
        <w:t xml:space="preserve">,</w:t>
      </w:r>
      <w:r>
        <w:t xml:space="preserve"> </w:t>
      </w:r>
      <w:hyperlink w:tgtFrame="_blank" r:id="rId22">
        <w:r>
          <w:rPr>
            <w:rStyle w:val="Hyperlink"/>
          </w:rPr>
          <w:t xml:space="preserve">Building an AI University</w:t>
        </w:r>
      </w:hyperlink>
    </w:p>
    <w:p>
      <w:pPr>
        <w:pStyle w:val="Compact"/>
        <w:numPr>
          <w:ilvl w:val="0"/>
          <w:numId w:val="1008"/>
        </w:numPr>
      </w:pPr>
      <w:r>
        <w:t xml:space="preserve">Earlier trajectory: 230 courses created within two years of launch; 7,500 students enrolled in AI courses in a single spring term (~2023); ~300 completions of the undergraduate AI certificate and 500 enrolled in AI Fundamentals that fall. —</w:t>
      </w:r>
      <w:r>
        <w:t xml:space="preserve"> </w:t>
      </w:r>
      <w:hyperlink w:tgtFrame="_blank" r:id="rId28">
        <w:r>
          <w:rPr>
            <w:rStyle w:val="Hyperlink"/>
          </w:rPr>
          <w:t xml:space="preserve">Inside Higher Ed feature</w:t>
        </w:r>
      </w:hyperlink>
    </w:p>
    <w:p>
      <w:pPr>
        <w:pStyle w:val="Compact"/>
        <w:numPr>
          <w:ilvl w:val="0"/>
          <w:numId w:val="1008"/>
        </w:numPr>
      </w:pPr>
      <w:r>
        <w:t xml:space="preserve">Credential architecture: 9-credit university-wide AI certificate, AI Scholars research pathways, AI Medallion for graduating seniors, 10+ graduate certificates/degrees, discipline-specific certificates in all colleges. —</w:t>
      </w:r>
      <w:r>
        <w:t xml:space="preserve"> </w:t>
      </w:r>
      <w:hyperlink w:tgtFrame="_blank" r:id="rId27">
        <w:r>
          <w:rPr>
            <w:rStyle w:val="Hyperlink"/>
          </w:rPr>
          <w:t xml:space="preserve">Warrington case study</w:t>
        </w:r>
      </w:hyperlink>
      <w:r>
        <w:t xml:space="preserve">,</w:t>
      </w:r>
      <w:r>
        <w:t xml:space="preserve"> </w:t>
      </w:r>
      <w:hyperlink w:tgtFrame="_blank" r:id="rId23">
        <w:r>
          <w:rPr>
            <w:rStyle w:val="Hyperlink"/>
          </w:rPr>
          <w:t xml:space="preserve">Southworth 2023 paper</w:t>
        </w:r>
      </w:hyperlink>
    </w:p>
    <w:p>
      <w:pPr>
        <w:pStyle w:val="FirstParagraph"/>
      </w:pPr>
      <w:r>
        <w:rPr>
          <w:b/>
          <w:bCs/>
        </w:rPr>
        <w:t xml:space="preserve">Faculty</w:t>
      </w:r>
    </w:p>
    <w:p>
      <w:pPr>
        <w:pStyle w:val="Compact"/>
        <w:numPr>
          <w:ilvl w:val="0"/>
          <w:numId w:val="1009"/>
        </w:numPr>
      </w:pPr>
      <w:r>
        <w:t xml:space="preserve">106 AI-focused faculty hired 2020–2022 across all 16 colleges; 300+ AI-focused faculty today. —</w:t>
      </w:r>
      <w:r>
        <w:t xml:space="preserve"> </w:t>
      </w:r>
      <w:hyperlink w:tgtFrame="_blank" r:id="rId27">
        <w:r>
          <w:rPr>
            <w:rStyle w:val="Hyperlink"/>
          </w:rPr>
          <w:t xml:space="preserve">Warrington case study</w:t>
        </w:r>
      </w:hyperlink>
      <w:r>
        <w:t xml:space="preserve">,</w:t>
      </w:r>
      <w:r>
        <w:t xml:space="preserve"> </w:t>
      </w:r>
      <w:hyperlink w:tgtFrame="_blank" r:id="rId22">
        <w:r>
          <w:rPr>
            <w:rStyle w:val="Hyperlink"/>
          </w:rPr>
          <w:t xml:space="preserve">Building an AI University</w:t>
        </w:r>
      </w:hyperlink>
    </w:p>
    <w:p>
      <w:pPr>
        <w:pStyle w:val="FirstParagraph"/>
      </w:pPr>
      <w:r>
        <w:rPr>
          <w:b/>
          <w:bCs/>
        </w:rPr>
        <w:t xml:space="preserve">Research computing (HiPerGator)</w:t>
      </w:r>
    </w:p>
    <w:p>
      <w:pPr>
        <w:pStyle w:val="Compact"/>
        <w:numPr>
          <w:ilvl w:val="0"/>
          <w:numId w:val="1010"/>
        </w:numPr>
      </w:pPr>
      <w:r>
        <w:t xml:space="preserve">8,000+ users;</w:t>
      </w:r>
      <w:r>
        <w:t xml:space="preserve"> </w:t>
      </w:r>
      <w:r>
        <w:rPr>
          <w:b/>
          <w:bCs/>
        </w:rPr>
        <w:t xml:space="preserve">33 million research requests processed in one year</w:t>
      </w:r>
      <w:r>
        <w:t xml:space="preserve">; 1,000+ researchers with active projects; #77 on TOP500 (2025) while remaining the most powerful university-owned system in the U.S.; annual UF research impact exceeding $1.26B. —</w:t>
      </w:r>
      <w:r>
        <w:t xml:space="preserve"> </w:t>
      </w:r>
      <w:hyperlink w:tgtFrame="_blank" r:id="rId35">
        <w:r>
          <w:rPr>
            <w:rStyle w:val="Hyperlink"/>
          </w:rPr>
          <w:t xml:space="preserve">HiPerGator 4th gen</w:t>
        </w:r>
      </w:hyperlink>
    </w:p>
    <w:p>
      <w:pPr>
        <w:pStyle w:val="Compact"/>
        <w:numPr>
          <w:ilvl w:val="0"/>
          <w:numId w:val="1010"/>
        </w:numPr>
      </w:pPr>
      <w:r>
        <w:t xml:space="preserve">Shared beyond UF: free teaching allocations, SEC-school access via MOU, availability to Florida's 11 other public universities and the State University System. —</w:t>
      </w:r>
      <w:r>
        <w:t xml:space="preserve"> </w:t>
      </w:r>
      <w:hyperlink w:tgtFrame="_blank" r:id="rId30">
        <w:r>
          <w:rPr>
            <w:rStyle w:val="Hyperlink"/>
          </w:rPr>
          <w:t xml:space="preserve">AI Across the Curriculum</w:t>
        </w:r>
      </w:hyperlink>
      <w:r>
        <w:t xml:space="preserve">,</w:t>
      </w:r>
      <w:r>
        <w:t xml:space="preserve"> </w:t>
      </w:r>
      <w:hyperlink w:tgtFrame="_blank" r:id="rId28">
        <w:r>
          <w:rPr>
            <w:rStyle w:val="Hyperlink"/>
          </w:rPr>
          <w:t xml:space="preserve">Inside Higher Ed feature</w:t>
        </w:r>
      </w:hyperlink>
      <w:r>
        <w:t xml:space="preserve">,</w:t>
      </w:r>
      <w:r>
        <w:t xml:space="preserve"> </w:t>
      </w:r>
      <w:hyperlink w:tgtFrame="_blank" r:id="rId35">
        <w:r>
          <w:rPr>
            <w:rStyle w:val="Hyperlink"/>
          </w:rPr>
          <w:t xml:space="preserve">HiPerGator 4th gen</w:t>
        </w:r>
      </w:hyperlink>
    </w:p>
    <w:p>
      <w:pPr>
        <w:pStyle w:val="FirstParagraph"/>
      </w:pPr>
      <w:r>
        <w:rPr>
          <w:b/>
          <w:bCs/>
        </w:rPr>
        <w:t xml:space="preserve">Platform adoption (NaviGator)</w:t>
      </w:r>
    </w:p>
    <w:p>
      <w:pPr>
        <w:pStyle w:val="Compact"/>
        <w:numPr>
          <w:ilvl w:val="0"/>
          <w:numId w:val="1011"/>
        </w:numPr>
      </w:pPr>
      <w:r>
        <w:t xml:space="preserve">~1,000 users generated the equivalent of 3.4 million pages during the July–August 2024 soft launch alone; 26 LLMs at launch, 30+ by the 2024 timeline entry. —</w:t>
      </w:r>
      <w:r>
        <w:t xml:space="preserve"> </w:t>
      </w:r>
      <w:hyperlink w:tgtFrame="_blank" r:id="rId26">
        <w:r>
          <w:rPr>
            <w:rStyle w:val="Hyperlink"/>
          </w:rPr>
          <w:t xml:space="preserve">NaviGator launch</w:t>
        </w:r>
      </w:hyperlink>
      <w:r>
        <w:t xml:space="preserve">,</w:t>
      </w:r>
      <w:r>
        <w:t xml:space="preserve"> </w:t>
      </w:r>
      <w:hyperlink w:tgtFrame="_blank" r:id="rId22">
        <w:r>
          <w:rPr>
            <w:rStyle w:val="Hyperlink"/>
          </w:rPr>
          <w:t xml:space="preserve">Building an AI University</w:t>
        </w:r>
      </w:hyperlink>
    </w:p>
    <w:p>
      <w:pPr>
        <w:pStyle w:val="FirstParagraph"/>
      </w:pPr>
      <w:r>
        <w:rPr>
          <w:b/>
          <w:bCs/>
        </w:rPr>
        <w:t xml:space="preserve">Workforce/career outcomes</w:t>
      </w:r>
    </w:p>
    <w:p>
      <w:pPr>
        <w:pStyle w:val="Compact"/>
        <w:numPr>
          <w:ilvl w:val="0"/>
          <w:numId w:val="1012"/>
        </w:numPr>
      </w:pPr>
      <w:r>
        <w:t xml:space="preserve">AI career fair grew from 30 employers (2021) to ~100 companies; 268+ AI-related internships via the Career Connection Center. —</w:t>
      </w:r>
      <w:r>
        <w:t xml:space="preserve"> </w:t>
      </w:r>
      <w:hyperlink w:tgtFrame="_blank" r:id="rId28">
        <w:r>
          <w:rPr>
            <w:rStyle w:val="Hyperlink"/>
          </w:rPr>
          <w:t xml:space="preserve">Inside Higher Ed feature</w:t>
        </w:r>
      </w:hyperlink>
      <w:r>
        <w:t xml:space="preserve">,</w:t>
      </w:r>
      <w:r>
        <w:t xml:space="preserve"> </w:t>
      </w:r>
      <w:hyperlink w:tgtFrame="_blank" r:id="rId22">
        <w:r>
          <w:rPr>
            <w:rStyle w:val="Hyperlink"/>
          </w:rPr>
          <w:t xml:space="preserve">Building an AI University</w:t>
        </w:r>
      </w:hyperlink>
    </w:p>
    <w:p>
      <w:pPr>
        <w:pStyle w:val="FirstParagraph"/>
      </w:pPr>
      <w:r>
        <w:rPr>
          <w:b/>
          <w:bCs/>
        </w:rPr>
        <w:t xml:space="preserve">External validation</w:t>
      </w:r>
    </w:p>
    <w:p>
      <w:pPr>
        <w:pStyle w:val="Compact"/>
        <w:numPr>
          <w:ilvl w:val="0"/>
          <w:numId w:val="1013"/>
        </w:numPr>
      </w:pPr>
      <w:r>
        <w:t xml:space="preserve">Southworth et al. (2023) cited by 552 works (OpenAlex, July 2026); universities worldwide visited UF after ChatGPT's launch; the model is the subject of a 2026 Warrington Press case study and Malachowsky's "50-State AI Computing Initiative" white paper proposes nationalizing the model. —</w:t>
      </w:r>
      <w:r>
        <w:t xml:space="preserve"> </w:t>
      </w:r>
      <w:hyperlink w:tgtFrame="_blank" r:id="rId23">
        <w:r>
          <w:rPr>
            <w:rStyle w:val="Hyperlink"/>
          </w:rPr>
          <w:t xml:space="preserve">Southworth 2023 paper</w:t>
        </w:r>
      </w:hyperlink>
      <w:r>
        <w:t xml:space="preserve">,</w:t>
      </w:r>
      <w:r>
        <w:t xml:space="preserve"> </w:t>
      </w:r>
      <w:hyperlink w:tgtFrame="_blank" r:id="rId22">
        <w:r>
          <w:rPr>
            <w:rStyle w:val="Hyperlink"/>
          </w:rPr>
          <w:t xml:space="preserve">Building an AI University</w:t>
        </w:r>
      </w:hyperlink>
      <w:r>
        <w:t xml:space="preserve">,</w:t>
      </w:r>
      <w:r>
        <w:t xml:space="preserve"> </w:t>
      </w:r>
      <w:hyperlink w:tgtFrame="_blank" r:id="rId27">
        <w:r>
          <w:rPr>
            <w:rStyle w:val="Hyperlink"/>
          </w:rPr>
          <w:t xml:space="preserve">Warrington case study</w:t>
        </w:r>
      </w:hyperlink>
    </w:p>
    <w:p>
      <w:r>
        <w:pict>
          <v:rect style="width:0;height:1.5pt" o:hralign="center" o:hrstd="t" o:hr="t"/>
        </w:pict>
      </w:r>
    </w:p>
    <w:bookmarkEnd w:id="44"/>
    <w:bookmarkStart w:id="45" w:name="distinctive-traits"/>
    <w:p>
      <w:pPr>
        <w:pStyle w:val="Heading2"/>
      </w:pPr>
      <w:r>
        <w:t xml:space="preserve">Distinctive Traits</w:t>
      </w:r>
    </w:p>
    <w:p>
      <w:pPr>
        <w:pStyle w:val="Compact"/>
        <w:numPr>
          <w:ilvl w:val="0"/>
          <w:numId w:val="1014"/>
        </w:numPr>
      </w:pPr>
      <w:r>
        <w:rPr>
          <w:b/>
          <w:bCs/>
        </w:rPr>
        <w:t xml:space="preserve">Infrastructure-first, alumnus-funded ignition.</w:t>
      </w:r>
      <w:r>
        <w:t xml:space="preserve"> </w:t>
      </w:r>
      <w:r>
        <w:t xml:space="preserve">The strategy began with a</w:t>
      </w:r>
      <w:r>
        <w:t xml:space="preserve"> </w:t>
      </w:r>
      <m:oMath>
        <m:r>
          <m:t>70</m:t>
        </m:r>
        <m:r>
          <m:t>M</m:t>
        </m:r>
        <m:r>
          <m:rPr>
            <m:sty m:val="p"/>
          </m:rPr>
          <m:t>(</m:t>
        </m:r>
        <m:r>
          <m:t>u</m:t>
        </m:r>
        <m:r>
          <m:t>l</m:t>
        </m:r>
        <m:r>
          <m:t>t</m:t>
        </m:r>
        <m:r>
          <m:t>i</m:t>
        </m:r>
        <m:r>
          <m:t>m</m:t>
        </m:r>
        <m:r>
          <m:t>a</m:t>
        </m:r>
        <m:r>
          <m:t>t</m:t>
        </m:r>
        <m:r>
          <m:t>e</m:t>
        </m:r>
        <m:r>
          <m:t>l</m:t>
        </m:r>
        <m:r>
          <m:t>y</m:t>
        </m:r>
        <m:r>
          <m:t> </m:t>
        </m:r>
      </m:oMath>
      <w:r>
        <w:t xml:space="preserve">95M with follow-ons and state support) infrastructure gift from an NVIDIA co-founder alumnus, then deliberately converted hardware into institution-wide change — "the transformation depended on precursors that don't come in a crate: executive alignment, resources... broad faculty engagement and infrastructure for student learning" (Carrillo). —</w:t>
      </w:r>
      <w:r>
        <w:t xml:space="preserve"> </w:t>
      </w:r>
      <w:hyperlink w:tgtFrame="_blank" r:id="rId27">
        <w:r>
          <w:rPr>
            <w:rStyle w:val="Hyperlink"/>
          </w:rPr>
          <w:t xml:space="preserve">Warrington case study</w:t>
        </w:r>
      </w:hyperlink>
    </w:p>
    <w:p>
      <w:pPr>
        <w:pStyle w:val="Compact"/>
        <w:numPr>
          <w:ilvl w:val="0"/>
          <w:numId w:val="1014"/>
        </w:numPr>
      </w:pPr>
      <w:r>
        <w:rPr>
          <w:b/>
          <w:bCs/>
        </w:rPr>
        <w:t xml:space="preserve">AI literacy as a graduation-level competency, codified in the catalog.</w:t>
      </w:r>
      <w:r>
        <w:t xml:space="preserve"> </w:t>
      </w:r>
      <w:r>
        <w:t xml:space="preserve">The five-designation taxonomy (Use-AI, Know-AI, Build-AI, Ethical-AI, Enable-AI) with verbatim SLOs and a monthly faculty review committee is a uniquely formalized curriculum instrument. —</w:t>
      </w:r>
      <w:r>
        <w:t xml:space="preserve"> </w:t>
      </w:r>
      <w:hyperlink w:tgtFrame="_blank" r:id="rId39">
        <w:r>
          <w:rPr>
            <w:rStyle w:val="Hyperlink"/>
          </w:rPr>
          <w:t xml:space="preserve">AI Course Designations</w:t>
        </w:r>
      </w:hyperlink>
    </w:p>
    <w:p>
      <w:pPr>
        <w:pStyle w:val="Compact"/>
        <w:numPr>
          <w:ilvl w:val="0"/>
          <w:numId w:val="1014"/>
        </w:numPr>
      </w:pPr>
      <w:r>
        <w:rPr>
          <w:b/>
          <w:bCs/>
        </w:rPr>
        <w:t xml:space="preserve">Accreditation anchoring.</w:t>
      </w:r>
      <w:r>
        <w:t xml:space="preserve"> </w:t>
      </w:r>
      <w:r>
        <w:t xml:space="preserve">The undergraduate AI initiative is UF's formal Quality Enhancement Plan for SACSCOC reaccreditation — hard-wiring the AI strategy into institutional accountability. —</w:t>
      </w:r>
      <w:r>
        <w:t xml:space="preserve"> </w:t>
      </w:r>
      <w:hyperlink w:tgtFrame="_blank" r:id="rId23">
        <w:r>
          <w:rPr>
            <w:rStyle w:val="Hyperlink"/>
          </w:rPr>
          <w:t xml:space="preserve">Southworth 2023 paper</w:t>
        </w:r>
      </w:hyperlink>
      <w:r>
        <w:t xml:space="preserve">,</w:t>
      </w:r>
      <w:r>
        <w:t xml:space="preserve"> </w:t>
      </w:r>
      <w:hyperlink w:tgtFrame="_blank" r:id="rId31">
        <w:r>
          <w:rPr>
            <w:rStyle w:val="Hyperlink"/>
          </w:rPr>
          <w:t xml:space="preserve">AI² Center</w:t>
        </w:r>
      </w:hyperlink>
    </w:p>
    <w:p>
      <w:pPr>
        <w:pStyle w:val="Compact"/>
        <w:numPr>
          <w:ilvl w:val="0"/>
          <w:numId w:val="1014"/>
        </w:numPr>
      </w:pPr>
      <w:r>
        <w:rPr>
          <w:b/>
          <w:bCs/>
        </w:rPr>
        <w:t xml:space="preserve">Sovereign generative AI platform.</w:t>
      </w:r>
      <w:r>
        <w:t xml:space="preserve"> </w:t>
      </w:r>
      <w:r>
        <w:t xml:space="preserve">NaviGator — self-hosted, multi-model, mandated for university business, powered by the university's own supercomputer — predates most peer offerings and is billed as higher ed's first comprehensive self-service AI platform. —</w:t>
      </w:r>
      <w:r>
        <w:t xml:space="preserve"> </w:t>
      </w:r>
      <w:hyperlink w:tgtFrame="_blank" r:id="rId26">
        <w:r>
          <w:rPr>
            <w:rStyle w:val="Hyperlink"/>
          </w:rPr>
          <w:t xml:space="preserve">NaviGator launch</w:t>
        </w:r>
      </w:hyperlink>
    </w:p>
    <w:p>
      <w:pPr>
        <w:pStyle w:val="Compact"/>
        <w:numPr>
          <w:ilvl w:val="0"/>
          <w:numId w:val="1014"/>
        </w:numPr>
      </w:pPr>
      <w:r>
        <w:rPr>
          <w:b/>
          <w:bCs/>
        </w:rPr>
        <w:t xml:space="preserve">Deliberate ecosystem export.</w:t>
      </w:r>
      <w:r>
        <w:t xml:space="preserve"> </w:t>
      </w:r>
      <w:r>
        <w:t xml:space="preserve">SEC/State University System HiPerGator access, K-12 curriculum in 12 school districts, statewide college partnerships, and publication of its own playbook (paper + case study) position UF as a model-seller, not just an adopter. —</w:t>
      </w:r>
      <w:r>
        <w:t xml:space="preserve"> </w:t>
      </w:r>
      <w:hyperlink w:tgtFrame="_blank" r:id="rId28">
        <w:r>
          <w:rPr>
            <w:rStyle w:val="Hyperlink"/>
          </w:rPr>
          <w:t xml:space="preserve">Inside Higher Ed feature</w:t>
        </w:r>
      </w:hyperlink>
      <w:r>
        <w:t xml:space="preserve">,</w:t>
      </w:r>
      <w:r>
        <w:t xml:space="preserve"> </w:t>
      </w:r>
      <w:hyperlink w:tgtFrame="_blank" r:id="rId30">
        <w:r>
          <w:rPr>
            <w:rStyle w:val="Hyperlink"/>
          </w:rPr>
          <w:t xml:space="preserve">AI Across the Curriculum</w:t>
        </w:r>
      </w:hyperlink>
    </w:p>
    <w:p>
      <w:pPr>
        <w:pStyle w:val="Compact"/>
        <w:numPr>
          <w:ilvl w:val="0"/>
          <w:numId w:val="1014"/>
        </w:numPr>
      </w:pPr>
      <w:r>
        <w:rPr>
          <w:b/>
          <w:bCs/>
        </w:rPr>
        <w:t xml:space="preserve">Ethics embedded in credentials, not just policy.</w:t>
      </w:r>
      <w:r>
        <w:t xml:space="preserve"> </w:t>
      </w:r>
      <w:r>
        <w:t xml:space="preserve">Every AI certificate/micro-credential requires ethics coursework; Ethical-AI is a first-class course designation. —</w:t>
      </w:r>
      <w:r>
        <w:t xml:space="preserve"> </w:t>
      </w:r>
      <w:hyperlink w:tgtFrame="_blank" r:id="rId22">
        <w:r>
          <w:rPr>
            <w:rStyle w:val="Hyperlink"/>
          </w:rPr>
          <w:t xml:space="preserve">Building an AI University</w:t>
        </w:r>
      </w:hyperlink>
      <w:r>
        <w:t xml:space="preserve">,</w:t>
      </w:r>
      <w:r>
        <w:t xml:space="preserve"> </w:t>
      </w:r>
      <w:hyperlink w:tgtFrame="_blank" r:id="rId39">
        <w:r>
          <w:rPr>
            <w:rStyle w:val="Hyperlink"/>
          </w:rPr>
          <w:t xml:space="preserve">AI Course Designations</w:t>
        </w:r>
      </w:hyperlink>
    </w:p>
    <w:p>
      <w:r>
        <w:pict>
          <v:rect style="width:0;height:1.5pt" o:hralign="center" o:hrstd="t" o:hr="t"/>
        </w:pict>
      </w:r>
    </w:p>
    <w:bookmarkEnd w:id="45"/>
    <w:bookmarkStart w:id="46" w:name="gaps-and-unknowns"/>
    <w:p>
      <w:pPr>
        <w:pStyle w:val="Heading2"/>
      </w:pPr>
      <w:r>
        <w:t xml:space="preserve">Gaps and Unknowns</w:t>
      </w:r>
    </w:p>
    <w:p>
      <w:pPr>
        <w:pStyle w:val="Compact"/>
        <w:numPr>
          <w:ilvl w:val="0"/>
          <w:numId w:val="1015"/>
        </w:numPr>
      </w:pPr>
      <w:r>
        <w:rPr>
          <w:b/>
          <w:bCs/>
        </w:rPr>
        <w:t xml:space="preserve">No published institution-level AI strategy document.</w:t>
      </w:r>
      <w:r>
        <w:t xml:space="preserve"> </w:t>
      </w:r>
      <w:r>
        <w:t xml:space="preserve">The vision above is inferred from consistent public materials; UF has not released a single strategy page mapping outcomes to postures. The forthcoming Warrington micro-cases on leadership structure may fill this. —</w:t>
      </w:r>
      <w:r>
        <w:t xml:space="preserve"> </w:t>
      </w:r>
      <w:hyperlink w:tgtFrame="_blank" r:id="rId27">
        <w:r>
          <w:rPr>
            <w:rStyle w:val="Hyperlink"/>
          </w:rPr>
          <w:t xml:space="preserve">Warrington case study</w:t>
        </w:r>
      </w:hyperlink>
    </w:p>
    <w:p>
      <w:pPr>
        <w:pStyle w:val="Compact"/>
        <w:numPr>
          <w:ilvl w:val="0"/>
          <w:numId w:val="1015"/>
        </w:numPr>
      </w:pPr>
      <w:r>
        <w:rPr>
          <w:b/>
          <w:bCs/>
        </w:rPr>
        <w:t xml:space="preserve">Learning-outcome evidence is thin.</w:t>
      </w:r>
      <w:r>
        <w:t xml:space="preserve"> </w:t>
      </w:r>
      <w:r>
        <w:t xml:space="preserve">Public metrics are inputs and volumes (courses, enrollments, pages generated, compute requests); UF has not published measured effects on learning outcomes, graduate placement rates, or salary premiums attributable to AI credentials.</w:t>
      </w:r>
    </w:p>
    <w:p>
      <w:pPr>
        <w:pStyle w:val="Compact"/>
        <w:numPr>
          <w:ilvl w:val="0"/>
          <w:numId w:val="1015"/>
        </w:numPr>
      </w:pPr>
      <w:r>
        <w:rPr>
          <w:b/>
          <w:bCs/>
        </w:rPr>
        <w:t xml:space="preserve">Financial governance is opaque.</w:t>
      </w:r>
      <w:r>
        <w:t xml:space="preserve"> </w:t>
      </w:r>
      <w:r>
        <w:t xml:space="preserve">Budget authority for AI (who funds NaviGator operations, ongoing faculty lines after state support) and any ROI accounting are not public.</w:t>
      </w:r>
    </w:p>
    <w:p>
      <w:pPr>
        <w:pStyle w:val="Compact"/>
        <w:numPr>
          <w:ilvl w:val="0"/>
          <w:numId w:val="1015"/>
        </w:numPr>
      </w:pPr>
      <w:r>
        <w:rPr>
          <w:b/>
          <w:bCs/>
        </w:rPr>
        <w:t xml:space="preserve">Administrative automation posture unclear.</w:t>
      </w:r>
      <w:r>
        <w:t xml:space="preserve"> </w:t>
      </w:r>
      <w:r>
        <w:t xml:space="preserve">Evidence covers teaching, research, and guarded HR guidance; there is no public documentation of AI automating back-office processes, so the People &amp; Culture classification is based on academic/HR materials only.</w:t>
      </w:r>
    </w:p>
    <w:p>
      <w:pPr>
        <w:pStyle w:val="Compact"/>
        <w:numPr>
          <w:ilvl w:val="0"/>
          <w:numId w:val="1015"/>
        </w:numPr>
      </w:pPr>
      <w:r>
        <w:rPr>
          <w:b/>
          <w:bCs/>
        </w:rPr>
        <w:t xml:space="preserve">Custom-model (AI-Centric) evidence not in this library.</w:t>
      </w:r>
      <w:r>
        <w:t xml:space="preserve"> </w:t>
      </w:r>
      <w:r>
        <w:t xml:space="preserve">UF Health's clinical LLM work (e.g., GatorTron) is publicly reported elsewhere but no primary source was captured here; the Data classification deliberately stops at Supercaution.</w:t>
      </w:r>
    </w:p>
    <w:p>
      <w:pPr>
        <w:pStyle w:val="Compact"/>
        <w:numPr>
          <w:ilvl w:val="0"/>
          <w:numId w:val="1015"/>
        </w:numPr>
      </w:pPr>
      <w:r>
        <w:rPr>
          <w:b/>
          <w:bCs/>
        </w:rPr>
        <w:t xml:space="preserve">The Southworth et al. publisher PDF could not be archived</w:t>
      </w:r>
      <w:r>
        <w:t xml:space="preserve"> </w:t>
      </w:r>
      <w:r>
        <w:t xml:space="preserve">(UF's mirror now 404s; ScienceDirect blocks automated retrieval); the source file preserves the verbatim abstract and model details instead. —</w:t>
      </w:r>
      <w:r>
        <w:t xml:space="preserve"> </w:t>
      </w:r>
      <w:hyperlink w:tgtFrame="_blank" r:id="rId23">
        <w:r>
          <w:rPr>
            <w:rStyle w:val="Hyperlink"/>
          </w:rPr>
          <w:t xml:space="preserve">Southworth 2023 paper</w:t>
        </w:r>
      </w:hyperlink>
    </w:p>
    <w:p>
      <w:pPr>
        <w:pStyle w:val="Compact"/>
        <w:numPr>
          <w:ilvl w:val="0"/>
          <w:numId w:val="1015"/>
        </w:numPr>
      </w:pPr>
      <w:r>
        <w:rPr>
          <w:b/>
          <w:bCs/>
        </w:rPr>
        <w:t xml:space="preserve">Attribution nuance:</w:t>
      </w:r>
      <w:r>
        <w:t xml:space="preserve"> </w:t>
      </w:r>
      <w:r>
        <w:t xml:space="preserve">figures vary across UF sources ($70M vs.</w:t>
      </w:r>
      <w:r>
        <w:t xml:space="preserve"> </w:t>
      </w:r>
      <m:oMath>
        <m:r>
          <m:t>85</m:t>
        </m:r>
        <m:r>
          <m:t>M</m:t>
        </m:r>
        <m:r>
          <m:rPr>
            <m:sty m:val="p"/>
          </m:rPr>
          <m:t>/</m:t>
        </m:r>
      </m:oMath>
      <w:r>
        <w:t xml:space="preserve">95M investment totals; 100 vs. 106 vs. 110 faculty hires; 200+ vs. 230+ courses; partnership "established 2019" vs. announced July 2020). The report cites each figure to its specific source.</w:t>
      </w:r>
    </w:p>
    <w:p>
      <w:r>
        <w:pict>
          <v:rect style="width:0;height:1.5pt" o:hralign="center" o:hrstd="t" o:hr="t"/>
        </w:pict>
      </w:r>
    </w:p>
    <w:bookmarkEnd w:id="46"/>
    <w:bookmarkStart w:id="47" w:name="source-index"/>
    <w:p>
      <w:pPr>
        <w:pStyle w:val="Heading2"/>
      </w:pPr>
      <w:r>
        <w:t xml:space="preserve">Source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Type</w:t>
            </w:r>
          </w:p>
        </w:tc>
        <w:tc>
          <w:tcPr/>
          <w:p>
            <w:pPr>
              <w:pStyle w:val="Compact"/>
            </w:pPr>
            <w:r>
              <w:t xml:space="preserve">Date</w:t>
            </w:r>
          </w:p>
        </w:tc>
      </w:tr>
      <w:tr>
        <w:tc>
          <w:tcPr/>
          <w:p>
            <w:pPr>
              <w:pStyle w:val="Compact"/>
            </w:pPr>
            <w:r>
              <w:t xml:space="preserve">1</w:t>
            </w:r>
          </w:p>
        </w:tc>
        <w:tc>
          <w:tcPr/>
          <w:p>
            <w:pPr>
              <w:pStyle w:val="Compact"/>
            </w:pPr>
            <w:hyperlink w:tgtFrame="_blank" r:id="rId21">
              <w:r>
                <w:rPr>
                  <w:rStyle w:val="Hyperlink"/>
                </w:rPr>
                <w:t xml:space="preserve">UF AI Hub (ai.ufl.edu)</w:t>
              </w:r>
            </w:hyperlink>
          </w:p>
        </w:tc>
        <w:tc>
          <w:tcPr/>
          <w:p>
            <w:pPr>
              <w:pStyle w:val="Compact"/>
            </w:pPr>
            <w:r>
              <w:t xml:space="preserve">official-page</w:t>
            </w:r>
          </w:p>
        </w:tc>
        <w:tc>
          <w:tcPr/>
          <w:p>
            <w:pPr>
              <w:pStyle w:val="Compact"/>
            </w:pPr>
            <w:r>
              <w:t xml:space="preserve">current 2026</w:t>
            </w:r>
          </w:p>
        </w:tc>
      </w:tr>
      <w:tr>
        <w:tc>
          <w:tcPr/>
          <w:p>
            <w:pPr>
              <w:pStyle w:val="Compact"/>
            </w:pPr>
            <w:r>
              <w:t xml:space="preserve">2</w:t>
            </w:r>
          </w:p>
        </w:tc>
        <w:tc>
          <w:tcPr/>
          <w:p>
            <w:pPr>
              <w:pStyle w:val="Compact"/>
            </w:pPr>
            <w:hyperlink w:tgtFrame="_blank" r:id="rId30">
              <w:r>
                <w:rPr>
                  <w:rStyle w:val="Hyperlink"/>
                </w:rPr>
                <w:t xml:space="preserve">AI Across the Curriculum</w:t>
              </w:r>
            </w:hyperlink>
          </w:p>
        </w:tc>
        <w:tc>
          <w:tcPr/>
          <w:p>
            <w:pPr>
              <w:pStyle w:val="Compact"/>
            </w:pPr>
            <w:r>
              <w:t xml:space="preserve">official-page</w:t>
            </w:r>
          </w:p>
        </w:tc>
        <w:tc>
          <w:tcPr/>
          <w:p>
            <w:pPr>
              <w:pStyle w:val="Compact"/>
            </w:pPr>
            <w:r>
              <w:t xml:space="preserve">current 2026</w:t>
            </w:r>
          </w:p>
        </w:tc>
      </w:tr>
      <w:tr>
        <w:tc>
          <w:tcPr/>
          <w:p>
            <w:pPr>
              <w:pStyle w:val="Compact"/>
            </w:pPr>
            <w:r>
              <w:t xml:space="preserve">3</w:t>
            </w:r>
          </w:p>
        </w:tc>
        <w:tc>
          <w:tcPr/>
          <w:p>
            <w:pPr>
              <w:pStyle w:val="Compact"/>
            </w:pPr>
            <w:hyperlink w:tgtFrame="_blank" r:id="rId22">
              <w:r>
                <w:rPr>
                  <w:rStyle w:val="Hyperlink"/>
                </w:rPr>
                <w:t xml:space="preserve">Building an AI University (timeline)</w:t>
              </w:r>
            </w:hyperlink>
          </w:p>
        </w:tc>
        <w:tc>
          <w:tcPr/>
          <w:p>
            <w:pPr>
              <w:pStyle w:val="Compact"/>
            </w:pPr>
            <w:r>
              <w:t xml:space="preserve">official-page</w:t>
            </w:r>
          </w:p>
        </w:tc>
        <w:tc>
          <w:tcPr/>
          <w:p>
            <w:pPr>
              <w:pStyle w:val="Compact"/>
            </w:pPr>
            <w:r>
              <w:t xml:space="preserve">current 2026</w:t>
            </w:r>
          </w:p>
        </w:tc>
      </w:tr>
      <w:tr>
        <w:tc>
          <w:tcPr/>
          <w:p>
            <w:pPr>
              <w:pStyle w:val="Compact"/>
            </w:pPr>
            <w:r>
              <w:t xml:space="preserve">4</w:t>
            </w:r>
          </w:p>
        </w:tc>
        <w:tc>
          <w:tcPr/>
          <w:p>
            <w:pPr>
              <w:pStyle w:val="Compact"/>
            </w:pPr>
            <w:hyperlink w:tgtFrame="_blank" r:id="rId36">
              <w:r>
                <w:rPr>
                  <w:rStyle w:val="Hyperlink"/>
                </w:rPr>
                <w:t xml:space="preserve">UF–NVIDIA $70M Partnership</w:t>
              </w:r>
            </w:hyperlink>
          </w:p>
        </w:tc>
        <w:tc>
          <w:tcPr/>
          <w:p>
            <w:pPr>
              <w:pStyle w:val="Compact"/>
            </w:pPr>
            <w:r>
              <w:t xml:space="preserve">press-release</w:t>
            </w:r>
          </w:p>
        </w:tc>
        <w:tc>
          <w:tcPr/>
          <w:p>
            <w:pPr>
              <w:pStyle w:val="Compact"/>
            </w:pPr>
            <w:r>
              <w:t xml:space="preserve">2020-07-22</w:t>
            </w:r>
          </w:p>
        </w:tc>
      </w:tr>
      <w:tr>
        <w:tc>
          <w:tcPr/>
          <w:p>
            <w:pPr>
              <w:pStyle w:val="Compact"/>
            </w:pPr>
            <w:r>
              <w:t xml:space="preserve">5</w:t>
            </w:r>
          </w:p>
        </w:tc>
        <w:tc>
          <w:tcPr/>
          <w:p>
            <w:pPr>
              <w:pStyle w:val="Compact"/>
            </w:pPr>
            <w:hyperlink w:tgtFrame="_blank" r:id="rId42">
              <w:r>
                <w:rPr>
                  <w:rStyle w:val="Hyperlink"/>
                </w:rPr>
                <w:t xml:space="preserve">How UF developed a model for AI across the curriculum</w:t>
              </w:r>
            </w:hyperlink>
          </w:p>
        </w:tc>
        <w:tc>
          <w:tcPr/>
          <w:p>
            <w:pPr>
              <w:pStyle w:val="Compact"/>
            </w:pPr>
            <w:r>
              <w:t xml:space="preserve">press-release</w:t>
            </w:r>
          </w:p>
        </w:tc>
        <w:tc>
          <w:tcPr/>
          <w:p>
            <w:pPr>
              <w:pStyle w:val="Compact"/>
            </w:pPr>
            <w:r>
              <w:t xml:space="preserve">2023-01-30</w:t>
            </w:r>
          </w:p>
        </w:tc>
      </w:tr>
      <w:tr>
        <w:tc>
          <w:tcPr/>
          <w:p>
            <w:pPr>
              <w:pStyle w:val="Compact"/>
            </w:pPr>
            <w:r>
              <w:t xml:space="preserve">6</w:t>
            </w:r>
          </w:p>
        </w:tc>
        <w:tc>
          <w:tcPr/>
          <w:p>
            <w:pPr>
              <w:pStyle w:val="Compact"/>
            </w:pPr>
            <w:hyperlink w:tgtFrame="_blank" r:id="rId23">
              <w:r>
                <w:rPr>
                  <w:rStyle w:val="Hyperlink"/>
                </w:rPr>
                <w:t xml:space="preserve">Southworth et al., Developing a model for AI Across the Curriculum</w:t>
              </w:r>
            </w:hyperlink>
          </w:p>
        </w:tc>
        <w:tc>
          <w:tcPr/>
          <w:p>
            <w:pPr>
              <w:pStyle w:val="Compact"/>
            </w:pPr>
            <w:r>
              <w:t xml:space="preserve">paper</w:t>
            </w:r>
          </w:p>
        </w:tc>
        <w:tc>
          <w:tcPr/>
          <w:p>
            <w:pPr>
              <w:pStyle w:val="Compact"/>
            </w:pPr>
            <w:r>
              <w:t xml:space="preserve">2023-01</w:t>
            </w:r>
          </w:p>
        </w:tc>
      </w:tr>
      <w:tr>
        <w:tc>
          <w:tcPr/>
          <w:p>
            <w:pPr>
              <w:pStyle w:val="Compact"/>
            </w:pPr>
            <w:r>
              <w:t xml:space="preserve">7</w:t>
            </w:r>
          </w:p>
        </w:tc>
        <w:tc>
          <w:tcPr/>
          <w:p>
            <w:pPr>
              <w:pStyle w:val="Compact"/>
            </w:pPr>
            <w:hyperlink w:tgtFrame="_blank" r:id="rId31">
              <w:r>
                <w:rPr>
                  <w:rStyle w:val="Hyperlink"/>
                </w:rPr>
                <w:t xml:space="preserve">The AI² Center</w:t>
              </w:r>
            </w:hyperlink>
          </w:p>
        </w:tc>
        <w:tc>
          <w:tcPr/>
          <w:p>
            <w:pPr>
              <w:pStyle w:val="Compact"/>
            </w:pPr>
            <w:r>
              <w:t xml:space="preserve">official-page</w:t>
            </w:r>
          </w:p>
        </w:tc>
        <w:tc>
          <w:tcPr/>
          <w:p>
            <w:pPr>
              <w:pStyle w:val="Compact"/>
            </w:pPr>
            <w:r>
              <w:t xml:space="preserve">est. 2022; current 2026</w:t>
            </w:r>
          </w:p>
        </w:tc>
      </w:tr>
      <w:tr>
        <w:tc>
          <w:tcPr/>
          <w:p>
            <w:pPr>
              <w:pStyle w:val="Compact"/>
            </w:pPr>
            <w:r>
              <w:t xml:space="preserve">8</w:t>
            </w:r>
          </w:p>
        </w:tc>
        <w:tc>
          <w:tcPr/>
          <w:p>
            <w:pPr>
              <w:pStyle w:val="Compact"/>
            </w:pPr>
            <w:hyperlink w:tgtFrame="_blank" r:id="rId39">
              <w:r>
                <w:rPr>
                  <w:rStyle w:val="Hyperlink"/>
                </w:rPr>
                <w:t xml:space="preserve">AI Course Designations</w:t>
              </w:r>
            </w:hyperlink>
          </w:p>
        </w:tc>
        <w:tc>
          <w:tcPr/>
          <w:p>
            <w:pPr>
              <w:pStyle w:val="Compact"/>
            </w:pPr>
            <w:r>
              <w:t xml:space="preserve">official-page</w:t>
            </w:r>
          </w:p>
        </w:tc>
        <w:tc>
          <w:tcPr/>
          <w:p>
            <w:pPr>
              <w:pStyle w:val="Compact"/>
            </w:pPr>
            <w:r>
              <w:t xml:space="preserve">current 2026</w:t>
            </w:r>
          </w:p>
        </w:tc>
      </w:tr>
      <w:tr>
        <w:tc>
          <w:tcPr/>
          <w:p>
            <w:pPr>
              <w:pStyle w:val="Compact"/>
            </w:pPr>
            <w:r>
              <w:t xml:space="preserve">9</w:t>
            </w:r>
          </w:p>
        </w:tc>
        <w:tc>
          <w:tcPr/>
          <w:p>
            <w:pPr>
              <w:pStyle w:val="Compact"/>
            </w:pPr>
            <w:hyperlink w:tgtFrame="_blank" r:id="rId24">
              <w:r>
                <w:rPr>
                  <w:rStyle w:val="Hyperlink"/>
                </w:rPr>
                <w:t xml:space="preserve">Guidelines for Use of AI at UF</w:t>
              </w:r>
            </w:hyperlink>
          </w:p>
        </w:tc>
        <w:tc>
          <w:tcPr/>
          <w:p>
            <w:pPr>
              <w:pStyle w:val="Compact"/>
            </w:pPr>
            <w:r>
              <w:t xml:space="preserve">policy</w:t>
            </w:r>
          </w:p>
        </w:tc>
        <w:tc>
          <w:tcPr/>
          <w:p>
            <w:pPr>
              <w:pStyle w:val="Compact"/>
            </w:pPr>
            <w:r>
              <w:t xml:space="preserve">v1 2023, v2 2026</w:t>
            </w:r>
          </w:p>
        </w:tc>
      </w:tr>
      <w:tr>
        <w:tc>
          <w:tcPr/>
          <w:p>
            <w:pPr>
              <w:pStyle w:val="Compact"/>
            </w:pPr>
            <w:r>
              <w:t xml:space="preserve">10</w:t>
            </w:r>
          </w:p>
        </w:tc>
        <w:tc>
          <w:tcPr/>
          <w:p>
            <w:pPr>
              <w:pStyle w:val="Compact"/>
            </w:pPr>
            <w:hyperlink w:tgtFrame="_blank" r:id="rId26">
              <w:r>
                <w:rPr>
                  <w:rStyle w:val="Hyperlink"/>
                </w:rPr>
                <w:t xml:space="preserve">NaviGator AI Launch</w:t>
              </w:r>
            </w:hyperlink>
          </w:p>
        </w:tc>
        <w:tc>
          <w:tcPr/>
          <w:p>
            <w:pPr>
              <w:pStyle w:val="Compact"/>
            </w:pPr>
            <w:r>
              <w:t xml:space="preserve">press-release</w:t>
            </w:r>
          </w:p>
        </w:tc>
        <w:tc>
          <w:tcPr/>
          <w:p>
            <w:pPr>
              <w:pStyle w:val="Compact"/>
            </w:pPr>
            <w:r>
              <w:t xml:space="preserve">2024-08-26</w:t>
            </w:r>
          </w:p>
        </w:tc>
      </w:tr>
      <w:tr>
        <w:tc>
          <w:tcPr/>
          <w:p>
            <w:pPr>
              <w:pStyle w:val="Compact"/>
            </w:pPr>
            <w:r>
              <w:t xml:space="preserve">11</w:t>
            </w:r>
          </w:p>
        </w:tc>
        <w:tc>
          <w:tcPr/>
          <w:p>
            <w:pPr>
              <w:pStyle w:val="Compact"/>
            </w:pPr>
            <w:hyperlink w:tgtFrame="_blank" r:id="rId33">
              <w:r>
                <w:rPr>
                  <w:rStyle w:val="Hyperlink"/>
                </w:rPr>
                <w:t xml:space="preserve">NaviGator Chat (UFIT service page)</w:t>
              </w:r>
            </w:hyperlink>
          </w:p>
        </w:tc>
        <w:tc>
          <w:tcPr/>
          <w:p>
            <w:pPr>
              <w:pStyle w:val="Compact"/>
            </w:pPr>
            <w:r>
              <w:t xml:space="preserve">official-page</w:t>
            </w:r>
          </w:p>
        </w:tc>
        <w:tc>
          <w:tcPr/>
          <w:p>
            <w:pPr>
              <w:pStyle w:val="Compact"/>
            </w:pPr>
            <w:r>
              <w:t xml:space="preserve">current 2026</w:t>
            </w:r>
          </w:p>
        </w:tc>
      </w:tr>
      <w:tr>
        <w:tc>
          <w:tcPr/>
          <w:p>
            <w:pPr>
              <w:pStyle w:val="Compact"/>
            </w:pPr>
            <w:r>
              <w:t xml:space="preserve">12</w:t>
            </w:r>
          </w:p>
        </w:tc>
        <w:tc>
          <w:tcPr/>
          <w:p>
            <w:pPr>
              <w:pStyle w:val="Compact"/>
            </w:pPr>
            <w:hyperlink w:tgtFrame="_blank" r:id="rId34">
              <w:r>
                <w:rPr>
                  <w:rStyle w:val="Hyperlink"/>
                </w:rPr>
                <w:t xml:space="preserve">HiPerGator</w:t>
              </w:r>
            </w:hyperlink>
          </w:p>
        </w:tc>
        <w:tc>
          <w:tcPr/>
          <w:p>
            <w:pPr>
              <w:pStyle w:val="Compact"/>
            </w:pPr>
            <w:r>
              <w:t xml:space="preserve">official-page</w:t>
            </w:r>
          </w:p>
        </w:tc>
        <w:tc>
          <w:tcPr/>
          <w:p>
            <w:pPr>
              <w:pStyle w:val="Compact"/>
            </w:pPr>
            <w:r>
              <w:t xml:space="preserve">current 2026</w:t>
            </w:r>
          </w:p>
        </w:tc>
      </w:tr>
      <w:tr>
        <w:tc>
          <w:tcPr/>
          <w:p>
            <w:pPr>
              <w:pStyle w:val="Compact"/>
            </w:pPr>
            <w:r>
              <w:t xml:space="preserve">13</w:t>
            </w:r>
          </w:p>
        </w:tc>
        <w:tc>
          <w:tcPr/>
          <w:p>
            <w:pPr>
              <w:pStyle w:val="Compact"/>
            </w:pPr>
            <w:hyperlink w:tgtFrame="_blank" r:id="rId35">
              <w:r>
                <w:rPr>
                  <w:rStyle w:val="Hyperlink"/>
                </w:rPr>
                <w:t xml:space="preserve">HiPerGator 4th Generation</w:t>
              </w:r>
            </w:hyperlink>
          </w:p>
        </w:tc>
        <w:tc>
          <w:tcPr/>
          <w:p>
            <w:pPr>
              <w:pStyle w:val="Compact"/>
            </w:pPr>
            <w:r>
              <w:t xml:space="preserve">news-article</w:t>
            </w:r>
          </w:p>
        </w:tc>
        <w:tc>
          <w:tcPr/>
          <w:p>
            <w:pPr>
              <w:pStyle w:val="Compact"/>
            </w:pPr>
            <w:r>
              <w:t xml:space="preserve">2025-05-28</w:t>
            </w:r>
          </w:p>
        </w:tc>
      </w:tr>
      <w:tr>
        <w:tc>
          <w:tcPr/>
          <w:p>
            <w:pPr>
              <w:pStyle w:val="Compact"/>
            </w:pPr>
            <w:r>
              <w:t xml:space="preserve">14</w:t>
            </w:r>
          </w:p>
        </w:tc>
        <w:tc>
          <w:tcPr/>
          <w:p>
            <w:pPr>
              <w:pStyle w:val="Compact"/>
            </w:pPr>
            <w:hyperlink w:tgtFrame="_blank" r:id="rId27">
              <w:r>
                <w:rPr>
                  <w:rStyle w:val="Hyperlink"/>
                </w:rPr>
                <w:t xml:space="preserve">Warrington Case Study news</w:t>
              </w:r>
            </w:hyperlink>
          </w:p>
        </w:tc>
        <w:tc>
          <w:tcPr/>
          <w:p>
            <w:pPr>
              <w:pStyle w:val="Compact"/>
            </w:pPr>
            <w:r>
              <w:t xml:space="preserve">news-article</w:t>
            </w:r>
          </w:p>
        </w:tc>
        <w:tc>
          <w:tcPr/>
          <w:p>
            <w:pPr>
              <w:pStyle w:val="Compact"/>
            </w:pPr>
            <w:r>
              <w:t xml:space="preserve">2026-05-27</w:t>
            </w:r>
          </w:p>
        </w:tc>
      </w:tr>
      <w:tr>
        <w:tc>
          <w:tcPr/>
          <w:p>
            <w:pPr>
              <w:pStyle w:val="Compact"/>
            </w:pPr>
            <w:r>
              <w:t xml:space="preserve">15</w:t>
            </w:r>
          </w:p>
        </w:tc>
        <w:tc>
          <w:tcPr/>
          <w:p>
            <w:pPr>
              <w:pStyle w:val="Compact"/>
            </w:pPr>
            <w:hyperlink w:tgtFrame="_blank" r:id="rId28">
              <w:r>
                <w:rPr>
                  <w:rStyle w:val="Hyperlink"/>
                </w:rPr>
                <w:t xml:space="preserve">Inside Higher Ed: Building an AI University</w:t>
              </w:r>
            </w:hyperlink>
          </w:p>
        </w:tc>
        <w:tc>
          <w:tcPr/>
          <w:p>
            <w:pPr>
              <w:pStyle w:val="Compact"/>
            </w:pPr>
            <w:r>
              <w:t xml:space="preserve">news-article</w:t>
            </w:r>
          </w:p>
        </w:tc>
        <w:tc>
          <w:tcPr/>
          <w:p>
            <w:pPr>
              <w:pStyle w:val="Compact"/>
            </w:pPr>
            <w:r>
              <w:t xml:space="preserve">c. 2023</w:t>
            </w:r>
          </w:p>
        </w:tc>
      </w:tr>
    </w:tbl>
    <w:p>
      <w:pPr>
        <w:pStyle w:val="BodyText"/>
      </w:pPr>
      <w:r>
        <w:t xml:space="preserve">Framework: One-Page AI Strategy Framework Reference · Companion:</w:t>
      </w:r>
      <w:r>
        <w:t xml:space="preserve"> </w:t>
      </w:r>
      <w:hyperlink w:tgtFrame="_blank" r:id="rId20">
        <w:r>
          <w:rPr>
            <w:rStyle w:val="Hyperlink"/>
          </w:rPr>
          <w:t xml:space="preserve">Summary Report</w:t>
        </w:r>
      </w:hyperlink>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hyperlink" Target="https://tarleton.sharepoint.com/sites/StrategicInsights_njpwtl/Shared%20Documents/University%20AI%20Audit/SCHOOL%20RESEARCH%20FOR%20PAC/SCHOOLS/university-of-florida/sources/ai-course-designations.docx?web=1" TargetMode="External"/><Relationship Id="rId26" Type="http://schemas.openxmlformats.org/officeDocument/2006/relationships/hyperlink" Target="https://tarleton.sharepoint.com/sites/StrategicInsights_njpwtl/Shared%20Documents/University%20AI%20Audit/SCHOOL%20RESEARCH%20FOR%20PAC/SCHOOLS/university-of-florida/sources/navigator-ai-launch-2024.docx?web=1" TargetMode="External"/><Relationship Id="rId3" Type="http://schemas.openxmlformats.org/officeDocument/2006/relationships/settings" Target="settings.xml"/><Relationship Id="rId34" Type="http://schemas.openxmlformats.org/officeDocument/2006/relationships/hyperlink" Target="https://tarleton.sharepoint.com/sites/StrategicInsights_njpwtl/Shared%20Documents/University%20AI%20Audit/SCHOOL%20RESEARCH%20FOR%20PAC/SCHOOLS/university-of-florida/sources/hipergator.docx?web=1" TargetMode="External"/><Relationship Id="rId42" Type="http://schemas.openxmlformats.org/officeDocument/2006/relationships/hyperlink" Target="https://tarleton.sharepoint.com/sites/StrategicInsights_njpwtl/Shared%20Documents/University%20AI%20Audit/SCHOOL%20RESEARCH%20FOR%20PAC/SCHOOLS/university-of-florida/sources/news-ufl-ai-university-model-2023.docx?web=1" TargetMode="External"/><Relationship Id="rId21" Type="http://schemas.openxmlformats.org/officeDocument/2006/relationships/hyperlink" Target="https://tarleton.sharepoint.com/sites/StrategicInsights_njpwtl/Shared%20Documents/University%20AI%20Audit/SCHOOL%20RESEARCH%20FOR%20PAC/SCHOOLS/university-of-florida/sources/uf-ai-hub.docx?web=1" TargetMode="External"/><Relationship Id="rId7" Type="http://schemas.openxmlformats.org/officeDocument/2006/relationships/footnotes" Target="footnotes.xml"/><Relationship Id="rId33" Type="http://schemas.openxmlformats.org/officeDocument/2006/relationships/hyperlink" Target="https://tarleton.sharepoint.com/sites/StrategicInsights_njpwtl/Shared%20Documents/University%20AI%20Audit/SCHOOL%20RESEARCH%20FOR%20PAC/SCHOOLS/university-of-florida/sources/navigator-chat-uf-it.docx?web=1" TargetMode="External"/><Relationship Id="rId2" Type="http://schemas.openxmlformats.org/officeDocument/2006/relationships/styles" Target="styles.xml"/><Relationship Id="rId20"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tarleton.sharepoint.com/sites/StrategicInsights_njpwtl/Shared%20Documents/University%20AI%20Audit/SCHOOL%20RESEARCH%20FOR%20PAC/SCHOOLS/university-of-florida/sources/guidelines-for-use-of-ai.docx?web=1" TargetMode="External"/><Relationship Id="rId45" Type="http://schemas.openxmlformats.org/officeDocument/2006/relationships/customXml" Target="../customXml/item3.xm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university-of-florida/sources/inside-higher-ed-building-ai-university.docx?web=1" TargetMode="External"/><Relationship Id="rId36" Type="http://schemas.openxmlformats.org/officeDocument/2006/relationships/hyperlink" Target="https://tarleton.sharepoint.com/sites/StrategicInsights_njpwtl/Shared%20Documents/University%20AI%20Audit/SCHOOL%20RESEARCH%20FOR%20PAC/SCHOOLS/university-of-florida/sources/nvidia-partnership-2020.docx?web=1" TargetMode="External"/><Relationship Id="rId23" Type="http://schemas.openxmlformats.org/officeDocument/2006/relationships/hyperlink" Target="https://tarleton.sharepoint.com/sites/StrategicInsights_njpwtl/Shared%20Documents/University%20AI%20Audit/SCHOOL%20RESEARCH%20FOR%20PAC/SCHOOLS/university-of-florida/sources/southworth-2023-ai-across-the-curriculum-paper.docx?web=1" TargetMode="External"/><Relationship Id="rId31" Type="http://schemas.openxmlformats.org/officeDocument/2006/relationships/hyperlink" Target="https://tarleton.sharepoint.com/sites/StrategicInsights_njpwtl/Shared%20Documents/University%20AI%20Audit/SCHOOL%20RESEARCH%20FOR%20PAC/SCHOOLS/university-of-florida/sources/ai2-center.docx?web=1" TargetMode="External"/><Relationship Id="rId44" Type="http://schemas.openxmlformats.org/officeDocument/2006/relationships/customXml" Target="../customXml/item2.xm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university-of-florida/sources/ai-across-the-curriculum.docx?web=1" TargetMode="External"/><Relationship Id="rId22" Type="http://schemas.openxmlformats.org/officeDocument/2006/relationships/hyperlink" Target="https://tarleton.sharepoint.com/sites/StrategicInsights_njpwtl/Shared%20Documents/University%20AI%20Audit/SCHOOL%20RESEARCH%20FOR%20PAC/SCHOOLS/university-of-florida/sources/building-an-ai-university.docx?web=1" TargetMode="External"/><Relationship Id="rId35" Type="http://schemas.openxmlformats.org/officeDocument/2006/relationships/hyperlink" Target="https://tarleton.sharepoint.com/sites/StrategicInsights_njpwtl/Shared%20Documents/University%20AI%20Audit/SCHOOL%20RESEARCH%20FOR%20PAC/SCHOOLS/university-of-florida/sources/hipergator-4th-generation-2025.docx?web=1" TargetMode="External"/><Relationship Id="rId27" Type="http://schemas.openxmlformats.org/officeDocument/2006/relationships/hyperlink" Target="https://tarleton.sharepoint.com/sites/StrategicInsights_njpwtl/Shared%20Documents/University%20AI%20Audit/SCHOOL%20RESEARCH%20FOR%20PAC/SCHOOLS/university-of-florida/sources/warrington-case-study-2026.docx?web=1" TargetMode="External"/><Relationship Id="rId43"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0" Target="https://tarleton.sharepoint.com/sites/StrategicInsights_njpwtl/Shared%20Documents/University%20AI%20Audit/SCHOOL%20RESEARCH%20FOR%20PAC/SCHOOLS/university-of-florida/sources/ai-across-the-curriculum.docx?web=1" TargetMode="External" /><Relationship Type="http://schemas.openxmlformats.org/officeDocument/2006/relationships/hyperlink" Id="rId39" Target="https://tarleton.sharepoint.com/sites/StrategicInsights_njpwtl/Shared%20Documents/University%20AI%20Audit/SCHOOL%20RESEARCH%20FOR%20PAC/SCHOOLS/university-of-florida/sources/ai-course-designations.docx?web=1" TargetMode="External" /><Relationship Type="http://schemas.openxmlformats.org/officeDocument/2006/relationships/hyperlink" Id="rId31" Target="https://tarleton.sharepoint.com/sites/StrategicInsights_njpwtl/Shared%20Documents/University%20AI%20Audit/SCHOOL%20RESEARCH%20FOR%20PAC/SCHOOLS/university-of-florida/sources/ai2-center.docx?web=1" TargetMode="External" /><Relationship Type="http://schemas.openxmlformats.org/officeDocument/2006/relationships/hyperlink" Id="rId22" Target="https://tarleton.sharepoint.com/sites/StrategicInsights_njpwtl/Shared%20Documents/University%20AI%20Audit/SCHOOL%20RESEARCH%20FOR%20PAC/SCHOOLS/university-of-florida/sources/building-an-ai-university.docx?web=1" TargetMode="External" /><Relationship Type="http://schemas.openxmlformats.org/officeDocument/2006/relationships/hyperlink" Id="rId24" Target="https://tarleton.sharepoint.com/sites/StrategicInsights_njpwtl/Shared%20Documents/University%20AI%20Audit/SCHOOL%20RESEARCH%20FOR%20PAC/SCHOOLS/university-of-florida/sources/guidelines-for-use-of-ai.docx?web=1" TargetMode="External" /><Relationship Type="http://schemas.openxmlformats.org/officeDocument/2006/relationships/hyperlink" Id="rId35" Target="https://tarleton.sharepoint.com/sites/StrategicInsights_njpwtl/Shared%20Documents/University%20AI%20Audit/SCHOOL%20RESEARCH%20FOR%20PAC/SCHOOLS/university-of-florida/sources/hipergator-4th-generation-2025.docx?web=1" TargetMode="External" /><Relationship Type="http://schemas.openxmlformats.org/officeDocument/2006/relationships/hyperlink" Id="rId34" Target="https://tarleton.sharepoint.com/sites/StrategicInsights_njpwtl/Shared%20Documents/University%20AI%20Audit/SCHOOL%20RESEARCH%20FOR%20PAC/SCHOOLS/university-of-florida/sources/hipergator.docx?web=1" TargetMode="External" /><Relationship Type="http://schemas.openxmlformats.org/officeDocument/2006/relationships/hyperlink" Id="rId28" Target="https://tarleton.sharepoint.com/sites/StrategicInsights_njpwtl/Shared%20Documents/University%20AI%20Audit/SCHOOL%20RESEARCH%20FOR%20PAC/SCHOOLS/university-of-florida/sources/inside-higher-ed-building-ai-university.docx?web=1" TargetMode="External" /><Relationship Type="http://schemas.openxmlformats.org/officeDocument/2006/relationships/hyperlink" Id="rId26" Target="https://tarleton.sharepoint.com/sites/StrategicInsights_njpwtl/Shared%20Documents/University%20AI%20Audit/SCHOOL%20RESEARCH%20FOR%20PAC/SCHOOLS/university-of-florida/sources/navigator-ai-launch-2024.docx?web=1" TargetMode="External" /><Relationship Type="http://schemas.openxmlformats.org/officeDocument/2006/relationships/hyperlink" Id="rId33" Target="https://tarleton.sharepoint.com/sites/StrategicInsights_njpwtl/Shared%20Documents/University%20AI%20Audit/SCHOOL%20RESEARCH%20FOR%20PAC/SCHOOLS/university-of-florida/sources/navigator-chat-uf-it.docx?web=1" TargetMode="External" /><Relationship Type="http://schemas.openxmlformats.org/officeDocument/2006/relationships/hyperlink" Id="rId42" Target="https://tarleton.sharepoint.com/sites/StrategicInsights_njpwtl/Shared%20Documents/University%20AI%20Audit/SCHOOL%20RESEARCH%20FOR%20PAC/SCHOOLS/university-of-florida/sources/news-ufl-ai-university-model-2023.docx?web=1" TargetMode="External" /><Relationship Type="http://schemas.openxmlformats.org/officeDocument/2006/relationships/hyperlink" Id="rId36" Target="https://tarleton.sharepoint.com/sites/StrategicInsights_njpwtl/Shared%20Documents/University%20AI%20Audit/SCHOOL%20RESEARCH%20FOR%20PAC/SCHOOLS/university-of-florida/sources/nvidia-partnership-2020.docx?web=1" TargetMode="External" /><Relationship Type="http://schemas.openxmlformats.org/officeDocument/2006/relationships/hyperlink" Id="rId23" Target="https://tarleton.sharepoint.com/sites/StrategicInsights_njpwtl/Shared%20Documents/University%20AI%20Audit/SCHOOL%20RESEARCH%20FOR%20PAC/SCHOOLS/university-of-florida/sources/southworth-2023-ai-across-the-curriculum-paper.docx?web=1" TargetMode="External" /><Relationship Type="http://schemas.openxmlformats.org/officeDocument/2006/relationships/hyperlink" Id="rId21" Target="https://tarleton.sharepoint.com/sites/StrategicInsights_njpwtl/Shared%20Documents/University%20AI%20Audit/SCHOOL%20RESEARCH%20FOR%20PAC/SCHOOLS/university-of-florida/sources/uf-ai-hub.docx?web=1" TargetMode="External" /><Relationship Type="http://schemas.openxmlformats.org/officeDocument/2006/relationships/hyperlink" Id="rId27" Target="https://tarleton.sharepoint.com/sites/StrategicInsights_njpwtl/Shared%20Documents/University%20AI%20Audit/SCHOOL%20RESEARCH%20FOR%20PAC/SCHOOLS/university-of-florida/sources/warrington-case-study-2026.docx?web=1" TargetMode="External" /><Relationship Type="http://schemas.openxmlformats.org/officeDocument/2006/relationships/hyperlink" Id="rId20"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5991E7-6781-476C-8D4A-E218285D0D4F}"/>
</file>

<file path=customXml/itemProps2.xml><?xml version="1.0" encoding="utf-8"?>
<ds:datastoreItem xmlns:ds="http://schemas.openxmlformats.org/officeDocument/2006/customXml" ds:itemID="{2C749862-2B5C-41A1-831B-30543CE31686}"/>
</file>

<file path=customXml/itemProps3.xml><?xml version="1.0" encoding="utf-8"?>
<ds:datastoreItem xmlns:ds="http://schemas.openxmlformats.org/officeDocument/2006/customXml" ds:itemID="{6E4A973F-8C5D-4CFF-90B3-F7949DB0A40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