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3f40c231ed086c6004979994b28fde86cac7ca7"/>
    <w:p>
      <w:pPr>
        <w:pStyle w:val="Heading1"/>
      </w:pPr>
      <w:r>
        <w:t xml:space="preserve">Building an AI University | University of Florida</w:t>
      </w:r>
    </w:p>
    <w:p>
      <w:pPr>
        <w:pStyle w:val="BlockText"/>
      </w:pPr>
      <w:r>
        <w:rPr>
          <w:b/>
          <w:bCs/>
        </w:rPr>
        <w:t xml:space="preserve">Original URL:</w:t>
      </w:r>
      <w:r>
        <w:t xml:space="preserve"> </w:t>
      </w:r>
      <w:hyperlink w:tgtFrame="_blank" r:id="rId20">
        <w:r>
          <w:rPr>
            <w:rStyle w:val="Hyperlink"/>
          </w:rPr>
          <w:t xml:space="preserve">https://ai.ufl.edu/about/building-an-ai-university/</w:t>
        </w:r>
      </w:hyperlink>
      <w:r>
        <w:t xml:space="preserve"> </w:t>
      </w:r>
      <w:r>
        <w:rPr>
          <w:b/>
          <w:bCs/>
        </w:rPr>
        <w:t xml:space="preserve">Publisher:</w:t>
      </w:r>
      <w:r>
        <w:t xml:space="preserve"> </w:t>
      </w:r>
      <w:r>
        <w:t xml:space="preserve">University of Florida —</w:t>
      </w:r>
      <w:r>
        <w:t xml:space="preserve"> </w:t>
      </w:r>
      <w:r>
        <w:rPr>
          <w:b/>
          <w:bCs/>
        </w:rPr>
        <w:t xml:space="preserve">Published:</w:t>
      </w:r>
      <w:r>
        <w:t xml:space="preserve"> </w:t>
      </w:r>
      <w:r>
        <w:t xml:space="preserve">unknown (page current as of 2026; covers 2020-2026)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official-page</w:t>
      </w:r>
    </w:p>
    <w:p>
      <w:pPr>
        <w:pStyle w:val="FirstParagraph"/>
      </w:pPr>
      <w:r>
        <w:t xml:space="preserve">The University of Florida Artificial Intelligence Initiative reaches across the entire institution, with ambitions to impact the world globally.</w:t>
      </w:r>
    </w:p>
    <w:bookmarkStart w:id="21" w:name="embracing-ai-on-every-level"/>
    <w:p>
      <w:pPr>
        <w:pStyle w:val="Heading2"/>
      </w:pPr>
      <w:r>
        <w:t xml:space="preserve">Embracing AI on Every Level</w:t>
      </w:r>
    </w:p>
    <w:p>
      <w:pPr>
        <w:pStyle w:val="FirstParagraph"/>
      </w:pPr>
      <w:r>
        <w:t xml:space="preserve">UF partnered with NVIDIA to house one of the world's fastest supercomputers in higher education. Rather than limiting access to specific colleges or STEM fields, the university has leveraged this resource to transform the entire institution.</w:t>
      </w:r>
    </w:p>
    <w:bookmarkEnd w:id="21"/>
    <w:bookmarkStart w:id="22" w:name="preparing-everyone-for-the-promise-of-ai"/>
    <w:p>
      <w:pPr>
        <w:pStyle w:val="Heading2"/>
      </w:pPr>
      <w:r>
        <w:t xml:space="preserve">Preparing Everyone for the Promise of AI</w:t>
      </w:r>
    </w:p>
    <w:p>
      <w:pPr>
        <w:pStyle w:val="FirstParagraph"/>
      </w:pPr>
      <w:r>
        <w:t xml:space="preserve">The World Economic Forum projects that 97 million new jobs will require some level of AI expertise this year.</w:t>
      </w:r>
    </w:p>
    <w:p>
      <w:pPr>
        <w:pStyle w:val="BodyText"/>
      </w:pPr>
      <w:r>
        <w:t xml:space="preserve">Since all academic disciplines and industries work with substantial data, UF launched a comprehensive university-wide initiative to serve Florida and the nation by preparing graduates and conducting research that leverages AI to transform data into meaningful action.</w:t>
      </w:r>
    </w:p>
    <w:bookmarkEnd w:id="22"/>
    <w:bookmarkStart w:id="23" w:name="key-initiatives"/>
    <w:p>
      <w:pPr>
        <w:pStyle w:val="Heading2"/>
      </w:pPr>
      <w:r>
        <w:t xml:space="preserve">Key Initiatives</w:t>
      </w:r>
    </w:p>
    <w:p>
      <w:pPr>
        <w:pStyle w:val="Compact"/>
        <w:numPr>
          <w:ilvl w:val="0"/>
          <w:numId w:val="1001"/>
        </w:numPr>
      </w:pPr>
      <w:r>
        <w:rPr>
          <w:b/>
          <w:bCs/>
        </w:rPr>
        <w:t xml:space="preserve">AI Across the Curriculum</w:t>
      </w:r>
      <w:r>
        <w:t xml:space="preserve"> </w:t>
      </w:r>
      <w:r>
        <w:t xml:space="preserve">— Since 2020, UF has undertaken a comprehensive effort to develop an AI-ready workforce for Florida and beyond.</w:t>
      </w:r>
    </w:p>
    <w:p>
      <w:pPr>
        <w:pStyle w:val="Compact"/>
        <w:numPr>
          <w:ilvl w:val="0"/>
          <w:numId w:val="1001"/>
        </w:numPr>
      </w:pPr>
      <w:r>
        <w:rPr>
          <w:b/>
          <w:bCs/>
        </w:rPr>
        <w:t xml:space="preserve">AI Ethics</w:t>
      </w:r>
      <w:r>
        <w:t xml:space="preserve"> </w:t>
      </w:r>
      <w:r>
        <w:t xml:space="preserve">— UF recognizes serious ethical concerns including privacy, transparency, bias, and academic integrity, requiring ethics courses in certificate and micro-credential programs.</w:t>
      </w:r>
    </w:p>
    <w:p>
      <w:pPr>
        <w:pStyle w:val="Compact"/>
        <w:numPr>
          <w:ilvl w:val="0"/>
          <w:numId w:val="1001"/>
        </w:numPr>
      </w:pPr>
      <w:r>
        <w:rPr>
          <w:b/>
          <w:bCs/>
        </w:rPr>
        <w:t xml:space="preserve">AI Initiatives</w:t>
      </w:r>
      <w:r>
        <w:t xml:space="preserve"> </w:t>
      </w:r>
      <w:r>
        <w:t xml:space="preserve">— In 2023, UF distributed nearly $19 million across 10 colleges to fund AI efforts through a transformational approach integrating AI with curriculum and interdisciplinary research.</w:t>
      </w:r>
    </w:p>
    <w:bookmarkEnd w:id="23"/>
    <w:bookmarkStart w:id="24" w:name="timeline-highlights"/>
    <w:p>
      <w:pPr>
        <w:pStyle w:val="Heading2"/>
      </w:pPr>
      <w:r>
        <w:t xml:space="preserve">Timeline Highlights</w:t>
      </w:r>
    </w:p>
    <w:p>
      <w:pPr>
        <w:pStyle w:val="Compact"/>
        <w:numPr>
          <w:ilvl w:val="0"/>
          <w:numId w:val="1002"/>
        </w:numPr>
      </w:pPr>
      <w:r>
        <w:rPr>
          <w:b/>
          <w:bCs/>
        </w:rPr>
        <w:t xml:space="preserve">Pre-2020:</w:t>
      </w:r>
      <w:r>
        <w:t xml:space="preserve"> </w:t>
      </w:r>
      <w:r>
        <w:t xml:space="preserve">Foundation building with HiPerGator development; Provost Joe Glover's vision to "build an AI university and integrate AI across the curriculum."</w:t>
      </w:r>
    </w:p>
    <w:p>
      <w:pPr>
        <w:pStyle w:val="Compact"/>
        <w:numPr>
          <w:ilvl w:val="0"/>
          <w:numId w:val="1002"/>
        </w:numPr>
      </w:pPr>
      <w:r>
        <w:rPr>
          <w:b/>
          <w:bCs/>
        </w:rPr>
        <w:t xml:space="preserve">2020:</w:t>
      </w:r>
      <w:r>
        <w:t xml:space="preserve"> </w:t>
      </w:r>
      <w:r>
        <w:t xml:space="preserve">$15M datacenter infrastructure investment; HiPerGator 3rd generation acquisition; NVIDIA's $50M DGX A100 SuperPOD donation featuring 1,120 Ampere A100 GPUs.</w:t>
      </w:r>
    </w:p>
    <w:p>
      <w:pPr>
        <w:pStyle w:val="Compact"/>
        <w:numPr>
          <w:ilvl w:val="0"/>
          <w:numId w:val="1002"/>
        </w:numPr>
      </w:pPr>
      <w:r>
        <w:rPr>
          <w:b/>
          <w:bCs/>
        </w:rPr>
        <w:t xml:space="preserve">2021:</w:t>
      </w:r>
      <w:r>
        <w:t xml:space="preserve"> </w:t>
      </w:r>
      <w:r>
        <w:t xml:space="preserve">AI Faculty Hiring Initiative added 106 new AI faculty across colleges; infrastructure expansion with training staff and support services.</w:t>
      </w:r>
    </w:p>
    <w:p>
      <w:pPr>
        <w:pStyle w:val="Compact"/>
        <w:numPr>
          <w:ilvl w:val="0"/>
          <w:numId w:val="1002"/>
        </w:numPr>
      </w:pPr>
      <w:r>
        <w:rPr>
          <w:b/>
          <w:bCs/>
        </w:rPr>
        <w:t xml:space="preserve">2022:</w:t>
      </w:r>
      <w:r>
        <w:t xml:space="preserve"> </w:t>
      </w:r>
      <w:r>
        <w:t xml:space="preserve">AI Across the Curriculum launch; AI² Center established as central hub; AI Days and AI Scholars initiatives begin; storage systems expanded from 3 PB to 16 PB (Orange) and 4 PB to 7.2 PB (Blue).</w:t>
      </w:r>
    </w:p>
    <w:p>
      <w:pPr>
        <w:pStyle w:val="Compact"/>
        <w:numPr>
          <w:ilvl w:val="0"/>
          <w:numId w:val="1002"/>
        </w:numPr>
      </w:pPr>
      <w:r>
        <w:rPr>
          <w:b/>
          <w:bCs/>
        </w:rPr>
        <w:t xml:space="preserve">2023:</w:t>
      </w:r>
      <w:r>
        <w:t xml:space="preserve"> </w:t>
      </w:r>
      <w:r>
        <w:t xml:space="preserve">State of Florida invested strategically in AI; UF allocated $18.8 million across 15 projects in 10 colleges; universities worldwide visited UF following ChatGPT's November 2022 announcement.</w:t>
      </w:r>
    </w:p>
    <w:p>
      <w:pPr>
        <w:pStyle w:val="Compact"/>
        <w:numPr>
          <w:ilvl w:val="0"/>
          <w:numId w:val="1002"/>
        </w:numPr>
      </w:pPr>
      <w:r>
        <w:rPr>
          <w:b/>
          <w:bCs/>
        </w:rPr>
        <w:t xml:space="preserve">2024:</w:t>
      </w:r>
      <w:r>
        <w:t xml:space="preserve"> </w:t>
      </w:r>
      <w:r>
        <w:t xml:space="preserve">Certification program launched covering AI fundamentals, ethics, and applied field-specific applications; NaviGator AI launched providing access to 30+ large language models; UF policy mandates faculty, staff, and students use NaviGator AI for university business.</w:t>
      </w:r>
    </w:p>
    <w:p>
      <w:pPr>
        <w:pStyle w:val="Compact"/>
        <w:numPr>
          <w:ilvl w:val="0"/>
          <w:numId w:val="1002"/>
        </w:numPr>
      </w:pPr>
      <w:r>
        <w:rPr>
          <w:b/>
          <w:bCs/>
        </w:rPr>
        <w:t xml:space="preserve">2025:</w:t>
      </w:r>
      <w:r>
        <w:t xml:space="preserve"> </w:t>
      </w:r>
      <w:r>
        <w:t xml:space="preserve">HiPerGator 4th generation deployed with 20,000 AMD CPU cores and 17 PB storage; planned $24 million upgrade to NVIDIA DGX A100 SuperPOD with 504 Blackwell 200 GPUs.</w:t>
      </w:r>
    </w:p>
    <w:p>
      <w:pPr>
        <w:pStyle w:val="Compact"/>
        <w:numPr>
          <w:ilvl w:val="0"/>
          <w:numId w:val="1002"/>
        </w:numPr>
      </w:pPr>
      <w:r>
        <w:rPr>
          <w:b/>
          <w:bCs/>
        </w:rPr>
        <w:t xml:space="preserve">2026:</w:t>
      </w:r>
      <w:r>
        <w:t xml:space="preserve"> </w:t>
      </w:r>
      <w:r>
        <w:t xml:space="preserve">Addition of 16 DGX B300 GPUs and 40 RTX-600 Blackwell GPUs; Digital Twin Hub development with 360 RTX-6000 Blackwell GPUs; Orange storage replacement with 30 PB capacity.</w:t>
      </w:r>
    </w:p>
    <w:bookmarkEnd w:id="24"/>
    <w:bookmarkStart w:id="25" w:name="current-statistics"/>
    <w:p>
      <w:pPr>
        <w:pStyle w:val="Heading2"/>
      </w:pPr>
      <w:r>
        <w:t xml:space="preserve">Current Statistics</w:t>
      </w:r>
    </w:p>
    <w:p>
      <w:pPr>
        <w:pStyle w:val="Compact"/>
        <w:numPr>
          <w:ilvl w:val="0"/>
          <w:numId w:val="1003"/>
        </w:numPr>
      </w:pPr>
      <w:r>
        <w:t xml:space="preserve">14,000+ students annually enrolled in AI courses</w:t>
      </w:r>
    </w:p>
    <w:p>
      <w:pPr>
        <w:pStyle w:val="Compact"/>
        <w:numPr>
          <w:ilvl w:val="0"/>
          <w:numId w:val="1003"/>
        </w:numPr>
      </w:pPr>
      <w:r>
        <w:t xml:space="preserve">268+ AI-related internships via Career Connection Center</w:t>
      </w:r>
    </w:p>
    <w:p>
      <w:pPr>
        <w:pStyle w:val="Compact"/>
        <w:numPr>
          <w:ilvl w:val="0"/>
          <w:numId w:val="1003"/>
        </w:numPr>
      </w:pPr>
      <w:r>
        <w:t xml:space="preserve">300+ AI-focused faculty throughout the university</w:t>
      </w:r>
    </w:p>
    <w:bookmarkEnd w:id="25"/>
    <w:bookmarkStart w:id="26" w:name="quote"/>
    <w:p>
      <w:pPr>
        <w:pStyle w:val="Heading2"/>
      </w:pPr>
      <w:r>
        <w:t xml:space="preserve">Quote</w:t>
      </w:r>
    </w:p>
    <w:p>
      <w:pPr>
        <w:pStyle w:val="FirstParagraph"/>
      </w:pPr>
      <w:r>
        <w:t xml:space="preserve">Vice President and Chief Information Officer Elias Eldayrie: "Clean data is the oxygen of AI."</w:t>
      </w:r>
    </w:p>
    <w:bookmarkEnd w:id="26"/>
    <w:bookmarkStart w:id="27" w:name="featured-initiatives"/>
    <w:p>
      <w:pPr>
        <w:pStyle w:val="Heading2"/>
      </w:pPr>
      <w:r>
        <w:t xml:space="preserve">Featured Initiatives</w:t>
      </w:r>
    </w:p>
    <w:p>
      <w:pPr>
        <w:pStyle w:val="Compact"/>
        <w:numPr>
          <w:ilvl w:val="0"/>
          <w:numId w:val="1004"/>
        </w:numPr>
      </w:pPr>
      <w:r>
        <w:rPr>
          <w:b/>
          <w:bCs/>
        </w:rPr>
        <w:t xml:space="preserve">AI Speakers Bureau and Experts</w:t>
      </w:r>
      <w:r>
        <w:t xml:space="preserve"> </w:t>
      </w:r>
      <w:r>
        <w:t xml:space="preserve">— Over 300 AI-focused faculty available to address AI challenges and industry applications.</w:t>
      </w:r>
    </w:p>
    <w:p>
      <w:pPr>
        <w:pStyle w:val="Compact"/>
        <w:numPr>
          <w:ilvl w:val="0"/>
          <w:numId w:val="1004"/>
        </w:numPr>
      </w:pPr>
      <w:r>
        <w:rPr>
          <w:b/>
          <w:bCs/>
        </w:rPr>
        <w:t xml:space="preserve">AI Days</w:t>
      </w:r>
      <w:r>
        <w:t xml:space="preserve"> </w:t>
      </w:r>
      <w:r>
        <w:t xml:space="preserve">— Annual event bringing together students, faculty, and researchers for AI insights, panel discussions, and research updates.</w:t>
      </w:r>
    </w:p>
    <w:p>
      <w:pPr>
        <w:pStyle w:val="Compact"/>
        <w:numPr>
          <w:ilvl w:val="0"/>
          <w:numId w:val="1004"/>
        </w:numPr>
      </w:pPr>
      <w:r>
        <w:rPr>
          <w:b/>
          <w:bCs/>
        </w:rPr>
        <w:t xml:space="preserve">The AI² Center</w:t>
      </w:r>
      <w:r>
        <w:t xml:space="preserve"> </w:t>
      </w:r>
      <w:r>
        <w:t xml:space="preserve">— Central hub coordinating teaching and learning of AI across the university.</w:t>
      </w:r>
    </w:p>
    <w:bookmarkEnd w:id="27"/>
    <w:bookmarkStart w:id="29" w:name="contact-information"/>
    <w:p>
      <w:pPr>
        <w:pStyle w:val="Heading2"/>
      </w:pPr>
      <w:r>
        <w:t xml:space="preserve">Contact Information</w:t>
      </w:r>
    </w:p>
    <w:p>
      <w:pPr>
        <w:pStyle w:val="FirstParagraph"/>
      </w:pPr>
      <w:r>
        <w:t xml:space="preserve">Ayers Building at Innovation Square, 720 SW Second Ave. Suite 105, Gainesville, FL 32601 —</w:t>
      </w:r>
      <w:r>
        <w:t xml:space="preserve"> </w:t>
      </w:r>
      <w:hyperlink w:tgtFrame="_blank" r:id="rId28">
        <w:r>
          <w:rPr>
            <w:rStyle w:val="Hyperlink"/>
          </w:rPr>
          <w:t xml:space="preserve">ai@ufl.edu</w:t>
        </w:r>
      </w:hyperlink>
      <w:r>
        <w:t xml:space="preserve"> </w:t>
      </w:r>
      <w:r>
        <w:t xml:space="preserve">— 352-294-1895</w:t>
      </w:r>
    </w:p>
    <w:bookmarkEnd w:id="29"/>
    <w:bookmarkStart w:id="32" w:name="referenced-by"/>
    <w:p>
      <w:pPr>
        <w:pStyle w:val="Heading2"/>
      </w:pPr>
      <w:r>
        <w:t xml:space="preserve">Referenced by</w:t>
      </w:r>
    </w:p>
    <w:p>
      <w:pPr>
        <w:pStyle w:val="Compact"/>
        <w:numPr>
          <w:ilvl w:val="0"/>
          <w:numId w:val="1005"/>
        </w:numPr>
      </w:pPr>
      <w:hyperlink w:tgtFrame="_blank" r:id="rId30">
        <w:r>
          <w:rPr>
            <w:rStyle w:val="Hyperlink"/>
          </w:rPr>
          <w:t xml:space="preserve">In-Depth Report</w:t>
        </w:r>
      </w:hyperlink>
    </w:p>
    <w:p>
      <w:pPr>
        <w:pStyle w:val="Compact"/>
        <w:numPr>
          <w:ilvl w:val="0"/>
          <w:numId w:val="1005"/>
        </w:numPr>
      </w:pPr>
      <w:hyperlink w:tgtFrame="_blank" r:id="rId31">
        <w:r>
          <w:rPr>
            <w:rStyle w:val="Hyperlink"/>
          </w:rPr>
          <w:t xml:space="preserve">Summary Report</w:t>
        </w:r>
      </w:hyperlink>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customXml" Target="../customXml/item3.xml"/><Relationship Id="rId7" Type="http://schemas.openxmlformats.org/officeDocument/2006/relationships/footnotes" Target="footnotes.xml"/><Relationship Id="rId33" Type="http://schemas.openxmlformats.org/officeDocument/2006/relationships/customXml" Target="../customXml/item2.xml"/><Relationship Id="rId2" Type="http://schemas.openxmlformats.org/officeDocument/2006/relationships/styles" Target="styles.xml"/><Relationship Id="rId20" Type="http://schemas.openxmlformats.org/officeDocument/2006/relationships/hyperlink" Target="https://ai.ufl.edu/about/building-an-ai-university/"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1.xml"/><Relationship Id="rId5" Type="http://schemas.openxmlformats.org/officeDocument/2006/relationships/fontTable" Target="fontTable.xml"/><Relationship Id="rId28" Type="http://schemas.openxmlformats.org/officeDocument/2006/relationships/hyperlink" Target="mailto:ai@ufl.edu" TargetMode="External"/><Relationship Id="rId31" Type="http://schemas.openxmlformats.org/officeDocument/2006/relationships/hyperlink" Target="https://tarleton.sharepoint.com/sites/StrategicInsights_njpwtl/Shared%20Documents/University%20AI%20Audit/SCHOOL%20RESEARCH%20FOR%20PAC/SCHOOLS/university-of-florida/summary-report.docx?web=1" TargetMode="External"/><Relationship Id="rId4" Type="http://schemas.openxmlformats.org/officeDocument/2006/relationships/webSettings" Target="webSettings.xml"/><Relationship Id="rId30" Type="http://schemas.openxmlformats.org/officeDocument/2006/relationships/hyperlink" Target="https://tarleton.sharepoint.com/sites/StrategicInsights_njpwtl/Shared%20Documents/University%20AI%20Audit/SCHOOL%20RESEARCH%20FOR%20PAC/SCHOOLS/university-of-florida/in-depth-report.docx?web=1" TargetMode="External"/></Relationships>
</file>

<file path=word/_rels/footnotes.xml.rels><?xml version="1.0" encoding="UTF-8"?><Relationships xmlns="http://schemas.openxmlformats.org/package/2006/relationships"><Relationship Type="http://schemas.openxmlformats.org/officeDocument/2006/relationships/hyperlink" Id="rId20" Target="https://ai.ufl.edu/about/building-an-ai-university/" TargetMode="External" /><Relationship Type="http://schemas.openxmlformats.org/officeDocument/2006/relationships/hyperlink" Id="rId30" Target="https://tarleton.sharepoint.com/sites/StrategicInsights_njpwtl/Shared%20Documents/University%20AI%20Audit/SCHOOL%20RESEARCH%20FOR%20PAC/SCHOOLS/university-of-florida/in-depth-report.docx?web=1" TargetMode="External" /><Relationship Type="http://schemas.openxmlformats.org/officeDocument/2006/relationships/hyperlink" Id="rId31" Target="https://tarleton.sharepoint.com/sites/StrategicInsights_njpwtl/Shared%20Documents/University%20AI%20Audit/SCHOOL%20RESEARCH%20FOR%20PAC/SCHOOLS/university-of-florida/summary-report.docx?web=1" TargetMode="External" /><Relationship Type="http://schemas.openxmlformats.org/officeDocument/2006/relationships/hyperlink" Id="rId28" Target="mailto:ai@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2EC587-1F48-4C9C-9122-02C659DD30D4}"/>
</file>

<file path=customXml/itemProps2.xml><?xml version="1.0" encoding="utf-8"?>
<ds:datastoreItem xmlns:ds="http://schemas.openxmlformats.org/officeDocument/2006/customXml" ds:itemID="{5109C691-D0C0-474C-BB07-D56AB79952AA}"/>
</file>

<file path=customXml/itemProps3.xml><?xml version="1.0" encoding="utf-8"?>
<ds:datastoreItem xmlns:ds="http://schemas.openxmlformats.org/officeDocument/2006/customXml" ds:itemID="{C7685A6D-0EE1-4DB8-8A03-C7312E21620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2026-07-26T02:44:56Z</dcterms:created>
  <dcterms:modified xsi:type="dcterms:W3CDTF">2026-07-26T02:44:56Z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