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f92e2b667c0ab0cd4f5ff8e54fcbd0a7b217f10"/>
    <w:p>
      <w:pPr>
        <w:pStyle w:val="Heading1"/>
      </w:pPr>
      <w:r>
        <w:t xml:space="preserve">New case study examines how a supercomputer became a university-wide AI strategy</w:t>
      </w:r>
    </w:p>
    <w:p>
      <w:pPr>
        <w:pStyle w:val="BlockText"/>
      </w:pPr>
      <w:r>
        <w:rPr>
          <w:b/>
          <w:bCs/>
        </w:rPr>
        <w:t xml:space="preserve">Original URL:</w:t>
      </w:r>
      <w:r>
        <w:t xml:space="preserve"> </w:t>
      </w:r>
      <w:hyperlink w:tgtFrame="_blank" r:id="rId20">
        <w:r>
          <w:rPr>
            <w:rStyle w:val="Hyperlink"/>
          </w:rPr>
          <w:t xml:space="preserve">https://news.ufl.edu/2026/05/warrington-press-building-ai-university/</w:t>
        </w:r>
      </w:hyperlink>
      <w:r>
        <w:t xml:space="preserve"> </w:t>
      </w:r>
      <w:r>
        <w:rPr>
          <w:b/>
          <w:bCs/>
        </w:rPr>
        <w:t xml:space="preserve">Publisher:</w:t>
      </w:r>
      <w:r>
        <w:t xml:space="preserve"> </w:t>
      </w:r>
      <w:r>
        <w:t xml:space="preserve">University of Florida News —</w:t>
      </w:r>
      <w:r>
        <w:t xml:space="preserve"> </w:t>
      </w:r>
      <w:r>
        <w:rPr>
          <w:b/>
          <w:bCs/>
        </w:rPr>
        <w:t xml:space="preserve">Published:</w:t>
      </w:r>
      <w:r>
        <w:t xml:space="preserve"> </w:t>
      </w:r>
      <w:r>
        <w:t xml:space="preserve">2026-05-27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news-article</w:t>
      </w:r>
    </w:p>
    <w:p>
      <w:pPr>
        <w:pStyle w:val="FirstParagraph"/>
      </w:pPr>
      <w:r>
        <w:rPr>
          <w:b/>
          <w:bCs/>
        </w:rPr>
        <w:t xml:space="preserve">By Eric Hamilton — May 27, 2026</w:t>
      </w:r>
    </w:p>
    <w:p>
      <w:pPr>
        <w:pStyle w:val="BodyText"/>
      </w:pPr>
      <w:r>
        <w:t xml:space="preserve">A new University of Florida case study explores how a significant artificial intelligence infrastructure investment evolved into a comprehensive university-wide initiative affecting teaching, research, workforce development, and statewide computing access.</w:t>
      </w:r>
    </w:p>
    <w:bookmarkStart w:id="21" w:name="case-study-details"/>
    <w:p>
      <w:pPr>
        <w:pStyle w:val="Heading2"/>
      </w:pPr>
      <w:r>
        <w:t xml:space="preserve">Case Study Details</w:t>
      </w:r>
    </w:p>
    <w:p>
      <w:pPr>
        <w:pStyle w:val="FirstParagraph"/>
      </w:pPr>
      <w:r>
        <w:t xml:space="preserve">The case study, titled</w:t>
      </w:r>
      <w:r>
        <w:t xml:space="preserve"> </w:t>
      </w:r>
      <w:r>
        <w:rPr>
          <w:i/>
          <w:iCs/>
        </w:rPr>
        <w:t xml:space="preserve">Building an AI University: From Infrastructure Gift to Systemic Transformation</w:t>
      </w:r>
      <w:r>
        <w:t xml:space="preserve">, was authored by UF marketing professor Michael Carrillo. It was published May 27 as the inaugural title in the Warrington Case Series by Warrington Press, an imprint of University of Florida Press. The case functions as an educational resource for business, higher education, and public-sector leaders examining how large institutions transition from technology adoption to organizational change.</w:t>
      </w:r>
    </w:p>
    <w:bookmarkEnd w:id="21"/>
    <w:bookmarkStart w:id="22" w:name="the-hipergator-ai-supercomputer"/>
    <w:p>
      <w:pPr>
        <w:pStyle w:val="Heading2"/>
      </w:pPr>
      <w:r>
        <w:t xml:space="preserve">The HiPerGator AI Supercomputer</w:t>
      </w:r>
    </w:p>
    <w:p>
      <w:pPr>
        <w:pStyle w:val="FirstParagraph"/>
      </w:pPr>
      <w:r>
        <w:t xml:space="preserve">HiPerGator AI, UF's artificial intelligence supercomputer, was completed in 2021. Upon launch, it held the distinction of being the most powerful AI supercomputer in higher education and the 22nd most powerful system globally.</w:t>
      </w:r>
    </w:p>
    <w:bookmarkEnd w:id="22"/>
    <w:bookmarkStart w:id="23" w:name="funding-breakdown"/>
    <w:p>
      <w:pPr>
        <w:pStyle w:val="Heading2"/>
      </w:pPr>
      <w:r>
        <w:t xml:space="preserve">Funding Breakdown</w:t>
      </w:r>
    </w:p>
    <w:p>
      <w:pPr>
        <w:pStyle w:val="FirstParagraph"/>
      </w:pPr>
      <w:r>
        <w:t xml:space="preserve">The initiative originated from an $85 million investment comprising:</w:t>
      </w:r>
    </w:p>
    <w:p>
      <w:pPr>
        <w:pStyle w:val="Compact"/>
        <w:numPr>
          <w:ilvl w:val="0"/>
          <w:numId w:val="1001"/>
        </w:numPr>
      </w:pPr>
      <w:r>
        <w:t xml:space="preserve">$25 million gift from NVIDIA co-founder and UF alumnus Chris Malachowsky</w:t>
      </w:r>
    </w:p>
    <w:p>
      <w:pPr>
        <w:pStyle w:val="Compact"/>
        <w:numPr>
          <w:ilvl w:val="0"/>
          <w:numId w:val="1001"/>
        </w:numPr>
      </w:pPr>
      <w:r>
        <w:t xml:space="preserve">$25 million NVIDIA contribution</w:t>
      </w:r>
    </w:p>
    <w:p>
      <w:pPr>
        <w:pStyle w:val="Compact"/>
        <w:numPr>
          <w:ilvl w:val="0"/>
          <w:numId w:val="1001"/>
        </w:numPr>
      </w:pPr>
      <w:r>
        <w:t xml:space="preserve">$15 million from the University of Florida</w:t>
      </w:r>
    </w:p>
    <w:p>
      <w:pPr>
        <w:pStyle w:val="Compact"/>
        <w:numPr>
          <w:ilvl w:val="0"/>
          <w:numId w:val="1001"/>
        </w:numPr>
      </w:pPr>
      <w:r>
        <w:t xml:space="preserve">$20 million in recurring support from the State of Florida for faculty hiring</w:t>
      </w:r>
    </w:p>
    <w:p>
      <w:pPr>
        <w:pStyle w:val="FirstParagraph"/>
      </w:pPr>
      <w:r>
        <w:t xml:space="preserve">According to the case study, "Malachowsky and NVIDIA each subsequently contributed an additional roughly $5 million."</w:t>
      </w:r>
    </w:p>
    <w:bookmarkEnd w:id="23"/>
    <w:bookmarkStart w:id="24" w:name="educational-growth-and-impact"/>
    <w:p>
      <w:pPr>
        <w:pStyle w:val="Heading2"/>
      </w:pPr>
      <w:r>
        <w:t xml:space="preserve">Educational Growth and Impact</w:t>
      </w:r>
    </w:p>
    <w:p>
      <w:pPr>
        <w:pStyle w:val="FirstParagraph"/>
      </w:pPr>
      <w:r>
        <w:t xml:space="preserve">By 2025, the study reports that UF had expanded to more than 230 AI-designated courses across all 16 colleges, featuring more than 300 participating faculty and 14,000 annual student enrollments. The university established:</w:t>
      </w:r>
    </w:p>
    <w:p>
      <w:pPr>
        <w:pStyle w:val="Compact"/>
        <w:numPr>
          <w:ilvl w:val="0"/>
          <w:numId w:val="1002"/>
        </w:numPr>
      </w:pPr>
      <w:r>
        <w:t xml:space="preserve">A 9-credit university-wide AI certificate for undergraduates</w:t>
      </w:r>
    </w:p>
    <w:p>
      <w:pPr>
        <w:pStyle w:val="Compact"/>
        <w:numPr>
          <w:ilvl w:val="0"/>
          <w:numId w:val="1002"/>
        </w:numPr>
      </w:pPr>
      <w:r>
        <w:t xml:space="preserve">AI Scholars research pathways</w:t>
      </w:r>
    </w:p>
    <w:p>
      <w:pPr>
        <w:pStyle w:val="Compact"/>
        <w:numPr>
          <w:ilvl w:val="0"/>
          <w:numId w:val="1002"/>
        </w:numPr>
      </w:pPr>
      <w:r>
        <w:t xml:space="preserve">An AI Medallion for graduating seniors who complete coursework, research, and experiential learning</w:t>
      </w:r>
    </w:p>
    <w:bookmarkEnd w:id="24"/>
    <w:bookmarkStart w:id="25" w:name="faculty-hiring-initiative"/>
    <w:p>
      <w:pPr>
        <w:pStyle w:val="Heading2"/>
      </w:pPr>
      <w:r>
        <w:t xml:space="preserve">Faculty Hiring Initiative</w:t>
      </w:r>
    </w:p>
    <w:p>
      <w:pPr>
        <w:pStyle w:val="FirstParagraph"/>
      </w:pPr>
      <w:r>
        <w:t xml:space="preserve">From 2020 to 2022, UF recruited 106 AI-focused faculty across all 16 colleges, reflecting an approach treating AI as a university-wide capability rather than a narrow computer science focus.</w:t>
      </w:r>
    </w:p>
    <w:bookmarkEnd w:id="25"/>
    <w:bookmarkStart w:id="26" w:name="ai-across-the-curriculum-model"/>
    <w:p>
      <w:pPr>
        <w:pStyle w:val="Heading2"/>
      </w:pPr>
      <w:r>
        <w:t xml:space="preserve">AI Across the Curriculum Model</w:t>
      </w:r>
    </w:p>
    <w:p>
      <w:pPr>
        <w:pStyle w:val="FirstParagraph"/>
      </w:pPr>
      <w:r>
        <w:t xml:space="preserve">UF developed a framework integrating artificial intelligence instruction across disciplines, organizing courses into different instruction levels ranging from introductory exposure to advanced coursework emphasizing AI mastery and ethics.</w:t>
      </w:r>
    </w:p>
    <w:bookmarkEnd w:id="26"/>
    <w:bookmarkStart w:id="27" w:name="key-insight-from-author"/>
    <w:p>
      <w:pPr>
        <w:pStyle w:val="Heading2"/>
      </w:pPr>
      <w:r>
        <w:t xml:space="preserve">Key Insight from Author</w:t>
      </w:r>
    </w:p>
    <w:p>
      <w:pPr>
        <w:pStyle w:val="FirstParagraph"/>
      </w:pPr>
      <w:r>
        <w:t xml:space="preserve">Michael Carrillo emphasized that "the transformation depended on precursors that don't come in a crate: executive alignment, resources to help researchers and faculty actually use the system, broad faculty engagement and infrastructure for student learning."</w:t>
      </w:r>
    </w:p>
    <w:bookmarkEnd w:id="27"/>
    <w:bookmarkStart w:id="28" w:name="future-publications"/>
    <w:p>
      <w:pPr>
        <w:pStyle w:val="Heading2"/>
      </w:pPr>
      <w:r>
        <w:t xml:space="preserve">Future Publications</w:t>
      </w:r>
    </w:p>
    <w:p>
      <w:pPr>
        <w:pStyle w:val="FirstParagraph"/>
      </w:pPr>
      <w:r>
        <w:t xml:space="preserve">The case study represents the first publication in the Warrington Case Series, with four related micro cases examining the leadership structure behind UF's AI initiative expected to follow.</w:t>
      </w:r>
    </w:p>
    <w:bookmarkEnd w:id="28"/>
    <w:bookmarkStart w:id="29" w:name="related-initiative"/>
    <w:p>
      <w:pPr>
        <w:pStyle w:val="Heading2"/>
      </w:pPr>
      <w:r>
        <w:t xml:space="preserve">Related Initiative</w:t>
      </w:r>
    </w:p>
    <w:p>
      <w:pPr>
        <w:pStyle w:val="FirstParagraph"/>
      </w:pPr>
      <w:r>
        <w:t xml:space="preserve">A white paper by Malachowsky titled "New Frontier: The 50-State AI Computing Initiative" proposes partnerships among states, universities, philanthropy, industry, and the federal government to expand artificial intelligence computing infrastructure and education nationally.</w:t>
      </w:r>
    </w:p>
    <w:bookmarkEnd w:id="29"/>
    <w:bookmarkStart w:id="32" w:name="referenced-by"/>
    <w:p>
      <w:pPr>
        <w:pStyle w:val="Heading2"/>
      </w:pPr>
      <w:r>
        <w:t xml:space="preserve">Referenced by</w:t>
      </w:r>
    </w:p>
    <w:p>
      <w:pPr>
        <w:pStyle w:val="Compact"/>
        <w:numPr>
          <w:ilvl w:val="0"/>
          <w:numId w:val="1003"/>
        </w:numPr>
      </w:pPr>
      <w:hyperlink w:tgtFrame="_blank" r:id="rId30">
        <w:r>
          <w:rPr>
            <w:rStyle w:val="Hyperlink"/>
          </w:rPr>
          <w:t xml:space="preserve">In-Depth Report</w:t>
        </w:r>
      </w:hyperlink>
    </w:p>
    <w:p>
      <w:pPr>
        <w:pStyle w:val="Compact"/>
        <w:numPr>
          <w:ilvl w:val="0"/>
          <w:numId w:val="1003"/>
        </w:numPr>
      </w:pPr>
      <w:hyperlink w:tgtFrame="_blank" r:id="rId31">
        <w:r>
          <w:rPr>
            <w:rStyle w:val="Hyperlink"/>
          </w:rPr>
          <w:t xml:space="preserve">Summary Report</w:t>
        </w:r>
      </w:hyperlink>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customXml" Target="../customXml/item3.xml"/><Relationship Id="rId7" Type="http://schemas.openxmlformats.org/officeDocument/2006/relationships/footnotes" Target="footnotes.xml"/><Relationship Id="rId33" Type="http://schemas.openxmlformats.org/officeDocument/2006/relationships/customXml" Target="../customXml/item2.xml"/><Relationship Id="rId2" Type="http://schemas.openxmlformats.org/officeDocument/2006/relationships/styles" Target="styles.xml"/><Relationship Id="rId20" Type="http://schemas.openxmlformats.org/officeDocument/2006/relationships/hyperlink" Target="https://news.ufl.edu/2026/05/warrington-press-building-ai-university/"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1.xml"/><Relationship Id="rId5" Type="http://schemas.openxmlformats.org/officeDocument/2006/relationships/fontTable" Target="fontTable.xml"/><Relationship Id="rId31" Type="http://schemas.openxmlformats.org/officeDocument/2006/relationships/hyperlink" Target="https://tarleton.sharepoint.com/sites/StrategicInsights_njpwtl/Shared%20Documents/University%20AI%20Audit/SCHOOL%20RESEARCH%20FOR%20PAC/SCHOOLS/university-of-florida/summary-report.docx?web=1" TargetMode="External"/><Relationship Id="rId4" Type="http://schemas.openxmlformats.org/officeDocument/2006/relationships/webSettings" Target="webSettings.xml"/><Relationship Id="rId30" Type="http://schemas.openxmlformats.org/officeDocument/2006/relationships/hyperlink" Target="https://tarleton.sharepoint.com/sites/StrategicInsights_njpwtl/Shared%20Documents/University%20AI%20Audit/SCHOOL%20RESEARCH%20FOR%20PAC/SCHOOLS/university-of-florida/in-depth-report.docx?web=1" TargetMode="External"/></Relationships>
</file>

<file path=word/_rels/footnotes.xml.rels><?xml version="1.0" encoding="UTF-8"?><Relationships xmlns="http://schemas.openxmlformats.org/package/2006/relationships"><Relationship Type="http://schemas.openxmlformats.org/officeDocument/2006/relationships/hyperlink" Id="rId20" Target="https://news.ufl.edu/2026/05/warrington-press-building-ai-university/" TargetMode="External" /><Relationship Type="http://schemas.openxmlformats.org/officeDocument/2006/relationships/hyperlink" Id="rId30" Target="https://tarleton.sharepoint.com/sites/StrategicInsights_njpwtl/Shared%20Documents/University%20AI%20Audit/SCHOOL%20RESEARCH%20FOR%20PAC/SCHOOLS/university-of-florida/in-depth-report.docx?web=1" TargetMode="External" /><Relationship Type="http://schemas.openxmlformats.org/officeDocument/2006/relationships/hyperlink" Id="rId31" Target="https://tarleton.sharepoint.com/sites/StrategicInsights_njpwtl/Shared%20Documents/University%20AI%20Audit/SCHOOL%20RESEARCH%20FOR%20PAC/SCHOOLS/university-of-florida/summary-report.docx?web=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5BF06A-CA73-46DA-9F99-286FA700FA4F}"/>
</file>

<file path=customXml/itemProps2.xml><?xml version="1.0" encoding="utf-8"?>
<ds:datastoreItem xmlns:ds="http://schemas.openxmlformats.org/officeDocument/2006/customXml" ds:itemID="{424141E4-F1A5-4ED1-BE67-645217AB4461}"/>
</file>

<file path=customXml/itemProps3.xml><?xml version="1.0" encoding="utf-8"?>
<ds:datastoreItem xmlns:ds="http://schemas.openxmlformats.org/officeDocument/2006/customXml" ds:itemID="{164513DA-2926-4416-82AF-C2868EE450F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2026-07-26T02:44:56Z</dcterms:created>
  <dcterms:modified xsi:type="dcterms:W3CDTF">2026-07-26T02:44:56Z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