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i-has-a-future-in-learning"/>
    <w:p>
      <w:pPr>
        <w:pStyle w:val="Heading1"/>
      </w:pPr>
      <w:r>
        <w:t xml:space="preserve">AI has a future in learning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https://news.asu.edu/20240715-science-and-technology-ai-has-future-learning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ASU News (Arizona State University)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2024-07-15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news-article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15, 2024 —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Science and technology</w:t>
      </w:r>
    </w:p>
    <w:p>
      <w:pPr>
        <w:pStyle w:val="BodyText"/>
      </w:pPr>
      <w:r>
        <w:t xml:space="preserve">Arizona State University is positioning itself as a leader in implementing artificial intelligence across higher education, with a focus on ethical development and human-centered learning experiences. The approach is guided by</w:t>
      </w:r>
      <w:r>
        <w:t xml:space="preserve"> </w:t>
      </w:r>
      <w:r>
        <w:rPr>
          <w:b/>
          <w:bCs/>
        </w:rPr>
        <w:t xml:space="preserve">Lev Gonick</w:t>
      </w:r>
      <w:r>
        <w:t xml:space="preserve">, Chief Information Officer, and</w:t>
      </w:r>
      <w:r>
        <w:t xml:space="preserve"> </w:t>
      </w:r>
      <w:r>
        <w:rPr>
          <w:b/>
          <w:bCs/>
        </w:rPr>
        <w:t xml:space="preserve">Elizabeth Reilley</w:t>
      </w:r>
      <w:r>
        <w:t xml:space="preserve">, Executive Director of AI Acceleration.</w:t>
      </w:r>
    </w:p>
    <w:bookmarkStart w:id="21" w:name="core-focus-areas"/>
    <w:p>
      <w:pPr>
        <w:pStyle w:val="Heading2"/>
      </w:pPr>
      <w:r>
        <w:t xml:space="preserve">Core focus areas</w:t>
      </w:r>
    </w:p>
    <w:p>
      <w:pPr>
        <w:pStyle w:val="FirstParagraph"/>
      </w:pPr>
      <w:r>
        <w:t xml:space="preserve">Gonick emphasizes that ASU's AI work centers on three pillars: "leveraging our knowledge core... to develop AI-driven projects aimed at advancing the ASU Charter — focusing on</w:t>
      </w:r>
      <w:r>
        <w:t xml:space="preserve"> </w:t>
      </w:r>
      <w:r>
        <w:rPr>
          <w:b/>
          <w:bCs/>
        </w:rPr>
        <w:t xml:space="preserve">student success, aiding scholarly research and boosting administrative efficiency</w:t>
      </w:r>
      <w:r>
        <w:t xml:space="preserve">."</w:t>
      </w:r>
    </w:p>
    <w:p>
      <w:pPr>
        <w:pStyle w:val="BodyText"/>
      </w:pPr>
      <w:r>
        <w:t xml:space="preserve">Reilley describes the mission as making "AI accessible and useful for everyone in the ASU community" by creating tools that enable</w:t>
      </w:r>
      <w:r>
        <w:t xml:space="preserve"> </w:t>
      </w:r>
      <w:r>
        <w:rPr>
          <w:b/>
          <w:bCs/>
        </w:rPr>
        <w:t xml:space="preserve">domain experts to develop their own solutions</w:t>
      </w:r>
      <w:r>
        <w:t xml:space="preserve"> </w:t>
      </w:r>
      <w:r>
        <w:t xml:space="preserve">rather than relying solely on technical staff.</w:t>
      </w:r>
    </w:p>
    <w:bookmarkEnd w:id="21"/>
    <w:bookmarkStart w:id="22" w:name="ethical-implementation"/>
    <w:p>
      <w:pPr>
        <w:pStyle w:val="Heading2"/>
      </w:pPr>
      <w:r>
        <w:t xml:space="preserve">Ethical implementation</w:t>
      </w:r>
    </w:p>
    <w:p>
      <w:pPr>
        <w:pStyle w:val="FirstParagraph"/>
      </w:pPr>
      <w:r>
        <w:t xml:space="preserve">The university prioritizes responsible AI development. According to Reilley, key ethical considerations include understanding "the potential for misinformation, the importance of data ethics and awareness of bias."</w:t>
      </w:r>
    </w:p>
    <w:bookmarkEnd w:id="22"/>
    <w:bookmarkStart w:id="23" w:name="student-and-faculty-involvement"/>
    <w:p>
      <w:pPr>
        <w:pStyle w:val="Heading2"/>
      </w:pPr>
      <w:r>
        <w:t xml:space="preserve">Student and faculty involvement</w:t>
      </w:r>
    </w:p>
    <w:p>
      <w:pPr>
        <w:pStyle w:val="FirstParagraph"/>
      </w:pPr>
      <w:r>
        <w:t xml:space="preserve">ASU engages multiple stakeholders through:</w:t>
      </w:r>
    </w:p>
    <w:p>
      <w:pPr>
        <w:pStyle w:val="Compact"/>
        <w:numPr>
          <w:ilvl w:val="0"/>
          <w:numId w:val="1001"/>
        </w:numPr>
      </w:pPr>
      <w:r>
        <w:t xml:space="preserve">A dozen student workers on the AI Acceleration team</w:t>
      </w:r>
    </w:p>
    <w:p>
      <w:pPr>
        <w:pStyle w:val="Compact"/>
        <w:numPr>
          <w:ilvl w:val="0"/>
          <w:numId w:val="1001"/>
        </w:numPr>
      </w:pPr>
      <w:r>
        <w:t xml:space="preserve">The AI Innovation Challenge, which had supported over 200 projects by mid-2024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Faculty Ethics Committee on AI Technology</w:t>
      </w:r>
    </w:p>
    <w:p>
      <w:pPr>
        <w:pStyle w:val="Compact"/>
        <w:numPr>
          <w:ilvl w:val="0"/>
          <w:numId w:val="1001"/>
        </w:numPr>
      </w:pPr>
      <w:r>
        <w:t xml:space="preserve">Collaboration with the</w:t>
      </w:r>
      <w:r>
        <w:t xml:space="preserve"> </w:t>
      </w:r>
      <w:r>
        <w:rPr>
          <w:b/>
          <w:bCs/>
        </w:rPr>
        <w:t xml:space="preserve">Learning Engineering Institute</w:t>
      </w:r>
    </w:p>
    <w:bookmarkEnd w:id="23"/>
    <w:bookmarkStart w:id="24" w:name="industry-partnerships"/>
    <w:p>
      <w:pPr>
        <w:pStyle w:val="Heading2"/>
      </w:pPr>
      <w:r>
        <w:t xml:space="preserve">Industry partnerships</w:t>
      </w:r>
    </w:p>
    <w:p>
      <w:pPr>
        <w:pStyle w:val="FirstParagraph"/>
      </w:pPr>
      <w:r>
        <w:t xml:space="preserve">ASU collaborates with OpenAI and numerous technology companies including</w:t>
      </w:r>
      <w:r>
        <w:t xml:space="preserve"> </w:t>
      </w:r>
      <w:r>
        <w:rPr>
          <w:b/>
          <w:bCs/>
        </w:rPr>
        <w:t xml:space="preserve">Adobe, AWS, Google, Salesforce, and Verizon</w:t>
      </w:r>
      <w:r>
        <w:t xml:space="preserve"> </w:t>
      </w:r>
      <w:r>
        <w:t xml:space="preserve">to maintain technological currency.</w:t>
      </w:r>
    </w:p>
    <w:bookmarkEnd w:id="24"/>
    <w:bookmarkStart w:id="25" w:name="future-vision"/>
    <w:p>
      <w:pPr>
        <w:pStyle w:val="Heading2"/>
      </w:pPr>
      <w:r>
        <w:t xml:space="preserve">Future vision</w:t>
      </w:r>
    </w:p>
    <w:p>
      <w:pPr>
        <w:pStyle w:val="FirstParagraph"/>
      </w:pPr>
      <w:r>
        <w:t xml:space="preserve">Reilley envisions "a truly personalized and human-centered lifelong educational experience," while Gonick highlights opportunities to shift education toward "engagement and synthesis" rather than mechanical information retrieval.</w:t>
      </w:r>
    </w:p>
    <w:bookmarkEnd w:id="25"/>
    <w:bookmarkStart w:id="28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2"/>
        </w:numPr>
      </w:pPr>
      <w:hyperlink w:tgtFrame="_blank" r:id="rId26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2"/>
        </w:numPr>
      </w:pPr>
      <w:hyperlink w:tgtFrame="_blank" r:id="rId27">
        <w:r>
          <w:rPr>
            <w:rStyle w:val="Hyperlink"/>
          </w:rPr>
          <w:t xml:space="preserve">Summary Report</w:t>
        </w:r>
      </w:hyperlink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hyperlink" Target="https://tarleton.sharepoint.com/sites/StrategicInsights_njpwtl/Shared%20Documents/University%20AI%20Audit/SCHOOL%20RESEARCH%20FOR%20PAC/SCHOOLS/arizona-state-university/in-depth-report.docx?web=1" TargetMode="Externa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20" Type="http://schemas.openxmlformats.org/officeDocument/2006/relationships/hyperlink" Target="https://news.asu.edu/20240715-science-and-technology-ai-has-future-learning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8" Type="http://schemas.openxmlformats.org/officeDocument/2006/relationships/customXml" Target="../customXml/item1.xml"/><Relationship Id="rId4" Type="http://schemas.openxmlformats.org/officeDocument/2006/relationships/webSettings" Target="webSettings.xml"/><Relationship Id="rId27" Type="http://schemas.openxmlformats.org/officeDocument/2006/relationships/hyperlink" Target="https://tarleton.sharepoint.com/sites/StrategicInsights_njpwtl/Shared%20Documents/University%20AI%20Audit/SCHOOL%20RESEARCH%20FOR%20PAC/SCHOOLS/arizona-state-university/summary-report.docx?web=1" TargetMode="External"/><Relationship Id="rId30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news.asu.edu/20240715-science-and-technology-ai-has-future-learning" TargetMode="External" /><Relationship Type="http://schemas.openxmlformats.org/officeDocument/2006/relationships/hyperlink" Id="rId26" Target="https://tarleton.sharepoint.com/sites/StrategicInsights_njpwtl/Shared%20Documents/University%20AI%20Audit/SCHOOL%20RESEARCH%20FOR%20PAC/SCHOOLS/arizona-state-university/in-depth-report.docx?web=1" TargetMode="External" /><Relationship Type="http://schemas.openxmlformats.org/officeDocument/2006/relationships/hyperlink" Id="rId27" Target="https://tarleton.sharepoint.com/sites/StrategicInsights_njpwtl/Shared%20Documents/University%20AI%20Audit/SCHOOL%20RESEARCH%20FOR%20PAC/SCHOOLS/arizona-state-university/summary-report.docx?web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241246-7D30-4289-9805-8F9CDDB6729F}"/>
</file>

<file path=customXml/itemProps2.xml><?xml version="1.0" encoding="utf-8"?>
<ds:datastoreItem xmlns:ds="http://schemas.openxmlformats.org/officeDocument/2006/customXml" ds:itemID="{D6F83371-8BBE-4167-BAFB-03CFB69E92A2}"/>
</file>

<file path=customXml/itemProps3.xml><?xml version="1.0" encoding="utf-8"?>
<ds:datastoreItem xmlns:ds="http://schemas.openxmlformats.org/officeDocument/2006/customXml" ds:itemID="{C6DAD018-7AD0-4312-88C5-0E93444485A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2026-07-26T02:44:53Z</dcterms:created>
  <dcterms:modified xsi:type="dcterms:W3CDTF">2026-07-26T02:44:53Z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