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1508c0a72abc3823595506540cc70c13b3788f"/>
    <w:p>
      <w:pPr>
        <w:pStyle w:val="Heading1"/>
      </w:pPr>
      <w:r>
        <w:t xml:space="preserve">The Fourth-Gen Model of UF's HiPerGator, Available to Users in June, Is Built to Reshape AI Education and Research</w:t>
      </w:r>
    </w:p>
    <w:p>
      <w:pPr>
        <w:pStyle w:val="BlockText"/>
      </w:pPr>
      <w:r>
        <w:rPr>
          <w:b/>
          <w:bCs/>
        </w:rPr>
        <w:t xml:space="preserve">Original URL:</w:t>
      </w:r>
      <w:r>
        <w:t xml:space="preserve"> </w:t>
      </w:r>
      <w:hyperlink w:tgtFrame="_blank" r:id="rId20">
        <w:r>
          <w:rPr>
            <w:rStyle w:val="Hyperlink"/>
          </w:rPr>
          <w:t xml:space="preserve">https://news.ufl.edu/2025/05/the-fourth-generation-model-of-ufs-hipergator/</w:t>
        </w:r>
      </w:hyperlink>
      <w:r>
        <w:t xml:space="preserve"> </w:t>
      </w:r>
      <w:r>
        <w:rPr>
          <w:b/>
          <w:bCs/>
        </w:rPr>
        <w:t xml:space="preserve">Publisher:</w:t>
      </w:r>
      <w:r>
        <w:t xml:space="preserve"> </w:t>
      </w:r>
      <w:r>
        <w:t xml:space="preserve">University of Florida News —</w:t>
      </w:r>
      <w:r>
        <w:t xml:space="preserve"> </w:t>
      </w:r>
      <w:r>
        <w:rPr>
          <w:b/>
          <w:bCs/>
        </w:rPr>
        <w:t xml:space="preserve">Published:</w:t>
      </w:r>
      <w:r>
        <w:t xml:space="preserve"> </w:t>
      </w:r>
      <w:r>
        <w:t xml:space="preserve">2025-05-28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news-article</w:t>
      </w:r>
    </w:p>
    <w:p>
      <w:pPr>
        <w:pStyle w:val="FirstParagraph"/>
      </w:pPr>
      <w:r>
        <w:rPr>
          <w:b/>
          <w:bCs/>
        </w:rPr>
        <w:t xml:space="preserve">By Renee Hancock — May 28, 2025</w:t>
      </w:r>
    </w:p>
    <w:p>
      <w:pPr>
        <w:pStyle w:val="BodyText"/>
      </w:pPr>
      <w:r>
        <w:t xml:space="preserve">The University of Florida will introduce the upgraded fourth-generation version of its HiPerGator supercomputer. Half of the system featuring new technology — the first of its kind in higher education — will open to campus users in early-access mode in June, with the full system reaching production by Fall 2025.</w:t>
      </w:r>
    </w:p>
    <w:p>
      <w:pPr>
        <w:pStyle w:val="BodyText"/>
      </w:pPr>
      <w:r>
        <w:t xml:space="preserve">This milestone arrives six months after the UF Board of Trustees approved funding for the machine in December 2024. UF is positioned to become the first university in U.S. higher education with an NVIDIA DGX B200 SuperPOD supercomputer, powered by NVIDIA's Blackwell graphics processing units.</w:t>
      </w:r>
    </w:p>
    <w:p>
      <w:pPr>
        <w:pStyle w:val="BodyText"/>
      </w:pPr>
      <w:r>
        <w:t xml:space="preserve">"UF is the first higher education institution in the world to receive this technology," explained Elias G. Eldayrie, vice president and chief information officer. The enhanced capabilities will enable faculty and researchers to advance innovation across numerous fields.</w:t>
      </w:r>
    </w:p>
    <w:p>
      <w:pPr>
        <w:pStyle w:val="BodyText"/>
      </w:pPr>
      <w:r>
        <w:t xml:space="preserve">NVIDIA, co-founded by UF alumnus Chris Malachowsky, delivered the first shipment to the Gainesville campus in January 2025.</w:t>
      </w:r>
    </w:p>
    <w:p>
      <w:pPr>
        <w:pStyle w:val="BodyText"/>
      </w:pPr>
      <w:r>
        <w:t xml:space="preserve">The DGX B200 SuperPOD includes 63 DGX B200 compute nodes, expanding AI training and inferencing capabilities. These nodes will be deployed and tested in Summer 2025, with production readiness targeted for Fall 2025.</w:t>
      </w:r>
    </w:p>
    <w:p>
      <w:pPr>
        <w:pStyle w:val="BodyText"/>
      </w:pPr>
      <w:r>
        <w:t xml:space="preserve">HiPerGator currently serves over 8,000 users and processed 33 million research requests in the past year. It ranks No. 77 on the TOP500 List of the world's supercomputing systems and represents the most powerful supercomputer owned and operated by a U.S. university.</w:t>
      </w:r>
    </w:p>
    <w:p>
      <w:pPr>
        <w:pStyle w:val="BodyText"/>
      </w:pPr>
      <w:r>
        <w:t xml:space="preserve">The Blackwell GPUs offer significant performance improvements: up to three times enhanced AI training performance and up to 15 times improved AI inferencing performance compared to current Hopper GPUs.</w:t>
      </w:r>
    </w:p>
    <w:p>
      <w:pPr>
        <w:pStyle w:val="BodyText"/>
      </w:pPr>
      <w:r>
        <w:t xml:space="preserve">"The Blackwell GPU is the latest design by NVIDIA to support the next wave of innovation in AI," noted Erik Deumens, Ph.D., senior director of UFIT Research Computing.</w:t>
      </w:r>
    </w:p>
    <w:p>
      <w:pPr>
        <w:pStyle w:val="BodyText"/>
      </w:pPr>
      <w:r>
        <w:t xml:space="preserve">Since 2020, UF has recruited more than 100 AI-specializing professors. With an annual research impact exceeding $1.26 billion, UF maintains leadership in research across the state.</w:t>
      </w:r>
    </w:p>
    <w:p>
      <w:pPr>
        <w:pStyle w:val="BodyText"/>
      </w:pPr>
      <w:r>
        <w:t xml:space="preserve">The university's AI Across the Curriculum initiative serves as a national model for other institutions. HiPerGator now supports coursework throughout UF and the State University System, while over 1,000 researchers utilize it for their projects.</w:t>
      </w:r>
    </w:p>
    <w:p>
      <w:pPr>
        <w:pStyle w:val="BodyText"/>
      </w:pPr>
      <w:r>
        <w:t xml:space="preserve">HiPerGator powers NaviGator AI, higher education's first self-service AI platform, which UF deployed in September 2024. This platform provides faculty, students, and staff access to generative AI models including Llama, ChatGPT, Gemini, Claude, and Diffusion.</w:t>
      </w:r>
    </w:p>
    <w:p>
      <w:pPr>
        <w:pStyle w:val="BodyText"/>
      </w:pPr>
      <w:r>
        <w:t xml:space="preserve">Projects leveraging HiPerGator include Florida's Digital Twin and research addressing coastal community resilience, healthcare cost reduction, and early disease detection.</w:t>
      </w:r>
    </w:p>
    <w:bookmarkStart w:id="23" w:name="referenced-by"/>
    <w:p>
      <w:pPr>
        <w:pStyle w:val="Heading2"/>
      </w:pPr>
      <w:r>
        <w:t xml:space="preserve">Referenced by</w:t>
      </w:r>
    </w:p>
    <w:p>
      <w:pPr>
        <w:pStyle w:val="Compact"/>
        <w:numPr>
          <w:ilvl w:val="0"/>
          <w:numId w:val="1001"/>
        </w:numPr>
      </w:pPr>
      <w:hyperlink w:tgtFrame="_blank" r:id="rId21">
        <w:r>
          <w:rPr>
            <w:rStyle w:val="Hyperlink"/>
          </w:rPr>
          <w:t xml:space="preserve">In-Depth Report</w:t>
        </w:r>
      </w:hyperlink>
    </w:p>
    <w:p>
      <w:pPr>
        <w:pStyle w:val="Compact"/>
        <w:numPr>
          <w:ilvl w:val="0"/>
          <w:numId w:val="1001"/>
        </w:numPr>
      </w:pPr>
      <w:hyperlink w:tgtFrame="_blank" r:id="rId22">
        <w:r>
          <w:rPr>
            <w:rStyle w:val="Hyperlink"/>
          </w:rPr>
          <w:t xml:space="preserve">Summary Report</w:t>
        </w:r>
      </w:hyperlink>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https://tarleton.sharepoint.com/sites/StrategicInsights_njpwtl/Shared%20Documents/University%20AI%20Audit/SCHOOL%20RESEARCH%20FOR%20PAC/SCHOOLS/university-of-florida/in-depth-report.docx?web=1" TargetMode="External"/><Relationship Id="rId7" Type="http://schemas.openxmlformats.org/officeDocument/2006/relationships/footnotes" Target="footnotes.xml"/><Relationship Id="rId25" Type="http://schemas.openxmlformats.org/officeDocument/2006/relationships/customXml" Target="../customXml/item3.xml"/><Relationship Id="rId2" Type="http://schemas.openxmlformats.org/officeDocument/2006/relationships/styles" Target="styles.xml"/><Relationship Id="rId20" Type="http://schemas.openxmlformats.org/officeDocument/2006/relationships/hyperlink" Target="https://news.ufl.edu/2025/05/the-fourth-generation-model-of-ufs-hipergator/"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2.xml"/><Relationship Id="rId5" Type="http://schemas.openxmlformats.org/officeDocument/2006/relationships/fontTable" Target="fontTable.xml"/><Relationship Id="rId23" Type="http://schemas.openxmlformats.org/officeDocument/2006/relationships/customXml" Target="../customXml/item1.xml"/><Relationship Id="rId4" Type="http://schemas.openxmlformats.org/officeDocument/2006/relationships/webSettings" Target="webSettings.xml"/><Relationship Id="rId22" Type="http://schemas.openxmlformats.org/officeDocument/2006/relationships/hyperlink" Target="https://tarleton.sharepoint.com/sites/StrategicInsights_njpwtl/Shared%20Documents/University%20AI%20Audit/SCHOOL%20RESEARCH%20FOR%20PAC/SCHOOLS/university-of-florida/summary-report.docx?web=1" TargetMode="External"/></Relationships>
</file>

<file path=word/_rels/footnotes.xml.rels><?xml version="1.0" encoding="UTF-8"?><Relationships xmlns="http://schemas.openxmlformats.org/package/2006/relationships"><Relationship Type="http://schemas.openxmlformats.org/officeDocument/2006/relationships/hyperlink" Id="rId20" Target="https://news.ufl.edu/2025/05/the-fourth-generation-model-of-ufs-hipergator/" TargetMode="External" /><Relationship Type="http://schemas.openxmlformats.org/officeDocument/2006/relationships/hyperlink" Id="rId21"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22" Target="https://tarleton.sharepoint.com/sites/StrategicInsights_njpwtl/Shared%20Documents/University%20AI%20Audit/SCHOOL%20RESEARCH%20FOR%20PAC/SCHOOLS/university-of-florida/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AFCFD0-6AD0-4725-93F5-57B479E9B8B7}"/>
</file>

<file path=customXml/itemProps2.xml><?xml version="1.0" encoding="utf-8"?>
<ds:datastoreItem xmlns:ds="http://schemas.openxmlformats.org/officeDocument/2006/customXml" ds:itemID="{0642FD0B-BE7F-467E-A286-AC63075707C9}"/>
</file>

<file path=customXml/itemProps3.xml><?xml version="1.0" encoding="utf-8"?>
<ds:datastoreItem xmlns:ds="http://schemas.openxmlformats.org/officeDocument/2006/customXml" ds:itemID="{DA93C44C-178B-4A65-8071-7F961335F09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2026-07-26T02:44:56Z</dcterms:created>
  <dcterms:modified xsi:type="dcterms:W3CDTF">2026-07-26T02:44:56Z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