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ec3470180c8ab73fac965d6c8319d7a20da994"/>
    <w:p>
      <w:pPr>
        <w:pStyle w:val="Heading1"/>
      </w:pPr>
      <w:r>
        <w:t xml:space="preserve">ASU workgroup addresses ethical questions about the use of AI in higher ed</w:t>
      </w:r>
    </w:p>
    <w:p>
      <w:pPr>
        <w:pStyle w:val="BlockText"/>
      </w:pPr>
      <w:r>
        <w:rPr>
          <w:b/>
          <w:bCs/>
        </w:rPr>
        <w:t xml:space="preserve">Original URL:</w:t>
      </w:r>
      <w:r>
        <w:t xml:space="preserve"> </w:t>
      </w:r>
      <w:hyperlink w:tgtFrame="_blank" r:id="rId20">
        <w:r>
          <w:rPr>
            <w:rStyle w:val="Hyperlink"/>
          </w:rPr>
          <w:t xml:space="preserve">https://news.asu.edu/20240903-science-and-technology-asu-workgroup-addresses-ethical-questions-about-use-ai-higher-ed</w:t>
        </w:r>
      </w:hyperlink>
      <w:r>
        <w:t xml:space="preserve"> </w:t>
      </w:r>
      <w:r>
        <w:rPr>
          <w:b/>
          <w:bCs/>
        </w:rPr>
        <w:t xml:space="preserve">Publisher:</w:t>
      </w:r>
      <w:r>
        <w:t xml:space="preserve"> </w:t>
      </w:r>
      <w:r>
        <w:t xml:space="preserve">ASU News (Arizona State University) —</w:t>
      </w:r>
      <w:r>
        <w:t xml:space="preserve"> </w:t>
      </w:r>
      <w:r>
        <w:rPr>
          <w:b/>
          <w:bCs/>
        </w:rPr>
        <w:t xml:space="preserve">Published:</w:t>
      </w:r>
      <w:r>
        <w:t xml:space="preserve"> </w:t>
      </w:r>
      <w:r>
        <w:t xml:space="preserve">2024-08-27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p>
      <w:pPr>
        <w:pStyle w:val="FirstParagraph"/>
      </w:pPr>
      <w:r>
        <w:rPr>
          <w:b/>
          <w:bCs/>
        </w:rPr>
        <w:t xml:space="preserve">Date:</w:t>
      </w:r>
      <w:r>
        <w:t xml:space="preserve"> </w:t>
      </w:r>
      <w:r>
        <w:t xml:space="preserve">August 27, 2024 (published under Sept. 3 URL) —</w:t>
      </w:r>
      <w:r>
        <w:t xml:space="preserve"> </w:t>
      </w:r>
      <w:r>
        <w:rPr>
          <w:b/>
          <w:bCs/>
        </w:rPr>
        <w:t xml:space="preserve">Author:</w:t>
      </w:r>
      <w:r>
        <w:t xml:space="preserve"> </w:t>
      </w:r>
      <w:r>
        <w:t xml:space="preserve">Karina Fitzgerald</w:t>
      </w:r>
    </w:p>
    <w:p>
      <w:pPr>
        <w:pStyle w:val="BodyText"/>
      </w:pPr>
      <w:r>
        <w:t xml:space="preserve">Arizona State University's</w:t>
      </w:r>
      <w:r>
        <w:t xml:space="preserve"> </w:t>
      </w:r>
      <w:r>
        <w:rPr>
          <w:b/>
          <w:bCs/>
        </w:rPr>
        <w:t xml:space="preserve">AI and Ethics Workgroup</w:t>
      </w:r>
      <w:r>
        <w:t xml:space="preserve">, housed within the</w:t>
      </w:r>
      <w:r>
        <w:t xml:space="preserve"> </w:t>
      </w:r>
      <w:r>
        <w:rPr>
          <w:b/>
          <w:bCs/>
        </w:rPr>
        <w:t xml:space="preserve">Lincoln Center for Applied Ethics</w:t>
      </w:r>
      <w:r>
        <w:t xml:space="preserve">, published its inaugural white paper examining artificial intelligence's role in higher education. The workgroup is co-chaired by</w:t>
      </w:r>
      <w:r>
        <w:t xml:space="preserve"> </w:t>
      </w:r>
      <w:r>
        <w:rPr>
          <w:b/>
          <w:bCs/>
        </w:rPr>
        <w:t xml:space="preserve">Sarah Florini</w:t>
      </w:r>
      <w:r>
        <w:t xml:space="preserve"> </w:t>
      </w:r>
      <w:r>
        <w:t xml:space="preserve">(associate director of the Lincoln Center and associate professor of film and media studies) and</w:t>
      </w:r>
      <w:r>
        <w:t xml:space="preserve"> </w:t>
      </w:r>
      <w:r>
        <w:rPr>
          <w:b/>
          <w:bCs/>
        </w:rPr>
        <w:t xml:space="preserve">Nicholas Proferes</w:t>
      </w:r>
      <w:r>
        <w:t xml:space="preserve"> </w:t>
      </w:r>
      <w:r>
        <w:t xml:space="preserve">(associate professor, School of Social and Behavioral Sciences), and comprises interdisciplinary experts focused on establishing ethical frameworks for AI deployment.</w:t>
      </w:r>
    </w:p>
    <w:bookmarkStart w:id="21" w:name="key-insights-from-co-chairs"/>
    <w:p>
      <w:pPr>
        <w:pStyle w:val="Heading2"/>
      </w:pPr>
      <w:r>
        <w:t xml:space="preserve">Key insights from co-chairs</w:t>
      </w:r>
    </w:p>
    <w:p>
      <w:pPr>
        <w:pStyle w:val="FirstParagraph"/>
      </w:pPr>
      <w:r>
        <w:rPr>
          <w:b/>
          <w:bCs/>
        </w:rPr>
        <w:t xml:space="preserve">On urgency:</w:t>
      </w:r>
      <w:r>
        <w:t xml:space="preserve"> </w:t>
      </w:r>
      <w:r>
        <w:t xml:space="preserve">Florini emphasized that "new technologies don't have inherent, predetermined outcomes" and that society must actively negotiate how AI fits into our world. Proferes noted this represents "a brief window where we can take a step back" to reflect on educational values before widespread adoption.</w:t>
      </w:r>
    </w:p>
    <w:p>
      <w:pPr>
        <w:pStyle w:val="BodyText"/>
      </w:pPr>
      <w:r>
        <w:rPr>
          <w:b/>
          <w:bCs/>
        </w:rPr>
        <w:t xml:space="preserve">On media narratives:</w:t>
      </w:r>
      <w:r>
        <w:t xml:space="preserve"> </w:t>
      </w:r>
      <w:r>
        <w:t xml:space="preserve">The leaders cautioned that popular culture stories about AI often misrepresent reality. Florini observed evidence suggests "AI might actually create more work instead of reducing it," contrasting with utopian narratives. Proferes argued stories about technology function as "collective sensemaking guides" that shape how society understands innovation.</w:t>
      </w:r>
    </w:p>
    <w:p>
      <w:pPr>
        <w:pStyle w:val="BodyText"/>
      </w:pPr>
      <w:r>
        <w:rPr>
          <w:b/>
          <w:bCs/>
        </w:rPr>
        <w:t xml:space="preserve">On institutional action:</w:t>
      </w:r>
      <w:r>
        <w:t xml:space="preserve"> </w:t>
      </w:r>
      <w:r>
        <w:t xml:space="preserve">Both recommended stakeholder dialogue and ongoing ethical reflection. Proferes stressed that too often "ethics is treated as a checkbox, rather than an ongoing process" and emphasized that practical wisdom develops through sustained engagement.</w:t>
      </w:r>
    </w:p>
    <w:bookmarkEnd w:id="21"/>
    <w:bookmarkStart w:id="22" w:name="white-paper"/>
    <w:p>
      <w:pPr>
        <w:pStyle w:val="Heading2"/>
      </w:pPr>
      <w:r>
        <w:t xml:space="preserve">White paper</w:t>
      </w:r>
    </w:p>
    <w:p>
      <w:pPr>
        <w:pStyle w:val="FirstParagraph"/>
      </w:pPr>
      <w:r>
        <w:rPr>
          <w:b/>
          <w:bCs/>
        </w:rPr>
        <w:t xml:space="preserve">Title:</w:t>
      </w:r>
      <w:r>
        <w:t xml:space="preserve"> </w:t>
      </w:r>
      <w:r>
        <w:t xml:space="preserve">"AI and Higher Education: Questions and Projections"</w:t>
      </w:r>
    </w:p>
    <w:p>
      <w:pPr>
        <w:pStyle w:val="BodyText"/>
      </w:pPr>
      <w:r>
        <w:t xml:space="preserve">The workgroup plans additional white papers to guide ethical AI implementation across higher education.</w:t>
      </w:r>
    </w:p>
    <w:bookmarkEnd w:id="22"/>
    <w:bookmarkStart w:id="25" w:name="referenced-by"/>
    <w:p>
      <w:pPr>
        <w:pStyle w:val="Heading2"/>
      </w:pPr>
      <w:r>
        <w:t xml:space="preserve">Referenced by</w:t>
      </w:r>
    </w:p>
    <w:p>
      <w:pPr>
        <w:pStyle w:val="Compact"/>
        <w:numPr>
          <w:ilvl w:val="0"/>
          <w:numId w:val="1001"/>
        </w:numPr>
      </w:pPr>
      <w:hyperlink w:tgtFrame="_blank" r:id="rId23">
        <w:r>
          <w:rPr>
            <w:rStyle w:val="Hyperlink"/>
          </w:rPr>
          <w:t xml:space="preserve">In-Depth Report</w:t>
        </w:r>
      </w:hyperlink>
    </w:p>
    <w:p>
      <w:pPr>
        <w:pStyle w:val="Compact"/>
        <w:numPr>
          <w:ilvl w:val="0"/>
          <w:numId w:val="1001"/>
        </w:numPr>
      </w:pPr>
      <w:hyperlink w:tgtFrame="_blank" r:id="rId24">
        <w:r>
          <w:rPr>
            <w:rStyle w:val="Hyperlink"/>
          </w:rPr>
          <w:t xml:space="preserve">Summary Report</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https://news.asu.edu/20240903-science-and-technology-asu-workgroup-addresses-ethical-questions-about-use-ai-higher-ed"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5" Type="http://schemas.openxmlformats.org/officeDocument/2006/relationships/fontTable" Target="fontTable.xml"/><Relationship Id="rId23"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4" Type="http://schemas.openxmlformats.org/officeDocument/2006/relationships/webSettings" Target="webSettings.xml"/><Relationship Id="rId27"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0" Target="https://news.asu.edu/20240903-science-and-technology-asu-workgroup-addresses-ethical-questions-about-use-ai-higher-ed" TargetMode="External" /><Relationship Type="http://schemas.openxmlformats.org/officeDocument/2006/relationships/hyperlink" Id="rId23"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24" Target="https://tarleton.sharepoint.com/sites/StrategicInsights_njpwtl/Shared%20Documents/University%20AI%20Audit/SCHOOL%20RESEARCH%20FOR%20PAC/SCHOOLS/arizona-state-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7C8FA3-F90B-4592-B383-5217DB0078AF}"/>
</file>

<file path=customXml/itemProps2.xml><?xml version="1.0" encoding="utf-8"?>
<ds:datastoreItem xmlns:ds="http://schemas.openxmlformats.org/officeDocument/2006/customXml" ds:itemID="{67BBB34A-ECDB-4A72-91CD-7D941220FB47}"/>
</file>

<file path=customXml/itemProps3.xml><?xml version="1.0" encoding="utf-8"?>
<ds:datastoreItem xmlns:ds="http://schemas.openxmlformats.org/officeDocument/2006/customXml" ds:itemID="{2C960AC3-BA68-4AD2-A9B1-A6B5CDF479C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2026-07-26T02:44:53Z</dcterms:created>
  <dcterms:modified xsi:type="dcterms:W3CDTF">2026-07-26T02:44:53Z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