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ai-at-arizona-state-university"/>
    <w:p>
      <w:pPr>
        <w:pStyle w:val="Heading1"/>
      </w:pPr>
      <w:r>
        <w:t xml:space="preserve">AI at Arizona State University</w:t>
      </w:r>
    </w:p>
    <w:p>
      <w:pPr>
        <w:pStyle w:val="BlockText"/>
      </w:pPr>
      <w:r>
        <w:rPr>
          <w:b/>
          <w:bCs/>
        </w:rPr>
        <w:t xml:space="preserve">Original URL:</w:t>
      </w:r>
      <w:r>
        <w:t xml:space="preserve"> </w:t>
      </w:r>
      <w:hyperlink w:tgtFrame="_blank" r:id="rId20">
        <w:r>
          <w:rPr>
            <w:rStyle w:val="Hyperlink"/>
          </w:rPr>
          <w:t xml:space="preserve">https://ai.asu.edu/</w:t>
        </w:r>
      </w:hyperlink>
      <w:r>
        <w:t xml:space="preserve"> </w:t>
      </w:r>
      <w:r>
        <w:rPr>
          <w:b/>
          <w:bCs/>
        </w:rPr>
        <w:t xml:space="preserve">Publisher:</w:t>
      </w:r>
      <w:r>
        <w:t xml:space="preserve"> </w:t>
      </w:r>
      <w:r>
        <w:t xml:space="preserve">Arizona State University —</w:t>
      </w:r>
      <w:r>
        <w:t xml:space="preserve"> </w:t>
      </w:r>
      <w:r>
        <w:rPr>
          <w:b/>
          <w:bCs/>
        </w:rPr>
        <w:t xml:space="preserve">Published:</w:t>
      </w:r>
      <w:r>
        <w:t xml:space="preserve"> </w:t>
      </w:r>
      <w:r>
        <w:t xml:space="preserve">unknown (live page) —</w:t>
      </w:r>
      <w:r>
        <w:t xml:space="preserve"> </w:t>
      </w:r>
      <w:r>
        <w:rPr>
          <w:b/>
          <w:bCs/>
        </w:rPr>
        <w:t xml:space="preserve">Retrieved:</w:t>
      </w:r>
      <w:r>
        <w:t xml:space="preserve"> </w:t>
      </w:r>
      <w:r>
        <w:t xml:space="preserve">2026-07-24 —</w:t>
      </w:r>
      <w:r>
        <w:t xml:space="preserve"> </w:t>
      </w:r>
      <w:r>
        <w:rPr>
          <w:b/>
          <w:bCs/>
        </w:rPr>
        <w:t xml:space="preserve">Type:</w:t>
      </w:r>
      <w:r>
        <w:t xml:space="preserve"> </w:t>
      </w:r>
      <w:r>
        <w:t xml:space="preserve">official-page</w:t>
      </w:r>
    </w:p>
    <w:bookmarkStart w:id="21" w:name="mission-statement"/>
    <w:p>
      <w:pPr>
        <w:pStyle w:val="Heading2"/>
      </w:pPr>
      <w:r>
        <w:t xml:space="preserve">Mission statement</w:t>
      </w:r>
    </w:p>
    <w:p>
      <w:pPr>
        <w:pStyle w:val="FirstParagraph"/>
      </w:pPr>
      <w:r>
        <w:t xml:space="preserve">"At Arizona State University, AI is powered by our faculty, staff and students. We are driving AI solutions to enhance teaching, learning, research and digital transformation."</w:t>
      </w:r>
    </w:p>
    <w:p>
      <w:pPr>
        <w:pStyle w:val="BodyText"/>
      </w:pPr>
      <w:r>
        <w:t xml:space="preserve">The university states that it prioritizes intentional outcomes over experimental exploration, balancing cost and computing realities with disciplined approaches. Work is guided by the Principled Innovation® framework — "ASU imagines boldly and builds responsibly, creating AI that expands possibility, advances inclusion and delivers meaningful change."</w:t>
      </w:r>
    </w:p>
    <w:bookmarkEnd w:id="21"/>
    <w:bookmarkStart w:id="22" w:name="shaping-ai-at-asu--three-main-components"/>
    <w:p>
      <w:pPr>
        <w:pStyle w:val="Heading2"/>
      </w:pPr>
      <w:r>
        <w:t xml:space="preserve">Shaping AI at ASU — three main components</w:t>
      </w:r>
    </w:p>
    <w:p>
      <w:pPr>
        <w:pStyle w:val="Compact"/>
        <w:numPr>
          <w:ilvl w:val="0"/>
          <w:numId w:val="1001"/>
        </w:numPr>
      </w:pPr>
      <w:r>
        <w:rPr>
          <w:b/>
          <w:bCs/>
        </w:rPr>
        <w:t xml:space="preserve">Evaluation Framework</w:t>
      </w:r>
      <w:r>
        <w:t xml:space="preserve"> </w:t>
      </w:r>
      <w:r>
        <w:t xml:space="preserve">— Quality assurance for AI projects through model testing, human review, and ongoing bias and equity assessments.</w:t>
      </w:r>
    </w:p>
    <w:p>
      <w:pPr>
        <w:pStyle w:val="Compact"/>
        <w:numPr>
          <w:ilvl w:val="0"/>
          <w:numId w:val="1001"/>
        </w:numPr>
      </w:pPr>
      <w:r>
        <w:rPr>
          <w:b/>
          <w:bCs/>
        </w:rPr>
        <w:t xml:space="preserve">Faculty Ethics Committee on AI Technology</w:t>
      </w:r>
      <w:r>
        <w:t xml:space="preserve"> </w:t>
      </w:r>
      <w:r>
        <w:t xml:space="preserve">— Research-informed guidance for responsible AI implementation. The committee has drafted a set of AI design principles ("Design Principles for Beneficial and Responsible AI") to guide ASU's AI work, reviewing applied case studies and applying the draft principles to ensure they are actionable.</w:t>
      </w:r>
    </w:p>
    <w:p>
      <w:pPr>
        <w:pStyle w:val="Compact"/>
        <w:numPr>
          <w:ilvl w:val="0"/>
          <w:numId w:val="1001"/>
        </w:numPr>
      </w:pPr>
      <w:r>
        <w:rPr>
          <w:b/>
          <w:bCs/>
        </w:rPr>
        <w:t xml:space="preserve">CreateAI</w:t>
      </w:r>
      <w:r>
        <w:t xml:space="preserve"> </w:t>
      </w:r>
      <w:r>
        <w:t xml:space="preserve">— The institutional platform enabling ASU community members to build and engage with AI in a governed environment.</w:t>
      </w:r>
    </w:p>
    <w:bookmarkEnd w:id="22"/>
    <w:bookmarkStart w:id="23" w:name="educational-programs"/>
    <w:p>
      <w:pPr>
        <w:pStyle w:val="Heading2"/>
      </w:pPr>
      <w:r>
        <w:t xml:space="preserve">Educational programs</w:t>
      </w:r>
    </w:p>
    <w:p>
      <w:pPr>
        <w:pStyle w:val="Compact"/>
        <w:numPr>
          <w:ilvl w:val="0"/>
          <w:numId w:val="1002"/>
        </w:numPr>
      </w:pPr>
      <w:r>
        <w:t xml:space="preserve">Multiple undergraduate AI programs</w:t>
      </w:r>
    </w:p>
    <w:p>
      <w:pPr>
        <w:pStyle w:val="Compact"/>
        <w:numPr>
          <w:ilvl w:val="0"/>
          <w:numId w:val="1002"/>
        </w:numPr>
      </w:pPr>
      <w:r>
        <w:t xml:space="preserve">Multiple graduate AI programs</w:t>
      </w:r>
    </w:p>
    <w:p>
      <w:pPr>
        <w:pStyle w:val="Compact"/>
        <w:numPr>
          <w:ilvl w:val="0"/>
          <w:numId w:val="1002"/>
        </w:numPr>
      </w:pPr>
      <w:r>
        <w:t xml:space="preserve">Certificate options</w:t>
      </w:r>
    </w:p>
    <w:p>
      <w:pPr>
        <w:pStyle w:val="Compact"/>
        <w:numPr>
          <w:ilvl w:val="0"/>
          <w:numId w:val="1002"/>
        </w:numPr>
      </w:pPr>
      <w:r>
        <w:t xml:space="preserve">40 individual AI courses</w:t>
      </w:r>
    </w:p>
    <w:bookmarkEnd w:id="23"/>
    <w:bookmarkStart w:id="24" w:name="Xbff5b067ed8571e750aefa7146755286de31866"/>
    <w:p>
      <w:pPr>
        <w:pStyle w:val="Heading2"/>
      </w:pPr>
      <w:r>
        <w:t xml:space="preserve">Agentic AI applications — three focus areas</w:t>
      </w:r>
    </w:p>
    <w:p>
      <w:pPr>
        <w:pStyle w:val="Compact"/>
        <w:numPr>
          <w:ilvl w:val="0"/>
          <w:numId w:val="1003"/>
        </w:numPr>
      </w:pPr>
      <w:r>
        <w:rPr>
          <w:b/>
          <w:bCs/>
        </w:rPr>
        <w:t xml:space="preserve">Student success</w:t>
      </w:r>
      <w:r>
        <w:t xml:space="preserve"> </w:t>
      </w:r>
      <w:r>
        <w:t xml:space="preserve">through personalized, responsive experiences</w:t>
      </w:r>
    </w:p>
    <w:p>
      <w:pPr>
        <w:pStyle w:val="Compact"/>
        <w:numPr>
          <w:ilvl w:val="0"/>
          <w:numId w:val="1003"/>
        </w:numPr>
      </w:pPr>
      <w:r>
        <w:rPr>
          <w:b/>
          <w:bCs/>
        </w:rPr>
        <w:t xml:space="preserve">Operational excellence</w:t>
      </w:r>
      <w:r>
        <w:t xml:space="preserve"> </w:t>
      </w:r>
      <w:r>
        <w:t xml:space="preserve">via automation and insights</w:t>
      </w:r>
    </w:p>
    <w:p>
      <w:pPr>
        <w:pStyle w:val="Compact"/>
        <w:numPr>
          <w:ilvl w:val="0"/>
          <w:numId w:val="1003"/>
        </w:numPr>
      </w:pPr>
      <w:r>
        <w:rPr>
          <w:b/>
          <w:bCs/>
        </w:rPr>
        <w:t xml:space="preserve">Responsible innovation</w:t>
      </w:r>
      <w:r>
        <w:t xml:space="preserve"> </w:t>
      </w:r>
      <w:r>
        <w:t xml:space="preserve">with trusted, scalable capabilities</w:t>
      </w:r>
    </w:p>
    <w:bookmarkEnd w:id="24"/>
    <w:bookmarkStart w:id="25" w:name="strategic-principles"/>
    <w:p>
      <w:pPr>
        <w:pStyle w:val="Heading2"/>
      </w:pPr>
      <w:r>
        <w:t xml:space="preserve">Strategic principles</w:t>
      </w:r>
    </w:p>
    <w:p>
      <w:pPr>
        <w:pStyle w:val="FirstParagraph"/>
      </w:pPr>
      <w:r>
        <w:t xml:space="preserve">Five guiding tenets shape ASU's AI strategy, emphasizing:</w:t>
      </w:r>
    </w:p>
    <w:p>
      <w:pPr>
        <w:pStyle w:val="Compact"/>
        <w:numPr>
          <w:ilvl w:val="0"/>
          <w:numId w:val="1004"/>
        </w:numPr>
      </w:pPr>
      <w:r>
        <w:t xml:space="preserve">AI as a powerful innovation</w:t>
      </w:r>
    </w:p>
    <w:p>
      <w:pPr>
        <w:pStyle w:val="Compact"/>
        <w:numPr>
          <w:ilvl w:val="0"/>
          <w:numId w:val="1004"/>
        </w:numPr>
      </w:pPr>
      <w:r>
        <w:t xml:space="preserve">Principled approaches (Principled Innovation®)</w:t>
      </w:r>
    </w:p>
    <w:p>
      <w:pPr>
        <w:pStyle w:val="Compact"/>
        <w:numPr>
          <w:ilvl w:val="0"/>
          <w:numId w:val="1004"/>
        </w:numPr>
      </w:pPr>
      <w:r>
        <w:t xml:space="preserve">Human augmentation (AI amplifies rather than replaces human intelligence)</w:t>
      </w:r>
    </w:p>
    <w:p>
      <w:pPr>
        <w:pStyle w:val="Compact"/>
        <w:numPr>
          <w:ilvl w:val="0"/>
          <w:numId w:val="1004"/>
        </w:numPr>
      </w:pPr>
      <w:r>
        <w:t xml:space="preserve">Ongoing adaptation</w:t>
      </w:r>
    </w:p>
    <w:p>
      <w:pPr>
        <w:pStyle w:val="Compact"/>
        <w:numPr>
          <w:ilvl w:val="0"/>
          <w:numId w:val="1004"/>
        </w:numPr>
      </w:pPr>
      <w:r>
        <w:t xml:space="preserve">Access and inclusion as central considerations</w:t>
      </w:r>
    </w:p>
    <w:bookmarkEnd w:id="25"/>
    <w:bookmarkStart w:id="26" w:name="related-infrastructure-from-linked-pages"/>
    <w:p>
      <w:pPr>
        <w:pStyle w:val="Heading2"/>
      </w:pPr>
      <w:r>
        <w:t xml:space="preserve">Related infrastructure (from linked pages)</w:t>
      </w:r>
    </w:p>
    <w:p>
      <w:pPr>
        <w:pStyle w:val="Compact"/>
        <w:numPr>
          <w:ilvl w:val="0"/>
          <w:numId w:val="1005"/>
        </w:numPr>
      </w:pPr>
      <w:r>
        <w:t xml:space="preserve">ChatGPT Edu (OpenAI partnership), Google Gemini for Education, Microsoft Copilot Chat</w:t>
      </w:r>
    </w:p>
    <w:p>
      <w:pPr>
        <w:pStyle w:val="Compact"/>
        <w:numPr>
          <w:ilvl w:val="0"/>
          <w:numId w:val="1005"/>
        </w:numPr>
      </w:pPr>
      <w:r>
        <w:t xml:space="preserve">CreateAI Platform, CreateAI Builder, CreateAI Chat (technical foundation pages)</w:t>
      </w:r>
    </w:p>
    <w:p>
      <w:pPr>
        <w:pStyle w:val="Compact"/>
        <w:numPr>
          <w:ilvl w:val="0"/>
          <w:numId w:val="1005"/>
        </w:numPr>
      </w:pPr>
      <w:r>
        <w:t xml:space="preserve">AI Acceleration Team (Enterprise Technology)</w:t>
      </w:r>
    </w:p>
    <w:p>
      <w:pPr>
        <w:pStyle w:val="Compact"/>
        <w:numPr>
          <w:ilvl w:val="0"/>
          <w:numId w:val="1005"/>
        </w:numPr>
      </w:pPr>
      <w:r>
        <w:t xml:space="preserve">AI tools request portal: ai.asu.edu/ai-tools</w:t>
      </w:r>
    </w:p>
    <w:bookmarkEnd w:id="26"/>
    <w:bookmarkStart w:id="29" w:name="referenced-by"/>
    <w:p>
      <w:pPr>
        <w:pStyle w:val="Heading2"/>
      </w:pPr>
      <w:r>
        <w:t xml:space="preserve">Referenced by</w:t>
      </w:r>
    </w:p>
    <w:p>
      <w:pPr>
        <w:pStyle w:val="Compact"/>
        <w:numPr>
          <w:ilvl w:val="0"/>
          <w:numId w:val="1006"/>
        </w:numPr>
      </w:pPr>
      <w:hyperlink w:tgtFrame="_blank" r:id="rId27">
        <w:r>
          <w:rPr>
            <w:rStyle w:val="Hyperlink"/>
          </w:rPr>
          <w:t xml:space="preserve">In-Depth Report</w:t>
        </w:r>
      </w:hyperlink>
    </w:p>
    <w:p>
      <w:pPr>
        <w:pStyle w:val="Compact"/>
        <w:numPr>
          <w:ilvl w:val="0"/>
          <w:numId w:val="1006"/>
        </w:numPr>
      </w:pPr>
      <w:hyperlink w:tgtFrame="_blank" r:id="rId28">
        <w:r>
          <w:rPr>
            <w:rStyle w:val="Hyperlink"/>
          </w:rPr>
          <w:t xml:space="preserve">Summary Report</w:t>
        </w:r>
      </w:hyperlink>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hAnsi="Calibri"/>
      <w:sz w:val="22"/>
      <w:szCs w:val="22"/>
      <w:color w:val="1F1F1F"/>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outlineLvl w:val="0"/>
      <w:shd w:color="auto" w:fill="4F2683" w:val="clear"/>
      <w:spacing w:after="160" w:before="240"/>
    </w:pPr>
    <w:rPr>
      <w:rFonts w:ascii="Calibri" w:cs="Calibri" w:hAnsi="Calibri"/>
      <w:color w:val="FFFFFF"/>
      <w:sz w:val="36"/>
      <w:szCs w:val="36"/>
      <w:b/>
    </w:rPr>
  </w:style>
  <w:style w:styleId="Heading2" w:type="paragraph">
    <w:name w:val="heading 2"/>
    <w:basedOn w:val="Normal"/>
    <w:next w:val="BodyText"/>
    <w:link w:val="Heading2Char"/>
    <w:uiPriority w:val="9"/>
    <w:semiHidden/>
    <w:unhideWhenUsed/>
    <w:qFormat/>
    <w:rsid w:val="00A10FD9"/>
    <w:pPr>
      <w:pBdr>
        <w:bottom w:color="4F2683" w:space="4" w:sz="6" w:val="single"/>
      </w:pBdr>
      <w:keepNext/>
      <w:keepLines/>
      <w:outlineLvl w:val="1"/>
      <w:spacing w:after="120" w:before="280"/>
    </w:pPr>
    <w:rPr>
      <w:rFonts w:ascii="Calibri" w:cs="Calibri" w:hAnsi="Calibri"/>
      <w:color w:val="4F2683"/>
      <w:sz w:val="29"/>
      <w:szCs w:val="29"/>
      <w:b/>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Calibri" w:hAnsi="Calibri"/>
      <w:color w:val="4F2683"/>
      <w:sz w:val="25"/>
      <w:szCs w:val="25"/>
      <w:b/>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iCs/>
      <w:rFonts w:ascii="Calibri" w:cs="Calibri" w:hAnsi="Calibri"/>
      <w:color w:val="4F2683"/>
      <w:sz w:val="23"/>
      <w:szCs w:val="23"/>
      <w:b/>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pBdr>
        <w:left w:color="4F2683" w:space="4" w:sz="24" w:val="single"/>
      </w:pBdr>
      <w:shd w:color="auto" w:fill="F3EFF9" w:val="clear"/>
      <w:spacing w:after="120" w:before="120"/>
      <w:ind w:left="240" w:right="24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D9D2E9" w:space="0" w:sz="4" w:val="single"/>
        <w:left w:color="D9D2E9" w:space="0" w:sz="4" w:val="single"/>
        <w:bottom w:color="D9D2E9" w:space="0" w:sz="4" w:val="single"/>
        <w:right w:color="D9D2E9" w:space="0" w:sz="4" w:val="single"/>
        <w:insideH w:color="D9D2E9" w:space="0" w:sz="4" w:val="single"/>
        <w:insideV w:color="D9D2E9" w:space="0" w:sz="4" w:val="single"/>
      </w:tblBorders>
    </w:tblPr>
    <w:tblStylePr w:type="firstRow">
      <w:tblPr>
        <w:jc w:val="left"/>
        <w:tblInd w:type="dxa" w:w="0"/>
      </w:tblPr>
      <w:trPr>
        <w:jc w:val="left"/>
      </w:trPr>
      <w:tcPr>
        <w:tcBorders>
          <w:bottom w:val="single"/>
        </w:tcBorders>
        <w:vAlign w:val="bottom"/>
      </w:tcPr>
    </w:tblStylePr>
    <w:tblStylePr w:type="firstRow">
      <w:rPr>
        <w:b/>
        <w:color w:val="FFFFFF"/>
      </w:rPr>
      <w:tcPr>
        <w:shd w:color="auto" w:fill="4F2683"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sz w:val="20"/>
      <w:szCs w:val="20"/>
      <w:shd w:color="auto" w:fill="F5F3FA"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4F2683"/>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pBdr>
        <w:top w:color="C9BCE0" w:space="4" w:sz="4" w:val="single"/>
        <w:left w:color="C9BCE0" w:space="4" w:sz="4" w:val="single"/>
        <w:bottom w:color="C9BCE0" w:space="4" w:sz="4" w:val="single"/>
        <w:right w:color="C9BCE0" w:space="4" w:sz="4" w:val="single"/>
      </w:pBdr>
      <w:wordWrap w:val="off"/>
      <w:shd w:color="auto" w:fill="F5F3FA" w:val="clear"/>
    </w:pPr>
    <w:rPr>
      <w:rFonts w:ascii="Consolas" w:cs="Consolas" w:hAnsi="Consolas"/>
      <w:sz w:val="20"/>
      <w:szCs w:val="20"/>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https://ai.asu.edu/" TargetMode="External"/><Relationship Id="rId29"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28" Type="http://schemas.openxmlformats.org/officeDocument/2006/relationships/hyperlink" Target="https://tarleton.sharepoint.com/sites/StrategicInsights_njpwtl/Shared%20Documents/University%20AI%20Audit/SCHOOL%20RESEARCH%20FOR%20PAC/SCHOOLS/arizona-state-university/summary-report.docx?web=1" TargetMode="External"/><Relationship Id="rId31" Type="http://schemas.openxmlformats.org/officeDocument/2006/relationships/customXml" Target="../customXml/item3.xml"/><Relationship Id="rId4" Type="http://schemas.openxmlformats.org/officeDocument/2006/relationships/webSettings" Target="webSettings.xml"/><Relationship Id="rId27" Type="http://schemas.openxmlformats.org/officeDocument/2006/relationships/hyperlink" Target="https://tarleton.sharepoint.com/sites/StrategicInsights_njpwtl/Shared%20Documents/University%20AI%20Audit/SCHOOL%20RESEARCH%20FOR%20PAC/SCHOOLS/arizona-state-university/in-depth-report.docx?web=1" TargetMode="External"/><Relationship Id="rId30"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0" Target="https://ai.asu.edu/" TargetMode="External" /><Relationship Type="http://schemas.openxmlformats.org/officeDocument/2006/relationships/hyperlink" Id="rId27" Target="https://tarleton.sharepoint.com/sites/StrategicInsights_njpwtl/Shared%20Documents/University%20AI%20Audit/SCHOOL%20RESEARCH%20FOR%20PAC/SCHOOLS/arizona-state-university/in-depth-report.docx?web=1" TargetMode="External" /><Relationship Type="http://schemas.openxmlformats.org/officeDocument/2006/relationships/hyperlink" Id="rId28" Target="https://tarleton.sharepoint.com/sites/StrategicInsights_njpwtl/Shared%20Documents/University%20AI%20Audit/SCHOOL%20RESEARCH%20FOR%20PAC/SCHOOLS/arizona-state-university/summary-report.docx?web=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23B73DB3632340A8C8FEE6EFDC4F94" ma:contentTypeVersion="7" ma:contentTypeDescription="Create a new document." ma:contentTypeScope="" ma:versionID="a44e4b9dde152e715fe3ab93679f971e">
  <xsd:schema xmlns:xsd="http://www.w3.org/2001/XMLSchema" xmlns:xs="http://www.w3.org/2001/XMLSchema" xmlns:p="http://schemas.microsoft.com/office/2006/metadata/properties" xmlns:ns2="4890911a-406b-4a21-a8f6-655236cc89c3" targetNamespace="http://schemas.microsoft.com/office/2006/metadata/properties" ma:root="true" ma:fieldsID="03eb6af99cecbff0d9dcbb855affef69" ns2:_="">
    <xsd:import namespace="4890911a-406b-4a21-a8f6-655236cc89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90911a-406b-4a21-a8f6-655236cc89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81F2B67-5EBE-4981-A0BF-7BBFADF419A7}"/>
</file>

<file path=customXml/itemProps2.xml><?xml version="1.0" encoding="utf-8"?>
<ds:datastoreItem xmlns:ds="http://schemas.openxmlformats.org/officeDocument/2006/customXml" ds:itemID="{4BCEEF4C-291D-41AB-AE74-21E2B0362C3D}"/>
</file>

<file path=customXml/itemProps3.xml><?xml version="1.0" encoding="utf-8"?>
<ds:datastoreItem xmlns:ds="http://schemas.openxmlformats.org/officeDocument/2006/customXml" ds:itemID="{0E68F999-ADE1-411C-958E-896AB69ECB8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2026-07-26T02:44:53Z</dcterms:created>
  <dcterms:modified xsi:type="dcterms:W3CDTF">2026-07-26T02:44:53Z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0x010100D423B73DB3632340A8C8FEE6EFDC4F94</vt:lpwstr>
  </property>
</Properties>
</file>