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e59b96e520a04e515838b43dd323a92d7f01dbe"/>
    <w:p>
      <w:pPr>
        <w:pStyle w:val="Heading1"/>
      </w:pPr>
      <w:r>
        <w:t xml:space="preserve">Teaching and Learning with Generative AI at ASU</w:t>
      </w:r>
    </w:p>
    <w:p>
      <w:pPr>
        <w:pStyle w:val="BlockText"/>
      </w:pPr>
      <w:r>
        <w:rPr>
          <w:b/>
          <w:bCs/>
        </w:rPr>
        <w:t xml:space="preserve">Original URL:</w:t>
      </w:r>
      <w:r>
        <w:t xml:space="preserve"> </w:t>
      </w:r>
      <w:hyperlink w:tgtFrame="_blank" r:id="rId20">
        <w:r>
          <w:rPr>
            <w:rStyle w:val="Hyperlink"/>
          </w:rPr>
          <w:t xml:space="preserve">https://provost.asu.edu/generative-ai</w:t>
        </w:r>
      </w:hyperlink>
      <w:r>
        <w:t xml:space="preserve"> </w:t>
      </w:r>
      <w:r>
        <w:rPr>
          <w:b/>
          <w:bCs/>
        </w:rPr>
        <w:t xml:space="preserve">Publisher:</w:t>
      </w:r>
      <w:r>
        <w:t xml:space="preserve"> </w:t>
      </w:r>
      <w:r>
        <w:t xml:space="preserve">Arizona State University — Office of the University Provost —</w:t>
      </w:r>
      <w:r>
        <w:t xml:space="preserve"> </w:t>
      </w:r>
      <w:r>
        <w:rPr>
          <w:b/>
          <w:bCs/>
        </w:rPr>
        <w:t xml:space="preserve">Published:</w:t>
      </w:r>
      <w:r>
        <w:t xml:space="preserve"> </w:t>
      </w:r>
      <w:r>
        <w:t xml:space="preserve">unknown (live guidance page)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policy</w:t>
      </w:r>
    </w:p>
    <w:bookmarkStart w:id="21" w:name="core-philosophy"/>
    <w:p>
      <w:pPr>
        <w:pStyle w:val="Heading2"/>
      </w:pPr>
      <w:r>
        <w:t xml:space="preserve">Core philosophy</w:t>
      </w:r>
    </w:p>
    <w:p>
      <w:pPr>
        <w:pStyle w:val="FirstParagraph"/>
      </w:pPr>
      <w:r>
        <w:t xml:space="preserve">ASU's approach centers on</w:t>
      </w:r>
      <w:r>
        <w:t xml:space="preserve"> </w:t>
      </w:r>
      <w:r>
        <w:rPr>
          <w:b/>
          <w:bCs/>
        </w:rPr>
        <w:t xml:space="preserve">"Principled Innovation®,"</w:t>
      </w:r>
      <w:r>
        <w:t xml:space="preserve"> </w:t>
      </w:r>
      <w:r>
        <w:t xml:space="preserve">enabling thoughtful and responsible AI use. The institution commits to providing "tools and support you need to harness AI's potential while prioritizing ethical and inclusive practices."</w:t>
      </w:r>
    </w:p>
    <w:p>
      <w:pPr>
        <w:pStyle w:val="BodyText"/>
      </w:pPr>
      <w:r>
        <w:t xml:space="preserve">The Provost's Office provides resources, best practices, case studies and workshops on incorporating AI tools in ways that foster academic integrity, engagement and inclusivity, and has been reviewing ASU's academic integrity policy through the lens of what content can be produced through generative AI and what learning behaviors and outcomes are expected of students.</w:t>
      </w:r>
    </w:p>
    <w:bookmarkEnd w:id="21"/>
    <w:bookmarkStart w:id="24" w:name="key-platforms-compared"/>
    <w:p>
      <w:pPr>
        <w:pStyle w:val="Heading2"/>
      </w:pPr>
      <w:r>
        <w:t xml:space="preserve">Key platforms compared</w:t>
      </w:r>
    </w:p>
    <w:bookmarkStart w:id="22" w:name="Xf262954747cb9845368bbd7edcfa0d9acdd22cb"/>
    <w:p>
      <w:pPr>
        <w:pStyle w:val="Heading3"/>
      </w:pPr>
      <w:r>
        <w:t xml:space="preserve">CreateAI Builder (ASU's institutional platform)</w:t>
      </w:r>
    </w:p>
    <w:p>
      <w:pPr>
        <w:pStyle w:val="FirstParagraph"/>
      </w:pPr>
      <w:r>
        <w:t xml:space="preserve">FERPA-compliant AI development platform. Features include:</w:t>
      </w:r>
    </w:p>
    <w:p>
      <w:pPr>
        <w:pStyle w:val="Compact"/>
        <w:numPr>
          <w:ilvl w:val="0"/>
          <w:numId w:val="1001"/>
        </w:numPr>
      </w:pPr>
      <w:r>
        <w:t xml:space="preserve">Unlimited document uploads</w:t>
      </w:r>
    </w:p>
    <w:p>
      <w:pPr>
        <w:pStyle w:val="Compact"/>
        <w:numPr>
          <w:ilvl w:val="0"/>
          <w:numId w:val="1001"/>
        </w:numPr>
      </w:pPr>
      <w:r>
        <w:t xml:space="preserve">Knowledge base with RAG (Retrieval-Augmented Generation)</w:t>
      </w:r>
    </w:p>
    <w:p>
      <w:pPr>
        <w:pStyle w:val="Compact"/>
        <w:numPr>
          <w:ilvl w:val="0"/>
          <w:numId w:val="1001"/>
        </w:numPr>
      </w:pPr>
      <w:r>
        <w:t xml:space="preserve">Access to 40+ models</w:t>
      </w:r>
    </w:p>
    <w:p>
      <w:pPr>
        <w:pStyle w:val="Compact"/>
        <w:numPr>
          <w:ilvl w:val="0"/>
          <w:numId w:val="1001"/>
        </w:numPr>
      </w:pPr>
      <w:r>
        <w:rPr>
          <w:b/>
          <w:bCs/>
        </w:rPr>
        <w:t xml:space="preserve">Ethical AI Engine for bias evaluation</w:t>
      </w:r>
    </w:p>
    <w:p>
      <w:pPr>
        <w:pStyle w:val="Compact"/>
        <w:numPr>
          <w:ilvl w:val="0"/>
          <w:numId w:val="1001"/>
        </w:numPr>
      </w:pPr>
      <w:r>
        <w:t xml:space="preserve">Dashboard and usage analytics</w:t>
      </w:r>
    </w:p>
    <w:p>
      <w:pPr>
        <w:pStyle w:val="Compact"/>
        <w:numPr>
          <w:ilvl w:val="0"/>
          <w:numId w:val="1001"/>
        </w:numPr>
      </w:pPr>
      <w:r>
        <w:rPr>
          <w:b/>
          <w:bCs/>
        </w:rPr>
        <w:t xml:space="preserve">Data availability for research</w:t>
      </w:r>
    </w:p>
    <w:p>
      <w:pPr>
        <w:pStyle w:val="Compact"/>
        <w:numPr>
          <w:ilvl w:val="0"/>
          <w:numId w:val="1001"/>
        </w:numPr>
      </w:pPr>
      <w:r>
        <w:t xml:space="preserve">LMS integration (Spring A/C availability)</w:t>
      </w:r>
    </w:p>
    <w:p>
      <w:pPr>
        <w:pStyle w:val="Compact"/>
        <w:numPr>
          <w:ilvl w:val="0"/>
          <w:numId w:val="1001"/>
        </w:numPr>
      </w:pPr>
      <w:r>
        <w:t xml:space="preserve">Agentic workflows (alpha stage)</w:t>
      </w:r>
    </w:p>
    <w:bookmarkEnd w:id="22"/>
    <w:bookmarkStart w:id="23" w:name="chatgpt-edu-openai"/>
    <w:p>
      <w:pPr>
        <w:pStyle w:val="Heading3"/>
      </w:pPr>
      <w:r>
        <w:t xml:space="preserve">ChatGPT Edu (OpenAI)</w:t>
      </w:r>
    </w:p>
    <w:p>
      <w:pPr>
        <w:pStyle w:val="FirstParagraph"/>
      </w:pPr>
      <w:r>
        <w:t xml:space="preserve">FERPA-compliant offering with:</w:t>
      </w:r>
    </w:p>
    <w:p>
      <w:pPr>
        <w:pStyle w:val="Compact"/>
        <w:numPr>
          <w:ilvl w:val="0"/>
          <w:numId w:val="1002"/>
        </w:numPr>
      </w:pPr>
      <w:r>
        <w:t xml:space="preserve">Deep Research and advanced data analysis capabilities</w:t>
      </w:r>
    </w:p>
    <w:p>
      <w:pPr>
        <w:pStyle w:val="Compact"/>
        <w:numPr>
          <w:ilvl w:val="0"/>
          <w:numId w:val="1002"/>
        </w:numPr>
      </w:pPr>
      <w:r>
        <w:t xml:space="preserve">Access to four OpenAI models</w:t>
      </w:r>
    </w:p>
    <w:p>
      <w:pPr>
        <w:pStyle w:val="Compact"/>
        <w:numPr>
          <w:ilvl w:val="0"/>
          <w:numId w:val="1002"/>
        </w:numPr>
      </w:pPr>
      <w:r>
        <w:t xml:space="preserve">20 documents per project limit</w:t>
      </w:r>
    </w:p>
    <w:p>
      <w:pPr>
        <w:pStyle w:val="Compact"/>
        <w:numPr>
          <w:ilvl w:val="0"/>
          <w:numId w:val="1002"/>
        </w:numPr>
      </w:pPr>
      <w:r>
        <w:t xml:space="preserve">No knowledge base or evaluation features</w:t>
      </w:r>
    </w:p>
    <w:p>
      <w:pPr>
        <w:pStyle w:val="FirstParagraph"/>
      </w:pPr>
      <w:r>
        <w:t xml:space="preserve">Faculty and staff can develop GPTs that students interact with to advance teaching and learning goals, with the recommendation to develop these experiences in</w:t>
      </w:r>
      <w:r>
        <w:t xml:space="preserve"> </w:t>
      </w:r>
      <w:r>
        <w:rPr>
          <w:b/>
          <w:bCs/>
        </w:rPr>
        <w:t xml:space="preserve">CreateAI Builder to maximize access to usage and engagement data</w:t>
      </w:r>
      <w:r>
        <w:t xml:space="preserve">.</w:t>
      </w:r>
    </w:p>
    <w:bookmarkEnd w:id="23"/>
    <w:bookmarkEnd w:id="24"/>
    <w:bookmarkStart w:id="25" w:name="faculty-guidelines"/>
    <w:p>
      <w:pPr>
        <w:pStyle w:val="Heading2"/>
      </w:pPr>
      <w:r>
        <w:t xml:space="preserve">Faculty guidelines</w:t>
      </w:r>
    </w:p>
    <w:p>
      <w:pPr>
        <w:pStyle w:val="Compact"/>
        <w:numPr>
          <w:ilvl w:val="0"/>
          <w:numId w:val="1003"/>
        </w:numPr>
      </w:pPr>
      <w:r>
        <w:rPr>
          <w:b/>
          <w:bCs/>
        </w:rPr>
        <w:t xml:space="preserve">Account merging:</w:t>
      </w:r>
      <w:r>
        <w:t xml:space="preserve"> </w:t>
      </w:r>
      <w:r>
        <w:t xml:space="preserve">Do not merge personal ChatGPT accounts with @asu.edu credentials if content includes HIPAA or restricted data. "This merger is permanent. You will not be able to unmerge your chat history."</w:t>
      </w:r>
    </w:p>
    <w:p>
      <w:pPr>
        <w:pStyle w:val="Compact"/>
        <w:numPr>
          <w:ilvl w:val="0"/>
          <w:numId w:val="1003"/>
        </w:numPr>
      </w:pPr>
      <w:r>
        <w:rPr>
          <w:b/>
          <w:bCs/>
        </w:rPr>
        <w:t xml:space="preserve">Student GPTs:</w:t>
      </w:r>
      <w:r>
        <w:t xml:space="preserve"> </w:t>
      </w:r>
      <w:r>
        <w:t xml:space="preserve">"GPTs created for class use require students to have a ChatGPT Edu account" and "participation is optional."</w:t>
      </w:r>
    </w:p>
    <w:bookmarkEnd w:id="25"/>
    <w:bookmarkStart w:id="26" w:name="definition-used"/>
    <w:p>
      <w:pPr>
        <w:pStyle w:val="Heading2"/>
      </w:pPr>
      <w:r>
        <w:t xml:space="preserve">Definition used</w:t>
      </w:r>
    </w:p>
    <w:p>
      <w:pPr>
        <w:pStyle w:val="FirstParagraph"/>
      </w:pPr>
      <w:r>
        <w:t xml:space="preserve">"Generative AI is a type of artificial intelligence that can create new content — such as text, images, videos, music, artwork and synthetic data — based on user input."</w:t>
      </w:r>
    </w:p>
    <w:bookmarkEnd w:id="26"/>
    <w:bookmarkStart w:id="27" w:name="teaching-conversation-topics"/>
    <w:p>
      <w:pPr>
        <w:pStyle w:val="Heading2"/>
      </w:pPr>
      <w:r>
        <w:t xml:space="preserve">Teaching conversation topics</w:t>
      </w:r>
    </w:p>
    <w:p>
      <w:pPr>
        <w:pStyle w:val="Compact"/>
        <w:numPr>
          <w:ilvl w:val="0"/>
          <w:numId w:val="1004"/>
        </w:numPr>
      </w:pPr>
      <w:r>
        <w:t xml:space="preserve">Fostering positive AI culture in academia</w:t>
      </w:r>
    </w:p>
    <w:p>
      <w:pPr>
        <w:pStyle w:val="Compact"/>
        <w:numPr>
          <w:ilvl w:val="0"/>
          <w:numId w:val="1004"/>
        </w:numPr>
      </w:pPr>
      <w:r>
        <w:t xml:space="preserve">Academic integrity implications</w:t>
      </w:r>
    </w:p>
    <w:p>
      <w:pPr>
        <w:pStyle w:val="Compact"/>
        <w:numPr>
          <w:ilvl w:val="0"/>
          <w:numId w:val="1004"/>
        </w:numPr>
      </w:pPr>
      <w:r>
        <w:t xml:space="preserve">Effects on critical thinking, research, and writing</w:t>
      </w:r>
    </w:p>
    <w:bookmarkEnd w:id="27"/>
    <w:bookmarkStart w:id="28" w:name="community-of-practice"/>
    <w:p>
      <w:pPr>
        <w:pStyle w:val="Heading2"/>
      </w:pPr>
      <w:r>
        <w:t xml:space="preserve">Community of Practice</w:t>
      </w:r>
    </w:p>
    <w:p>
      <w:pPr>
        <w:pStyle w:val="FirstParagraph"/>
      </w:pPr>
      <w:r>
        <w:t xml:space="preserve">ASU has established a</w:t>
      </w:r>
      <w:r>
        <w:t xml:space="preserve"> </w:t>
      </w:r>
      <w:r>
        <w:rPr>
          <w:b/>
          <w:bCs/>
        </w:rPr>
        <w:t xml:space="preserve">Generative AI Community of Practice</w:t>
      </w:r>
      <w:r>
        <w:t xml:space="preserve"> </w:t>
      </w:r>
      <w:r>
        <w:t xml:space="preserve">grounded in the Principled Innovation framework — a collaborative environment where faculty explore and implement creative, ethical approaches to integrating AI into their practices. Links to Academic Integrity guidance and the Principled Innovation® framework are provided for faculty consultation.</w:t>
      </w:r>
    </w:p>
    <w:bookmarkEnd w:id="28"/>
    <w:bookmarkStart w:id="31" w:name="referenced-by"/>
    <w:p>
      <w:pPr>
        <w:pStyle w:val="Heading2"/>
      </w:pPr>
      <w:r>
        <w:t xml:space="preserve">Referenced by</w:t>
      </w:r>
    </w:p>
    <w:p>
      <w:pPr>
        <w:pStyle w:val="Compact"/>
        <w:numPr>
          <w:ilvl w:val="0"/>
          <w:numId w:val="1005"/>
        </w:numPr>
      </w:pPr>
      <w:hyperlink w:tgtFrame="_blank" r:id="rId29">
        <w:r>
          <w:rPr>
            <w:rStyle w:val="Hyperlink"/>
          </w:rPr>
          <w:t xml:space="preserve">In-Depth Report</w:t>
        </w:r>
      </w:hyperlink>
    </w:p>
    <w:p>
      <w:pPr>
        <w:pStyle w:val="Compact"/>
        <w:numPr>
          <w:ilvl w:val="0"/>
          <w:numId w:val="1005"/>
        </w:numPr>
      </w:pPr>
      <w:hyperlink w:tgtFrame="_blank" r:id="rId30">
        <w:r>
          <w:rPr>
            <w:rStyle w:val="Hyperlink"/>
          </w:rPr>
          <w:t xml:space="preserve">Summary Report</w:t>
        </w:r>
      </w:hyperlink>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33" Type="http://schemas.openxmlformats.org/officeDocument/2006/relationships/customXml" Target="../customXml/item3.xml"/><Relationship Id="rId2" Type="http://schemas.openxmlformats.org/officeDocument/2006/relationships/styles" Target="styles.xml"/><Relationship Id="rId20" Type="http://schemas.openxmlformats.org/officeDocument/2006/relationships/hyperlink" Target="https://provost.asu.edu/generative-ai" TargetMode="External"/><Relationship Id="rId29" Type="http://schemas.openxmlformats.org/officeDocument/2006/relationships/hyperlink" Target="https://tarleton.sharepoint.com/sites/StrategicInsights_njpwtl/Shared%20Documents/University%20AI%20Audit/SCHOOL%20RESEARCH%20FOR%20PAC/SCHOOLS/arizona-state-university/in-depth-report.docx?web=1"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2.xml"/><Relationship Id="rId5" Type="http://schemas.openxmlformats.org/officeDocument/2006/relationships/fontTable" Target="fontTable.xml"/><Relationship Id="rId31" Type="http://schemas.openxmlformats.org/officeDocument/2006/relationships/customXml" Target="../customXml/item1.xml"/><Relationship Id="rId4" Type="http://schemas.openxmlformats.org/officeDocument/2006/relationships/webSettings" Target="webSettings.xml"/><Relationship Id="rId30" Type="http://schemas.openxmlformats.org/officeDocument/2006/relationships/hyperlink" Target="https://tarleton.sharepoint.com/sites/StrategicInsights_njpwtl/Shared%20Documents/University%20AI%20Audit/SCHOOL%20RESEARCH%20FOR%20PAC/SCHOOLS/arizona-state-university/summary-report.docx?web=1" TargetMode="External"/></Relationships>
</file>

<file path=word/_rels/footnotes.xml.rels><?xml version="1.0" encoding="UTF-8"?><Relationships xmlns="http://schemas.openxmlformats.org/package/2006/relationships"><Relationship Type="http://schemas.openxmlformats.org/officeDocument/2006/relationships/hyperlink" Id="rId20" Target="https://provost.asu.edu/generative-ai" TargetMode="External" /><Relationship Type="http://schemas.openxmlformats.org/officeDocument/2006/relationships/hyperlink" Id="rId29" Target="https://tarleton.sharepoint.com/sites/StrategicInsights_njpwtl/Shared%20Documents/University%20AI%20Audit/SCHOOL%20RESEARCH%20FOR%20PAC/SCHOOLS/arizona-state-university/in-depth-report.docx?web=1" TargetMode="External" /><Relationship Type="http://schemas.openxmlformats.org/officeDocument/2006/relationships/hyperlink" Id="rId30" Target="https://tarleton.sharepoint.com/sites/StrategicInsights_njpwtl/Shared%20Documents/University%20AI%20Audit/SCHOOL%20RESEARCH%20FOR%20PAC/SCHOOLS/arizona-state-university/summary-report.docx?web=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D92E8A-AB2C-40A4-8DD8-11CD2641D7A3}"/>
</file>

<file path=customXml/itemProps2.xml><?xml version="1.0" encoding="utf-8"?>
<ds:datastoreItem xmlns:ds="http://schemas.openxmlformats.org/officeDocument/2006/customXml" ds:itemID="{0CB1563C-6E6A-4ADC-9720-3988633152DB}"/>
</file>

<file path=customXml/itemProps3.xml><?xml version="1.0" encoding="utf-8"?>
<ds:datastoreItem xmlns:ds="http://schemas.openxmlformats.org/officeDocument/2006/customXml" ds:itemID="{F485CBA8-DAC3-4F64-95DC-AE719BEC4BB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2026-07-26T02:44:54Z</dcterms:created>
  <dcterms:modified xsi:type="dcterms:W3CDTF">2026-07-26T02:44:54Z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