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1cb1cdd17b7ac2d1df64545336351f217c122d"/>
    <w:p>
      <w:pPr>
        <w:pStyle w:val="Heading1"/>
      </w:pPr>
      <w:r>
        <w:t xml:space="preserve">Marist University — One-Page AI Strategy (Summary)</w:t>
      </w:r>
    </w:p>
    <w:p>
      <w:pPr>
        <w:pStyle w:val="FirstParagraph"/>
      </w:pPr>
      <w:r>
        <w:rPr>
          <w:b/>
          <w:bCs/>
        </w:rPr>
        <w:t xml:space="preserve">Strategy title: "Marist+AI: Ethically Intelligent Leadership for an AI-Driven World"</w:t>
      </w:r>
    </w:p>
    <w:p>
      <w:pPr>
        <w:pStyle w:val="BodyText"/>
      </w:pPr>
      <w:r>
        <w:t xml:space="preserve">Completed one-page strategy per the Framework Reference. Full evidence and analysis:</w:t>
      </w:r>
      <w:r>
        <w:t xml:space="preserve"> </w:t>
      </w:r>
      <w:hyperlink w:tgtFrame="_blank" r:id="rId20">
        <w:r>
          <w:rPr>
            <w:rStyle w:val="Hyperlink"/>
          </w:rPr>
          <w:t xml:space="preserve">In-Depth Report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ai-vision"/>
    <w:p>
      <w:pPr>
        <w:pStyle w:val="Heading2"/>
      </w:pPr>
      <w:r>
        <w:t xml:space="preserve">AI Vision</w:t>
      </w:r>
    </w:p>
    <w:p>
      <w:pPr>
        <w:pStyle w:val="BlockText"/>
      </w:pPr>
      <w:r>
        <w:rPr>
          <w:b/>
          <w:bCs/>
        </w:rPr>
        <w:t xml:space="preserve">"We will use AI technology so that we can achieve better AI-literate, ethically intelligent, career-ready graduates and more effective teaching, learning, and university operations — while preserving meaningful human oversight, academic integrity, and Marist's human-centered liberal-arts values."</w:t>
      </w:r>
    </w:p>
    <w:p>
      <w:pPr>
        <w:pStyle w:val="FirstParagraph"/>
      </w:pPr>
      <w:r>
        <w:rPr>
          <w:i/>
          <w:iCs/>
        </w:rPr>
        <w:t xml:space="preserve">(Inferred from Marist's published three-year Marist+AI strategy, released April 7, 2026 — see</w:t>
      </w:r>
      <w:r>
        <w:rPr>
          <w:i/>
          <w:iCs/>
        </w:rPr>
        <w:t xml:space="preserve"> </w:t>
      </w:r>
      <w:hyperlink w:tgtFrame="_blank" r:id="rId21">
        <w:r>
          <w:rPr>
            <w:rStyle w:val="Hyperlink"/>
            <w:i/>
            <w:iCs/>
          </w:rPr>
          <w:t xml:space="preserve">press release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w:tgtFrame="_blank" r:id="rId22">
        <w:r>
          <w:rPr>
            <w:rStyle w:val="Hyperlink"/>
            <w:i/>
            <w:iCs/>
          </w:rPr>
          <w:t xml:space="preserve">strategy page</w:t>
        </w:r>
      </w:hyperlink>
      <w:r>
        <w:rPr>
          <w:i/>
          <w:iCs/>
        </w:rPr>
        <w:t xml:space="preserve">. Signature framing: "technology should advance human values, not replace them"; "and" not "or".)</w:t>
      </w:r>
    </w:p>
    <w:p>
      <w:r>
        <w:pict>
          <v:rect style="width:0;height:1.5pt" o:hralign="center" o:hrstd="t" o:hr="t"/>
        </w:pict>
      </w:r>
    </w:p>
    <w:bookmarkEnd w:id="23"/>
    <w:bookmarkStart w:id="26" w:name="Xef4619670dbd7c307715348f331e82764f14bea"/>
    <w:p>
      <w:pPr>
        <w:pStyle w:val="Heading2"/>
      </w:pPr>
      <w:r>
        <w:t xml:space="preserve">Value —</w:t>
      </w:r>
      <w:r>
        <w:t xml:space="preserve"> </w:t>
      </w:r>
      <w:r>
        <w:rPr>
          <w:b/>
          <w:bCs/>
        </w:rPr>
        <w:t xml:space="preserve">Optimize (primary) · Reduce risk (secondary)</w:t>
      </w:r>
    </w:p>
    <w:p>
      <w:pPr>
        <w:pStyle w:val="Compact"/>
        <w:numPr>
          <w:ilvl w:val="0"/>
          <w:numId w:val="1001"/>
        </w:numPr>
      </w:pPr>
      <w:r>
        <w:t xml:space="preserve">Deepen learning, modernize pedagogy, and strengthen student support and career readiness across all majors (</w:t>
      </w:r>
      <w:hyperlink w:tgtFrame="_blank" r:id="rId21">
        <w:r>
          <w:rPr>
            <w:rStyle w:val="Hyperlink"/>
          </w:rPr>
          <w:t xml:space="preserve">press release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Improve staff productivity via assistant-level AI for drafting, analysis, and routine tasks (</w:t>
      </w:r>
      <w:hyperlink w:tgtFrame="_blank" r:id="rId24">
        <w:r>
          <w:rPr>
            <w:rStyle w:val="Hyperlink"/>
          </w:rPr>
          <w:t xml:space="preserve">AI Operational Guidelines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Protect academic integrity, privacy (FERPA/HIPAA), and institutional values through six "non-negotiable" ethics principles (</w:t>
      </w:r>
      <w:hyperlink w:tgtFrame="_blank" r:id="rId25">
        <w:r>
          <w:rPr>
            <w:rStyle w:val="Hyperlink"/>
          </w:rPr>
          <w:t xml:space="preserve">Ethics Statement</w:t>
        </w:r>
      </w:hyperlink>
      <w:r>
        <w:t xml:space="preserve">).</w:t>
      </w:r>
    </w:p>
    <w:bookmarkEnd w:id="26"/>
    <w:bookmarkStart w:id="29" w:name="X02f448db1bb132f2eed515cf12753d81265880e"/>
    <w:p>
      <w:pPr>
        <w:pStyle w:val="Heading2"/>
      </w:pPr>
      <w:r>
        <w:t xml:space="preserve">People &amp; Culture —</w:t>
      </w:r>
      <w:r>
        <w:t xml:space="preserve"> </w:t>
      </w:r>
      <w:r>
        <w:rPr>
          <w:b/>
          <w:bCs/>
        </w:rPr>
        <w:t xml:space="preserve">Empowerment (campus-wide) · Augmentation (staff/operations)</w:t>
      </w:r>
    </w:p>
    <w:p>
      <w:pPr>
        <w:pStyle w:val="Compact"/>
        <w:numPr>
          <w:ilvl w:val="0"/>
          <w:numId w:val="1002"/>
        </w:numPr>
      </w:pPr>
      <w:r>
        <w:t xml:space="preserve">AI Academy (fall 2026): 1-credit AI Literacy Bootcamp for all students, self-paced faculty modules, badges and micro-credentials (</w:t>
      </w:r>
      <w:hyperlink w:tgtFrame="_blank" r:id="rId21">
        <w:r>
          <w:rPr>
            <w:rStyle w:val="Hyperlink"/>
          </w:rPr>
          <w:t xml:space="preserve">press release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Tools + training + trust: AI Tools Portal, LinkedIn Learning/OpenAI Academy, faculty autonomy over course AI policy — including the right to say no (</w:t>
      </w:r>
      <w:hyperlink w:tgtFrame="_blank" r:id="rId27">
        <w:r>
          <w:rPr>
            <w:rStyle w:val="Hyperlink"/>
          </w:rPr>
          <w:t xml:space="preserve">resources hub</w:t>
        </w:r>
      </w:hyperlink>
      <w:r>
        <w:t xml:space="preserve">;</w:t>
      </w:r>
      <w:r>
        <w:t xml:space="preserve"> </w:t>
      </w:r>
      <w:hyperlink w:tgtFrame="_blank" r:id="rId28">
        <w:r>
          <w:rPr>
            <w:rStyle w:val="Hyperlink"/>
          </w:rPr>
          <w:t xml:space="preserve">teaching guidelines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staff, AI is an assistant: "final decisions by employees, not AI" (</w:t>
      </w:r>
      <w:hyperlink w:tgtFrame="_blank" r:id="rId24">
        <w:r>
          <w:rPr>
            <w:rStyle w:val="Hyperlink"/>
          </w:rPr>
          <w:t xml:space="preserve">Operational Guidelines</w:t>
        </w:r>
      </w:hyperlink>
      <w:r>
        <w:t xml:space="preserve">).</w:t>
      </w:r>
    </w:p>
    <w:bookmarkEnd w:id="29"/>
    <w:bookmarkStart w:id="31" w:name="X12f1cb8229527d10b5ba774e3fbcae2b6c56973"/>
    <w:p>
      <w:pPr>
        <w:pStyle w:val="Heading2"/>
      </w:pPr>
      <w:r>
        <w:t xml:space="preserve">Engineering —</w:t>
      </w:r>
      <w:r>
        <w:t xml:space="preserve"> </w:t>
      </w:r>
      <w:r>
        <w:rPr>
          <w:b/>
          <w:bCs/>
        </w:rPr>
        <w:t xml:space="preserve">Buy-preferred · Skills posture not publicly articulated (invest in universal literacy; leave model engineering to vendors/IBM)</w:t>
      </w:r>
    </w:p>
    <w:p>
      <w:pPr>
        <w:pStyle w:val="Compact"/>
        <w:numPr>
          <w:ilvl w:val="0"/>
          <w:numId w:val="1003"/>
        </w:numPr>
      </w:pPr>
      <w:r>
        <w:t xml:space="preserve">Off-the-shelf tools (ChatGPT, Copilot, DALL-E) governed by a formal vendor pipeline: IT supportability, cybersecurity/HECVAT 4.0, legal review (</w:t>
      </w:r>
      <w:hyperlink w:tgtFrame="_blank" r:id="rId24">
        <w:r>
          <w:rPr>
            <w:rStyle w:val="Hyperlink"/>
          </w:rPr>
          <w:t xml:space="preserve">Operational Guidelines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Student-level model building flows through the 30+ year</w:t>
      </w:r>
      <w:r>
        <w:t xml:space="preserve"> </w:t>
      </w:r>
      <w:hyperlink w:tgtFrame="_blank" r:id="rId30">
        <w:r>
          <w:rPr>
            <w:rStyle w:val="Hyperlink"/>
          </w:rPr>
          <w:t xml:space="preserve">Marist/IBM Joint Study</w:t>
        </w:r>
      </w:hyperlink>
      <w:r>
        <w:t xml:space="preserve"> </w:t>
      </w:r>
      <w:r>
        <w:t xml:space="preserve">labs rather than an institutional engineering team.</w:t>
      </w:r>
    </w:p>
    <w:bookmarkEnd w:id="31"/>
    <w:bookmarkStart w:id="33" w:name="X942647c36bf22ed3ef157d0000a9e08431715c0"/>
    <w:p>
      <w:pPr>
        <w:pStyle w:val="Heading2"/>
      </w:pPr>
      <w:r>
        <w:t xml:space="preserve">Governance —</w:t>
      </w:r>
      <w:r>
        <w:t xml:space="preserve"> </w:t>
      </w:r>
      <w:r>
        <w:rPr>
          <w:b/>
          <w:bCs/>
        </w:rPr>
        <w:t xml:space="preserve">Edge Ownership (with a risk-averse central gate for new tools)</w:t>
      </w:r>
    </w:p>
    <w:p>
      <w:pPr>
        <w:pStyle w:val="Compact"/>
        <w:numPr>
          <w:ilvl w:val="0"/>
          <w:numId w:val="1004"/>
        </w:numPr>
      </w:pPr>
      <w:r>
        <w:t xml:space="preserve">Committee "operates through coordination and empowerment rather than centralized control" (</w:t>
      </w:r>
      <w:hyperlink w:tgtFrame="_blank" r:id="rId32">
        <w:r>
          <w:rPr>
            <w:rStyle w:val="Hyperlink"/>
          </w:rPr>
          <w:t xml:space="preserve">Steering Committee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Faculty choose course AI policy from three sanctioned postures; department leaders own operational use cases, tool inventories, and staff training (</w:t>
      </w:r>
      <w:hyperlink w:tgtFrame="_blank" r:id="rId28">
        <w:r>
          <w:rPr>
            <w:rStyle w:val="Hyperlink"/>
          </w:rPr>
          <w:t xml:space="preserve">teaching guidelines</w:t>
        </w:r>
      </w:hyperlink>
      <w:r>
        <w:t xml:space="preserve">;</w:t>
      </w:r>
      <w:r>
        <w:t xml:space="preserve"> </w:t>
      </w:r>
      <w:hyperlink w:tgtFrame="_blank" r:id="rId24">
        <w:r>
          <w:rPr>
            <w:rStyle w:val="Hyperlink"/>
          </w:rPr>
          <w:t xml:space="preserve">Operational Guidelines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All new AI tools pass central IT/cybersecurity/legal review; rights-sensitive uses (assessment, admissions) need special approval (</w:t>
      </w:r>
      <w:hyperlink w:tgtFrame="_blank" r:id="rId24">
        <w:r>
          <w:rPr>
            <w:rStyle w:val="Hyperlink"/>
          </w:rPr>
          <w:t xml:space="preserve">Operational Guidelines</w:t>
        </w:r>
      </w:hyperlink>
      <w:r>
        <w:t xml:space="preserve">).</w:t>
      </w:r>
    </w:p>
    <w:bookmarkEnd w:id="33"/>
    <w:bookmarkStart w:id="34" w:name="X07af5b1a143b472919f3aef12b45f4756ddceb2"/>
    <w:p>
      <w:pPr>
        <w:pStyle w:val="Heading2"/>
      </w:pPr>
      <w:r>
        <w:t xml:space="preserve">Organization —</w:t>
      </w:r>
      <w:r>
        <w:t xml:space="preserve"> </w:t>
      </w:r>
      <w:r>
        <w:rPr>
          <w:b/>
          <w:bCs/>
        </w:rPr>
        <w:t xml:space="preserve">Deeply Structured (council-led), scaled to a teaching institution — no COE/platform team</w:t>
      </w:r>
    </w:p>
    <w:p>
      <w:pPr>
        <w:pStyle w:val="Compact"/>
        <w:numPr>
          <w:ilvl w:val="0"/>
          <w:numId w:val="1005"/>
        </w:numPr>
      </w:pPr>
      <w:r>
        <w:t xml:space="preserve">Presidentially chartered Marist+AI Steering Committee (Provost, CIO, deans, faculty, students) + Academic and Operations working groups spanning every division (</w:t>
      </w:r>
      <w:hyperlink w:tgtFrame="_blank" r:id="rId32">
        <w:r>
          <w:rPr>
            <w:rStyle w:val="Hyperlink"/>
          </w:rPr>
          <w:t xml:space="preserve">Steering Committee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First dedicated delivery role: Director of the AI Academy (Dr. Carolyn Matheus) (</w:t>
      </w:r>
      <w:hyperlink w:tgtFrame="_blank" r:id="rId21">
        <w:r>
          <w:rPr>
            <w:rStyle w:val="Hyperlink"/>
          </w:rPr>
          <w:t xml:space="preserve">press release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Annual review cycle of the three-year vision (</w:t>
      </w:r>
      <w:hyperlink w:tgtFrame="_blank" r:id="rId22">
        <w:r>
          <w:rPr>
            <w:rStyle w:val="Hyperlink"/>
          </w:rPr>
          <w:t xml:space="preserve">strategy page</w:t>
        </w:r>
      </w:hyperlink>
      <w:r>
        <w:t xml:space="preserve">).</w:t>
      </w:r>
    </w:p>
    <w:bookmarkEnd w:id="34"/>
    <w:bookmarkStart w:id="35" w:name="Xacd851446c90b272ce20b315c767efb6b0c2997"/>
    <w:p>
      <w:pPr>
        <w:pStyle w:val="Heading2"/>
      </w:pPr>
      <w:r>
        <w:t xml:space="preserve">Data —</w:t>
      </w:r>
      <w:r>
        <w:t xml:space="preserve"> </w:t>
      </w:r>
      <w:r>
        <w:rPr>
          <w:b/>
          <w:bCs/>
        </w:rPr>
        <w:t xml:space="preserve">Ad Hoc (public models + security/policy layer)</w:t>
      </w:r>
    </w:p>
    <w:p>
      <w:pPr>
        <w:pStyle w:val="Compact"/>
        <w:numPr>
          <w:ilvl w:val="0"/>
          <w:numId w:val="1006"/>
        </w:numPr>
      </w:pPr>
      <w:r>
        <w:t xml:space="preserve">No sensitive/PII data in AI tools without approval; confidential categories specially handled; data stewards consulted (</w:t>
      </w:r>
      <w:hyperlink w:tgtFrame="_blank" r:id="rId24">
        <w:r>
          <w:rPr>
            <w:rStyle w:val="Hyperlink"/>
          </w:rPr>
          <w:t xml:space="preserve">Operational Guidelines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Community steered to vendor/public models rather than in-house AI infrastructure; no public custom-model or AI data-platform strategy (</w:t>
      </w:r>
      <w:hyperlink w:tgtFrame="_blank" r:id="rId27">
        <w:r>
          <w:rPr>
            <w:rStyle w:val="Hyperlink"/>
          </w:rPr>
          <w:t xml:space="preserve">resources hub</w:t>
        </w:r>
      </w:hyperlink>
      <w:r>
        <w:t xml:space="preserve">;</w:t>
      </w:r>
      <w:r>
        <w:t xml:space="preserve"> </w:t>
      </w:r>
      <w:hyperlink w:tgtFrame="_blank" r:id="rId20">
        <w:r>
          <w:rPr>
            <w:rStyle w:val="Hyperlink"/>
          </w:rPr>
          <w:t xml:space="preserve">in-depth analysis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Evidence-driven caveats: Value-as-revenue, engineering skills posture, budget/staffing, and adoption metrics are not publicly articulated; classifications above reflect Marist's published record as of 2026-07-24. See</w:t>
      </w:r>
      <w:r>
        <w:rPr>
          <w:i/>
          <w:iCs/>
        </w:rPr>
        <w:t xml:space="preserve"> </w:t>
      </w:r>
      <w:hyperlink w:tgtFrame="_blank" r:id="rId20">
        <w:r>
          <w:rPr>
            <w:rStyle w:val="Hyperlink"/>
            <w:i/>
            <w:iCs/>
          </w:rPr>
          <w:t xml:space="preserve">In-Depth Report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gaps and unknowns.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https://tarleton.sharepoint.com/sites/StrategicInsights_njpwtl/Shared%20Documents/University%20AI%20Audit/SCHOOL%20RESEARCH%20FOR%20PAC/SCHOOLS/marist-university/sources/marist-ai-strategy-press-release-2026.docx?web=1" TargetMode="External"/><Relationship Id="rId34" Type="http://schemas.openxmlformats.org/officeDocument/2006/relationships/customXml" Target="../customXml/item2.xml"/><Relationship Id="rId7" Type="http://schemas.openxmlformats.org/officeDocument/2006/relationships/footnotes" Target="footnotes.xml"/><Relationship Id="rId25" Type="http://schemas.openxmlformats.org/officeDocument/2006/relationships/hyperlink" Target="https://tarleton.sharepoint.com/sites/StrategicInsights_njpwtl/Shared%20Documents/University%20AI%20Audit/SCHOOL%20RESEARCH%20FOR%20PAC/SCHOOLS/marist-university/sources/marist-ai-ethics-statement-feb2026.docx?web=1" TargetMode="External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20" Type="http://schemas.openxmlformats.org/officeDocument/2006/relationships/hyperlink" Target="https://tarleton.sharepoint.com/sites/StrategicInsights_njpwtl/Shared%20Documents/University%20AI%20Audit/SCHOOL%20RESEARCH%20FOR%20PAC/SCHOOLS/marist-university/in-depth-report.docx?web=1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hyperlink" Target="https://tarleton.sharepoint.com/sites/StrategicInsights_njpwtl/Shared%20Documents/University%20AI%20Audit/SCHOOL%20RESEARCH%20FOR%20PAC/SCHOOLS/marist-university/sources/ai-steering-committee.docx?web=1" TargetMode="External"/><Relationship Id="rId24" Type="http://schemas.openxmlformats.org/officeDocument/2006/relationships/hyperlink" Target="https://tarleton.sharepoint.com/sites/StrategicInsights_njpwtl/Shared%20Documents/University%20AI%20Audit/SCHOOL%20RESEARCH%20FOR%20PAC/SCHOOLS/marist-university/sources/marist-ai-operations-guidelines.docx?web=1" TargetMode="Externa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marist-university/sources/guidelines-for-ai-in-teaching-and-learning.docx?web=1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tarleton.sharepoint.com/sites/StrategicInsights_njpwtl/Shared%20Documents/University%20AI%20Audit/SCHOOL%20RESEARCH%20FOR%20PAC/SCHOOLS/marist-university/sources/ai-strategy-resources.docx?web=1" TargetMode="External"/><Relationship Id="rId22" Type="http://schemas.openxmlformats.org/officeDocument/2006/relationships/hyperlink" Target="https://tarleton.sharepoint.com/sites/StrategicInsights_njpwtl/Shared%20Documents/University%20AI%20Audit/SCHOOL%20RESEARCH%20FOR%20PAC/SCHOOLS/marist-university/sources/marist-ai-strategy-page.docx?web=1" TargetMode="External"/><Relationship Id="rId30" Type="http://schemas.openxmlformats.org/officeDocument/2006/relationships/hyperlink" Target="https://tarleton.sharepoint.com/sites/StrategicInsights_njpwtl/Shared%20Documents/University%20AI%20Audit/SCHOOL%20RESEARCH%20FOR%20PAC/SCHOOLS/marist-university/sources/marist-ibm-joint-study.docx?web=1" TargetMode="External"/><Relationship Id="rId35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arleton.sharepoint.com/sites/StrategicInsights_njpwtl/Shared%20Documents/University%20AI%20Audit/SCHOOL%20RESEARCH%20FOR%20PAC/SCHOOLS/marist-university/in-depth-report.docx?web=1" TargetMode="External" /><Relationship Type="http://schemas.openxmlformats.org/officeDocument/2006/relationships/hyperlink" Id="rId32" Target="https://tarleton.sharepoint.com/sites/StrategicInsights_njpwtl/Shared%20Documents/University%20AI%20Audit/SCHOOL%20RESEARCH%20FOR%20PAC/SCHOOLS/marist-university/sources/ai-steering-committee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marist-university/sources/ai-strategy-resources.docx?web=1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marist-university/sources/guidelines-for-ai-in-teaching-and-learning.docx?web=1" TargetMode="External" /><Relationship Type="http://schemas.openxmlformats.org/officeDocument/2006/relationships/hyperlink" Id="rId25" Target="https://tarleton.sharepoint.com/sites/StrategicInsights_njpwtl/Shared%20Documents/University%20AI%20Audit/SCHOOL%20RESEARCH%20FOR%20PAC/SCHOOLS/marist-university/sources/marist-ai-ethics-statement-feb2026.docx?web=1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marist-university/sources/marist-ai-operations-guidelines.docx?web=1" TargetMode="External" /><Relationship Type="http://schemas.openxmlformats.org/officeDocument/2006/relationships/hyperlink" Id="rId22" Target="https://tarleton.sharepoint.com/sites/StrategicInsights_njpwtl/Shared%20Documents/University%20AI%20Audit/SCHOOL%20RESEARCH%20FOR%20PAC/SCHOOLS/marist-university/sources/marist-ai-strategy-page.docx?web=1" TargetMode="External" /><Relationship Type="http://schemas.openxmlformats.org/officeDocument/2006/relationships/hyperlink" Id="rId21" Target="https://tarleton.sharepoint.com/sites/StrategicInsights_njpwtl/Shared%20Documents/University%20AI%20Audit/SCHOOL%20RESEARCH%20FOR%20PAC/SCHOOLS/marist-university/sources/marist-ai-strategy-press-release-2026.docx?web=1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marist-university/sources/marist-ibm-joint-study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BC77C3-BAE7-4C39-A931-54971DFCD4F8}"/>
</file>

<file path=customXml/itemProps2.xml><?xml version="1.0" encoding="utf-8"?>
<ds:datastoreItem xmlns:ds="http://schemas.openxmlformats.org/officeDocument/2006/customXml" ds:itemID="{6B698AFC-1C81-471F-9C1F-851323E11169}"/>
</file>

<file path=customXml/itemProps3.xml><?xml version="1.0" encoding="utf-8"?>
<ds:datastoreItem xmlns:ds="http://schemas.openxmlformats.org/officeDocument/2006/customXml" ds:itemID="{0FD0FE9F-BB66-4976-95D4-9F16F8DE0F1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