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20590765d7ddf398caa92d5538f7cc1137fc85"/>
    <w:p>
      <w:pPr>
        <w:pStyle w:val="Heading1"/>
      </w:pPr>
      <w:r>
        <w:t xml:space="preserve">AI Across the Curriculum | University of Florida</w:t>
      </w:r>
    </w:p>
    <w:p>
      <w:pPr>
        <w:pStyle w:val="BlockText"/>
      </w:pPr>
      <w:r>
        <w:rPr>
          <w:b/>
          <w:bCs/>
        </w:rPr>
        <w:t xml:space="preserve">Original URL:</w:t>
      </w:r>
      <w:r>
        <w:t xml:space="preserve"> </w:t>
      </w:r>
      <w:hyperlink w:tgtFrame="_blank" r:id="rId20">
        <w:r>
          <w:rPr>
            <w:rStyle w:val="Hyperlink"/>
          </w:rPr>
          <w:t xml:space="preserve">https://ai.ufl.edu/teaching-with-ai/ai-across-the-curriculum/</w:t>
        </w:r>
      </w:hyperlink>
      <w:r>
        <w:t xml:space="preserve"> </w:t>
      </w:r>
      <w:r>
        <w:rPr>
          <w:b/>
          <w:bCs/>
        </w:rPr>
        <w:t xml:space="preserve">Publisher:</w:t>
      </w:r>
      <w:r>
        <w:t xml:space="preserve"> </w:t>
      </w:r>
      <w:r>
        <w:t xml:space="preserve">University of Florida —</w:t>
      </w:r>
      <w:r>
        <w:t xml:space="preserve"> </w:t>
      </w:r>
      <w:r>
        <w:rPr>
          <w:b/>
          <w:bCs/>
        </w:rPr>
        <w:t xml:space="preserve">Published:</w:t>
      </w:r>
      <w:r>
        <w:t xml:space="preserve"> </w:t>
      </w:r>
      <w:r>
        <w:t xml:space="preserve">unknown (initiative launched 2022; page current as of 2026)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p>
      <w:pPr>
        <w:pStyle w:val="FirstParagraph"/>
      </w:pPr>
      <w:r>
        <w:t xml:space="preserve">Artificial intelligence has transformed multiple sectors including business, urban planning, agriculture, healthcare, writing, learning, and teaching. The University of Florida advocates that every profession uses AI and that all academic programs should incorporate it into their curricula.</w:t>
      </w:r>
    </w:p>
    <w:bookmarkStart w:id="23" w:name="an-ethos-and-a-strategy"/>
    <w:p>
      <w:pPr>
        <w:pStyle w:val="Heading2"/>
      </w:pPr>
      <w:r>
        <w:t xml:space="preserve">An Ethos and a Strategy</w:t>
      </w:r>
    </w:p>
    <w:p>
      <w:pPr>
        <w:pStyle w:val="FirstParagraph"/>
      </w:pPr>
      <w:r>
        <w:t xml:space="preserve">The university recognizes that AI usage is already widespread, often without explicit awareness. With thousands of emerging positions requiring AI expertise, UF promotes AI literacy for all college graduates regardless of their major. For motivated students, the institution encourages advancement to AI competency or expert-level proficiency.</w:t>
      </w:r>
    </w:p>
    <w:bookmarkStart w:id="21" w:name="four-core-areas-of-ai-literacy"/>
    <w:p>
      <w:pPr>
        <w:pStyle w:val="Heading3"/>
      </w:pPr>
      <w:r>
        <w:t xml:space="preserve">Four Core Areas of AI Literacy</w:t>
      </w:r>
    </w:p>
    <w:p>
      <w:pPr>
        <w:pStyle w:val="FirstParagraph"/>
      </w:pPr>
      <w:r>
        <w:t xml:space="preserve">The university's model emphasizes:</w:t>
      </w:r>
    </w:p>
    <w:p>
      <w:pPr>
        <w:pStyle w:val="Compact"/>
        <w:numPr>
          <w:ilvl w:val="0"/>
          <w:numId w:val="1001"/>
        </w:numPr>
      </w:pPr>
      <w:r>
        <w:t xml:space="preserve">Knowing and understanding AI</w:t>
      </w:r>
    </w:p>
    <w:p>
      <w:pPr>
        <w:pStyle w:val="Compact"/>
        <w:numPr>
          <w:ilvl w:val="0"/>
          <w:numId w:val="1001"/>
        </w:numPr>
      </w:pPr>
      <w:r>
        <w:t xml:space="preserve">Using and applying AI</w:t>
      </w:r>
    </w:p>
    <w:p>
      <w:pPr>
        <w:pStyle w:val="Compact"/>
        <w:numPr>
          <w:ilvl w:val="0"/>
          <w:numId w:val="1001"/>
        </w:numPr>
      </w:pPr>
      <w:r>
        <w:t xml:space="preserve">Evaluating and creating AI</w:t>
      </w:r>
    </w:p>
    <w:p>
      <w:pPr>
        <w:pStyle w:val="Compact"/>
        <w:numPr>
          <w:ilvl w:val="0"/>
          <w:numId w:val="1001"/>
        </w:numPr>
      </w:pPr>
      <w:r>
        <w:t xml:space="preserve">AI ethics</w:t>
      </w:r>
    </w:p>
    <w:p>
      <w:pPr>
        <w:pStyle w:val="FirstParagraph"/>
      </w:pPr>
      <w:r>
        <w:t xml:space="preserve">Beyond broad integration across majors, UF created a university-wide certificate in AI Fundamentals and applications, plus discipline-specific AI certificates.</w:t>
      </w:r>
    </w:p>
    <w:bookmarkEnd w:id="21"/>
    <w:bookmarkStart w:id="22" w:name="strategic-implementation"/>
    <w:p>
      <w:pPr>
        <w:pStyle w:val="Heading3"/>
      </w:pPr>
      <w:r>
        <w:t xml:space="preserve">Strategic Implementation</w:t>
      </w:r>
    </w:p>
    <w:p>
      <w:pPr>
        <w:pStyle w:val="FirstParagraph"/>
      </w:pPr>
      <w:r>
        <w:t xml:space="preserve">The university conducted comprehensive literature reviews of expert recommendations and surveyed faculty already teaching AI. UF then hired 100 strategic faculty across its 16 colleges to ensure each college has AI-trained faculty ready to teach within their disciplines.</w:t>
      </w:r>
    </w:p>
    <w:bookmarkEnd w:id="22"/>
    <w:bookmarkEnd w:id="23"/>
    <w:bookmarkStart w:id="24" w:name="making-ai-a-core-literacy"/>
    <w:p>
      <w:pPr>
        <w:pStyle w:val="Heading2"/>
      </w:pPr>
      <w:r>
        <w:t xml:space="preserve">Making AI a Core Literacy</w:t>
      </w:r>
    </w:p>
    <w:p>
      <w:pPr>
        <w:pStyle w:val="FirstParagraph"/>
      </w:pPr>
      <w:r>
        <w:t xml:space="preserve">According to the Interim Provost: "I believe that every student should have the opportunity to learn AI for their future benefit, and that it's actually best done in the context of their chosen major."</w:t>
      </w:r>
    </w:p>
    <w:p>
      <w:pPr>
        <w:pStyle w:val="BodyText"/>
      </w:pPr>
      <w:r>
        <w:t xml:space="preserve">AI extends across all academic fields — from astronomy to anthropology, engineering to English, and mathematics to philosophy. The Provost's Office serves as the coordinating point for this university-wide initiative.</w:t>
      </w:r>
    </w:p>
    <w:bookmarkEnd w:id="24"/>
    <w:bookmarkStart w:id="29" w:name="Xe03ee1d0db55ccf63c616a908b6ba9b2512f6da"/>
    <w:p>
      <w:pPr>
        <w:pStyle w:val="Heading2"/>
      </w:pPr>
      <w:r>
        <w:t xml:space="preserve">How to Adopt AI Across the Curriculum (UF's advice to other institutions)</w:t>
      </w:r>
    </w:p>
    <w:bookmarkStart w:id="25" w:name="get-going"/>
    <w:p>
      <w:pPr>
        <w:pStyle w:val="Heading3"/>
      </w:pPr>
      <w:r>
        <w:t xml:space="preserve">Get Going</w:t>
      </w:r>
    </w:p>
    <w:p>
      <w:pPr>
        <w:pStyle w:val="FirstParagraph"/>
      </w:pPr>
      <w:r>
        <w:t xml:space="preserve">Departments beginning this journey should identify faculty already knowledgeable about AI and those willing to learn. Building a community through informal discussion and resource sharing creates natural leadership.</w:t>
      </w:r>
    </w:p>
    <w:bookmarkEnd w:id="25"/>
    <w:bookmarkStart w:id="26" w:name="find-tech-as-needed"/>
    <w:p>
      <w:pPr>
        <w:pStyle w:val="Heading3"/>
      </w:pPr>
      <w:r>
        <w:t xml:space="preserve">Find Tech as Needed</w:t>
      </w:r>
    </w:p>
    <w:p>
      <w:pPr>
        <w:pStyle w:val="FirstParagraph"/>
      </w:pPr>
      <w:r>
        <w:t xml:space="preserve">While AI can be data-intensive, teaching AI does not require a supercomputer. Cloud-based services or university partnerships provide alternatives. UF benefits from an NVIDIA cofounder alumnus who provided the HiPerGator supercomputer as part of a partnership.</w:t>
      </w:r>
    </w:p>
    <w:bookmarkEnd w:id="26"/>
    <w:bookmarkStart w:id="27" w:name="lead-and-learn"/>
    <w:p>
      <w:pPr>
        <w:pStyle w:val="Heading3"/>
      </w:pPr>
      <w:r>
        <w:t xml:space="preserve">Lead and Learn</w:t>
      </w:r>
    </w:p>
    <w:p>
      <w:pPr>
        <w:pStyle w:val="FirstParagraph"/>
      </w:pPr>
      <w:r>
        <w:t xml:space="preserve">Maintaining ongoing dialogue about successes and failures builds institutional knowledge. UF faculty at Southeastern Conference schools can access HiPerGator for teaching at no cost and for research at UF faculty rates through a memorandum of understanding.</w:t>
      </w:r>
    </w:p>
    <w:bookmarkEnd w:id="27"/>
    <w:bookmarkStart w:id="28" w:name="connect-with-others"/>
    <w:p>
      <w:pPr>
        <w:pStyle w:val="Heading3"/>
      </w:pPr>
      <w:r>
        <w:t xml:space="preserve">Connect With Others</w:t>
      </w:r>
    </w:p>
    <w:p>
      <w:pPr>
        <w:pStyle w:val="FirstParagraph"/>
      </w:pPr>
      <w:r>
        <w:t xml:space="preserve">Educators can affiliate with the AI² Center, attend AI Days events, or enroll in the AI Learning Academy for professional development training on implementing AI in teaching.</w:t>
      </w:r>
    </w:p>
    <w:bookmarkEnd w:id="28"/>
    <w:bookmarkEnd w:id="29"/>
    <w:bookmarkStart w:id="30" w:name="from-the-classroom"/>
    <w:p>
      <w:pPr>
        <w:pStyle w:val="Heading2"/>
      </w:pPr>
      <w:r>
        <w:t xml:space="preserve">From the Classroom</w:t>
      </w:r>
    </w:p>
    <w:p>
      <w:pPr>
        <w:pStyle w:val="FirstParagraph"/>
      </w:pPr>
      <w:r>
        <w:t xml:space="preserve">Faculty perspectives on teaching AI across disciplines are documented through audio and video resources featuring:</w:t>
      </w:r>
    </w:p>
    <w:p>
      <w:pPr>
        <w:pStyle w:val="Compact"/>
        <w:numPr>
          <w:ilvl w:val="0"/>
          <w:numId w:val="1002"/>
        </w:numPr>
      </w:pPr>
      <w:r>
        <w:t xml:space="preserve">Interim Provost Joe Glover on starting AI Across the Curriculum</w:t>
      </w:r>
    </w:p>
    <w:p>
      <w:pPr>
        <w:pStyle w:val="Compact"/>
        <w:numPr>
          <w:ilvl w:val="0"/>
          <w:numId w:val="1002"/>
        </w:numPr>
      </w:pPr>
      <w:r>
        <w:t xml:space="preserve">Sanethia Thomas on interdisciplinary student hackathons</w:t>
      </w:r>
    </w:p>
    <w:p>
      <w:pPr>
        <w:pStyle w:val="Compact"/>
        <w:numPr>
          <w:ilvl w:val="0"/>
          <w:numId w:val="1002"/>
        </w:numPr>
      </w:pPr>
      <w:r>
        <w:t xml:space="preserve">Mickey MacKie on AI applications in geology</w:t>
      </w:r>
    </w:p>
    <w:p>
      <w:pPr>
        <w:pStyle w:val="Compact"/>
        <w:numPr>
          <w:ilvl w:val="0"/>
          <w:numId w:val="1002"/>
        </w:numPr>
      </w:pPr>
      <w:r>
        <w:t xml:space="preserve">Walt Balser on AI and educational leadership</w:t>
      </w:r>
    </w:p>
    <w:bookmarkEnd w:id="30"/>
    <w:bookmarkStart w:id="32" w:name="contact-information"/>
    <w:p>
      <w:pPr>
        <w:pStyle w:val="Heading2"/>
      </w:pPr>
      <w:r>
        <w:t xml:space="preserve">Contact Information</w:t>
      </w:r>
    </w:p>
    <w:p>
      <w:pPr>
        <w:pStyle w:val="FirstParagraph"/>
      </w:pPr>
      <w:r>
        <w:t xml:space="preserve">AI at UF — Ayers Building at Innovation Square, 720 SW Second Ave. Suite 105, Gainesville, FL 32601 —</w:t>
      </w:r>
      <w:r>
        <w:t xml:space="preserve"> </w:t>
      </w:r>
      <w:hyperlink w:tgtFrame="_blank" r:id="rId31">
        <w:r>
          <w:rPr>
            <w:rStyle w:val="Hyperlink"/>
          </w:rPr>
          <w:t xml:space="preserve">ai@ufl.edu</w:t>
        </w:r>
      </w:hyperlink>
      <w:r>
        <w:t xml:space="preserve"> </w:t>
      </w:r>
      <w:r>
        <w:t xml:space="preserve">— (352) 294-1895</w:t>
      </w:r>
    </w:p>
    <w:bookmarkEnd w:id="32"/>
    <w:bookmarkStart w:id="35" w:name="referenced-by"/>
    <w:p>
      <w:pPr>
        <w:pStyle w:val="Heading2"/>
      </w:pPr>
      <w:r>
        <w:t xml:space="preserve">Referenced by</w:t>
      </w:r>
    </w:p>
    <w:p>
      <w:pPr>
        <w:pStyle w:val="Compact"/>
        <w:numPr>
          <w:ilvl w:val="0"/>
          <w:numId w:val="1003"/>
        </w:numPr>
      </w:pPr>
      <w:hyperlink w:tgtFrame="_blank" r:id="rId33">
        <w:r>
          <w:rPr>
            <w:rStyle w:val="Hyperlink"/>
          </w:rPr>
          <w:t xml:space="preserve">In-Depth Report</w:t>
        </w:r>
      </w:hyperlink>
    </w:p>
    <w:p>
      <w:pPr>
        <w:pStyle w:val="Compact"/>
        <w:numPr>
          <w:ilvl w:val="0"/>
          <w:numId w:val="1003"/>
        </w:numPr>
      </w:pPr>
      <w:hyperlink w:tgtFrame="_blank" r:id="rId34">
        <w:r>
          <w:rPr>
            <w:rStyle w:val="Hyperlink"/>
          </w:rPr>
          <w:t xml:space="preserve">Summary Report</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7" Type="http://schemas.openxmlformats.org/officeDocument/2006/relationships/footnotes" Target="footnotes.xml"/><Relationship Id="rId33"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2" Type="http://schemas.openxmlformats.org/officeDocument/2006/relationships/styles" Target="styles.xml"/><Relationship Id="rId20" Type="http://schemas.openxmlformats.org/officeDocument/2006/relationships/hyperlink" Target="https://ai.ufl.edu/teaching-with-ai/ai-across-the-curriculum/"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36" Type="http://schemas.openxmlformats.org/officeDocument/2006/relationships/customXml" Target="../customXml/item2.xml"/><Relationship Id="rId31" Type="http://schemas.openxmlformats.org/officeDocument/2006/relationships/hyperlink" Target="mailto:ai@ufl.edu" TargetMode="External"/><Relationship Id="rId4" Type="http://schemas.openxmlformats.org/officeDocument/2006/relationships/webSettings" Target="webSettings.xm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https://ai.ufl.edu/teaching-with-ai/ai-across-the-curriculum/" TargetMode="External" /><Relationship Type="http://schemas.openxmlformats.org/officeDocument/2006/relationships/hyperlink" Id="rId33"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34" Target="https://tarleton.sharepoint.com/sites/StrategicInsights_njpwtl/Shared%20Documents/University%20AI%20Audit/SCHOOL%20RESEARCH%20FOR%20PAC/SCHOOLS/university-of-florida/summary-report.docx?web=1" TargetMode="External" /><Relationship Type="http://schemas.openxmlformats.org/officeDocument/2006/relationships/hyperlink" Id="rId31" Target="mailto:ai@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5BECF7-10A1-46CB-B9A9-B6F2ECACE3F4}"/>
</file>

<file path=customXml/itemProps2.xml><?xml version="1.0" encoding="utf-8"?>
<ds:datastoreItem xmlns:ds="http://schemas.openxmlformats.org/officeDocument/2006/customXml" ds:itemID="{55490450-E8EE-4827-8CE5-7363A29431D7}"/>
</file>

<file path=customXml/itemProps3.xml><?xml version="1.0" encoding="utf-8"?>
<ds:datastoreItem xmlns:ds="http://schemas.openxmlformats.org/officeDocument/2006/customXml" ds:itemID="{35CC369B-8C68-4970-9FFC-FEB2F67BFFB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