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3fccf2461040201fc050ace8f14dd85f805ebe"/>
    <w:p>
      <w:pPr>
        <w:pStyle w:val="Heading1"/>
      </w:pPr>
      <w:r>
        <w:t xml:space="preserve">AI Course Designations at the University of Florida</w:t>
      </w:r>
    </w:p>
    <w:p>
      <w:pPr>
        <w:pStyle w:val="BlockText"/>
      </w:pPr>
      <w:r>
        <w:rPr>
          <w:b/>
          <w:bCs/>
        </w:rPr>
        <w:t xml:space="preserve">Original URL:</w:t>
      </w:r>
      <w:r>
        <w:t xml:space="preserve"> </w:t>
      </w:r>
      <w:hyperlink w:tgtFrame="_blank" r:id="rId20">
        <w:r>
          <w:rPr>
            <w:rStyle w:val="Hyperlink"/>
          </w:rPr>
          <w:t xml:space="preserve">https://ai.ufl.edu/teaching-with-ai/for-uf-faculty/ai-course-designations/</w:t>
        </w:r>
      </w:hyperlink>
      <w:r>
        <w:t xml:space="preserve"> </w:t>
      </w:r>
      <w:r>
        <w:rPr>
          <w:b/>
          <w:bCs/>
        </w:rPr>
        <w:t xml:space="preserve">Publisher:</w:t>
      </w:r>
      <w:r>
        <w:t xml:space="preserve"> </w:t>
      </w:r>
      <w:r>
        <w:t xml:space="preserve">University of Florida —</w:t>
      </w:r>
      <w:r>
        <w:t xml:space="preserve"> </w:t>
      </w:r>
      <w:r>
        <w:rPr>
          <w:b/>
          <w:bCs/>
        </w:rPr>
        <w:t xml:space="preserve">Published:</w:t>
      </w:r>
      <w:r>
        <w:t xml:space="preserve"> </w:t>
      </w:r>
      <w:r>
        <w:t xml:space="preserve">unknown (designation system in use since ~2022; page current as of 2026)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bookmarkStart w:id="21" w:name="overview"/>
    <w:p>
      <w:pPr>
        <w:pStyle w:val="Heading2"/>
      </w:pPr>
      <w:r>
        <w:t xml:space="preserve">Overview</w:t>
      </w:r>
    </w:p>
    <w:p>
      <w:pPr>
        <w:pStyle w:val="FirstParagraph"/>
      </w:pPr>
      <w:r>
        <w:t xml:space="preserve">Faculty can obtain an AI Course Designation to increase visibility of undergraduate and graduate courses focused on artificial intelligence content. The designations help students identify the level of AI expected in a course, and align with UF's AI literacy skills framework.</w:t>
      </w:r>
    </w:p>
    <w:bookmarkEnd w:id="21"/>
    <w:bookmarkStart w:id="27" w:name="five-ai-course-categories"/>
    <w:p>
      <w:pPr>
        <w:pStyle w:val="Heading2"/>
      </w:pPr>
      <w:r>
        <w:t xml:space="preserve">Five AI Course Categories</w:t>
      </w:r>
    </w:p>
    <w:bookmarkStart w:id="22" w:name="X81d60a7eeb43b67eccb3b400ff5632ec3bd2812"/>
    <w:p>
      <w:pPr>
        <w:pStyle w:val="Heading3"/>
      </w:pPr>
      <w:r>
        <w:t xml:space="preserve">1. Use-AI (Use and Apply AI)</w:t>
      </w:r>
    </w:p>
    <w:p>
      <w:pPr>
        <w:pStyle w:val="FirstParagraph"/>
      </w:pPr>
      <w:r>
        <w:t xml:space="preserve">"Apply AI knowledge, concepts, and applications in different scenarios. AI course content is over 50%."</w:t>
      </w:r>
    </w:p>
    <w:p>
      <w:pPr>
        <w:pStyle w:val="BodyText"/>
      </w:pPr>
      <w:r>
        <w:rPr>
          <w:b/>
          <w:bCs/>
        </w:rPr>
        <w:t xml:space="preserve">Associated SLO:</w:t>
      </w:r>
    </w:p>
    <w:p>
      <w:pPr>
        <w:pStyle w:val="Compact"/>
        <w:numPr>
          <w:ilvl w:val="0"/>
          <w:numId w:val="1001"/>
        </w:numPr>
      </w:pPr>
      <w:r>
        <w:t xml:space="preserve">SLO3: "Select and/or utilize AI tools and techniques appropriate to a specific context and application."</w:t>
      </w:r>
    </w:p>
    <w:bookmarkEnd w:id="22"/>
    <w:bookmarkStart w:id="23" w:name="X68ee23139c1d9d003bfccfcdeeefe51ce8c4318"/>
    <w:p>
      <w:pPr>
        <w:pStyle w:val="Heading3"/>
      </w:pPr>
      <w:r>
        <w:t xml:space="preserve">2. Know-AI (Know and Understand AI)</w:t>
      </w:r>
    </w:p>
    <w:p>
      <w:pPr>
        <w:pStyle w:val="FirstParagraph"/>
      </w:pPr>
      <w:r>
        <w:t xml:space="preserve">"Know the basic functions of AI and how to correctly use AI applications. AI course content is over 50%."</w:t>
      </w:r>
    </w:p>
    <w:p>
      <w:pPr>
        <w:pStyle w:val="BodyText"/>
      </w:pPr>
      <w:r>
        <w:rPr>
          <w:b/>
          <w:bCs/>
        </w:rPr>
        <w:t xml:space="preserve">Associated SLOs:</w:t>
      </w:r>
    </w:p>
    <w:p>
      <w:pPr>
        <w:pStyle w:val="Compact"/>
        <w:numPr>
          <w:ilvl w:val="0"/>
          <w:numId w:val="1002"/>
        </w:numPr>
      </w:pPr>
      <w:r>
        <w:t xml:space="preserve">SLO1: "Identify, describe, and/or explain the components, requirements, and/or characteristics of AI."</w:t>
      </w:r>
    </w:p>
    <w:p>
      <w:pPr>
        <w:pStyle w:val="Compact"/>
        <w:numPr>
          <w:ilvl w:val="0"/>
          <w:numId w:val="1002"/>
        </w:numPr>
      </w:pPr>
      <w:r>
        <w:t xml:space="preserve">SLO2: "Recognize, identify, describe, define, and/or explain applications of AI in multiple domains."</w:t>
      </w:r>
    </w:p>
    <w:bookmarkEnd w:id="23"/>
    <w:bookmarkStart w:id="24" w:name="Xd164330ded7308af06b60e428ec27409e49402f"/>
    <w:p>
      <w:pPr>
        <w:pStyle w:val="Heading3"/>
      </w:pPr>
      <w:r>
        <w:t xml:space="preserve">3. Build-AI (Evaluate and Create AI)</w:t>
      </w:r>
    </w:p>
    <w:p>
      <w:pPr>
        <w:pStyle w:val="FirstParagraph"/>
      </w:pPr>
      <w:r>
        <w:t xml:space="preserve">"Use higher-order thinking skills to evaluate, appraise, predict, and design with AI applications. AI course content is over 50%."</w:t>
      </w:r>
    </w:p>
    <w:p>
      <w:pPr>
        <w:pStyle w:val="BodyText"/>
      </w:pPr>
      <w:r>
        <w:rPr>
          <w:b/>
          <w:bCs/>
        </w:rPr>
        <w:t xml:space="preserve">Associated SLOs:</w:t>
      </w:r>
    </w:p>
    <w:p>
      <w:pPr>
        <w:pStyle w:val="Compact"/>
        <w:numPr>
          <w:ilvl w:val="0"/>
          <w:numId w:val="1003"/>
        </w:numPr>
      </w:pPr>
      <w:r>
        <w:t xml:space="preserve">SLO5: "Assess the context-specific value or quality of AI tools and applications."</w:t>
      </w:r>
    </w:p>
    <w:p>
      <w:pPr>
        <w:pStyle w:val="Compact"/>
        <w:numPr>
          <w:ilvl w:val="0"/>
          <w:numId w:val="1003"/>
        </w:numPr>
      </w:pPr>
      <w:r>
        <w:t xml:space="preserve">SLO6: "Conceptualize and/or develop tools, hardware, data, and/or algorithms utilized in AI solutions."</w:t>
      </w:r>
    </w:p>
    <w:bookmarkEnd w:id="24"/>
    <w:bookmarkStart w:id="25" w:name="X86808ec284a529c0317a215291e914a86dbd2e0"/>
    <w:p>
      <w:pPr>
        <w:pStyle w:val="Heading3"/>
      </w:pPr>
      <w:r>
        <w:t xml:space="preserve">4. Ethical-AI (AI Ethics/Policy)</w:t>
      </w:r>
    </w:p>
    <w:p>
      <w:pPr>
        <w:pStyle w:val="FirstParagraph"/>
      </w:pPr>
      <w:r>
        <w:t xml:space="preserve">"Examine AI and policy, fairness, accountability, transparency, ethics, and safety. AI course content is over 50%."</w:t>
      </w:r>
    </w:p>
    <w:p>
      <w:pPr>
        <w:pStyle w:val="BodyText"/>
      </w:pPr>
      <w:r>
        <w:rPr>
          <w:b/>
          <w:bCs/>
        </w:rPr>
        <w:t xml:space="preserve">Associated SLO:</w:t>
      </w:r>
    </w:p>
    <w:p>
      <w:pPr>
        <w:pStyle w:val="Compact"/>
        <w:numPr>
          <w:ilvl w:val="0"/>
          <w:numId w:val="1004"/>
        </w:numPr>
      </w:pPr>
      <w:r>
        <w:t xml:space="preserve">SLO4: "Develop, apply, and/or evaluate contextually appropriate ethical frameworks to use across all aspects of AI."</w:t>
      </w:r>
    </w:p>
    <w:bookmarkEnd w:id="25"/>
    <w:bookmarkStart w:id="26" w:name="Xbebd21fc09aabbaa856ee4960cf4f7b54907561"/>
    <w:p>
      <w:pPr>
        <w:pStyle w:val="Heading3"/>
      </w:pPr>
      <w:r>
        <w:t xml:space="preserve">5. Enable-AI (AI Enabled)</w:t>
      </w:r>
    </w:p>
    <w:p>
      <w:pPr>
        <w:pStyle w:val="FirstParagraph"/>
      </w:pPr>
      <w:r>
        <w:t xml:space="preserve">"Support AI through related knowledge and skill development, such as programming or statistics. AI course content is 10-49%."</w:t>
      </w:r>
    </w:p>
    <w:p>
      <w:pPr>
        <w:pStyle w:val="BodyText"/>
      </w:pPr>
      <w:r>
        <w:rPr>
          <w:b/>
          <w:bCs/>
        </w:rPr>
        <w:t xml:space="preserve">Associated SLOs:</w:t>
      </w:r>
      <w:r>
        <w:t xml:space="preserve"> </w:t>
      </w:r>
      <w:r>
        <w:t xml:space="preserve">Any of the six SLOs (SLO1-SLO6) may be used; the key distinction is the lower percentage threshold of AI content.</w:t>
      </w:r>
    </w:p>
    <w:bookmarkEnd w:id="26"/>
    <w:bookmarkEnd w:id="27"/>
    <w:bookmarkStart w:id="28" w:name="submission-process"/>
    <w:p>
      <w:pPr>
        <w:pStyle w:val="Heading2"/>
      </w:pPr>
      <w:r>
        <w:t xml:space="preserve">Submission Process</w:t>
      </w:r>
    </w:p>
    <w:p>
      <w:pPr>
        <w:pStyle w:val="Compact"/>
        <w:numPr>
          <w:ilvl w:val="0"/>
          <w:numId w:val="1005"/>
        </w:numPr>
      </w:pPr>
      <w:r>
        <w:t xml:space="preserve">New/Existing Undergraduate Course forms</w:t>
      </w:r>
    </w:p>
    <w:p>
      <w:pPr>
        <w:pStyle w:val="Compact"/>
        <w:numPr>
          <w:ilvl w:val="0"/>
          <w:numId w:val="1005"/>
        </w:numPr>
      </w:pPr>
      <w:r>
        <w:t xml:space="preserve">New/Existing Graduate Course forms</w:t>
      </w:r>
    </w:p>
    <w:bookmarkEnd w:id="28"/>
    <w:bookmarkStart w:id="29" w:name="required-syllabus-components"/>
    <w:p>
      <w:pPr>
        <w:pStyle w:val="Heading2"/>
      </w:pPr>
      <w:r>
        <w:t xml:space="preserve">Required Syllabus Components</w:t>
      </w:r>
    </w:p>
    <w:p>
      <w:pPr>
        <w:pStyle w:val="FirstParagraph"/>
      </w:pPr>
      <w:r>
        <w:t xml:space="preserve">Submissions must include:</w:t>
      </w:r>
    </w:p>
    <w:p>
      <w:pPr>
        <w:pStyle w:val="Compact"/>
        <w:numPr>
          <w:ilvl w:val="0"/>
          <w:numId w:val="1006"/>
        </w:numPr>
      </w:pPr>
      <w:r>
        <w:t xml:space="preserve">Selected AI category and verbatim SLO language</w:t>
      </w:r>
    </w:p>
    <w:p>
      <w:pPr>
        <w:pStyle w:val="Compact"/>
        <w:numPr>
          <w:ilvl w:val="0"/>
          <w:numId w:val="1006"/>
        </w:numPr>
      </w:pPr>
      <w:r>
        <w:t xml:space="preserve">Weekly schedule with AI-related topics</w:t>
      </w:r>
    </w:p>
    <w:p>
      <w:pPr>
        <w:pStyle w:val="Compact"/>
        <w:numPr>
          <w:ilvl w:val="0"/>
          <w:numId w:val="1006"/>
        </w:numPr>
      </w:pPr>
      <w:r>
        <w:t xml:space="preserve">Contact hours of AI-related content per week</w:t>
      </w:r>
    </w:p>
    <w:p>
      <w:pPr>
        <w:pStyle w:val="Compact"/>
        <w:numPr>
          <w:ilvl w:val="0"/>
          <w:numId w:val="1006"/>
        </w:numPr>
      </w:pPr>
      <w:r>
        <w:t xml:space="preserve">Descriptions of AI-related readings, projects, and assignments</w:t>
      </w:r>
    </w:p>
    <w:p>
      <w:pPr>
        <w:pStyle w:val="Compact"/>
        <w:numPr>
          <w:ilvl w:val="0"/>
          <w:numId w:val="1006"/>
        </w:numPr>
      </w:pPr>
      <w:r>
        <w:t xml:space="preserve">Clear notation of how topics and assignments relate to specific SLOs</w:t>
      </w:r>
    </w:p>
    <w:bookmarkEnd w:id="29"/>
    <w:bookmarkStart w:id="30" w:name="review-process"/>
    <w:p>
      <w:pPr>
        <w:pStyle w:val="Heading2"/>
      </w:pPr>
      <w:r>
        <w:t xml:space="preserve">Review Process</w:t>
      </w:r>
    </w:p>
    <w:p>
      <w:pPr>
        <w:pStyle w:val="FirstParagraph"/>
      </w:pPr>
      <w:r>
        <w:t xml:space="preserve">Submissions proceed through the AI Education Committee (AI-Ed), which meets monthly to review and vote on courses, resulting in one of these outcomes: Approved, Conditionally Approved, Recycle, or Deny. The committee verifies the percentage of AI content and accuracy of the requested category against the provided syllabus.</w:t>
      </w:r>
    </w:p>
    <w:bookmarkEnd w:id="30"/>
    <w:bookmarkStart w:id="33" w:name="contact-information"/>
    <w:p>
      <w:pPr>
        <w:pStyle w:val="Heading2"/>
      </w:pPr>
      <w:r>
        <w:t xml:space="preserve">Contact Information</w:t>
      </w:r>
    </w:p>
    <w:p>
      <w:pPr>
        <w:pStyle w:val="FirstParagraph"/>
      </w:pPr>
      <w:hyperlink w:tgtFrame="_blank" r:id="rId31">
        <w:r>
          <w:rPr>
            <w:rStyle w:val="Hyperlink"/>
          </w:rPr>
          <w:t xml:space="preserve">ai@ufl.edu</w:t>
        </w:r>
      </w:hyperlink>
      <w:r>
        <w:t xml:space="preserve"> </w:t>
      </w:r>
      <w:r>
        <w:t xml:space="preserve">— Ayers Building at Innovation Square, 720 SW Second Ave. Suite 105, Gainesville, FL 32601 — 352-294-1895. Submission questions:</w:t>
      </w:r>
      <w:r>
        <w:t xml:space="preserve"> </w:t>
      </w:r>
      <w:hyperlink w:tgtFrame="_blank" r:id="rId32">
        <w:r>
          <w:rPr>
            <w:rStyle w:val="Hyperlink"/>
          </w:rPr>
          <w:t xml:space="preserve">Mackenzie.Donovan@aa.ufl.edu</w:t>
        </w:r>
      </w:hyperlink>
    </w:p>
    <w:bookmarkEnd w:id="33"/>
    <w:bookmarkStart w:id="36" w:name="referenced-by"/>
    <w:p>
      <w:pPr>
        <w:pStyle w:val="Heading2"/>
      </w:pPr>
      <w:r>
        <w:t xml:space="preserve">Referenced by</w:t>
      </w:r>
    </w:p>
    <w:p>
      <w:pPr>
        <w:pStyle w:val="Compact"/>
        <w:numPr>
          <w:ilvl w:val="0"/>
          <w:numId w:val="1007"/>
        </w:numPr>
      </w:pPr>
      <w:hyperlink w:tgtFrame="_blank" r:id="rId34">
        <w:r>
          <w:rPr>
            <w:rStyle w:val="Hyperlink"/>
          </w:rPr>
          <w:t xml:space="preserve">In-Depth Report</w:t>
        </w:r>
      </w:hyperlink>
    </w:p>
    <w:p>
      <w:pPr>
        <w:pStyle w:val="Compact"/>
        <w:numPr>
          <w:ilvl w:val="0"/>
          <w:numId w:val="1007"/>
        </w:numPr>
      </w:pPr>
      <w:hyperlink w:tgtFrame="_blank" r:id="rId35">
        <w:r>
          <w:rPr>
            <w:rStyle w:val="Hyperlink"/>
          </w:rPr>
          <w:t xml:space="preserve">Summary Report</w:t>
        </w:r>
      </w:hyperlink>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7" Type="http://schemas.openxmlformats.org/officeDocument/2006/relationships/footnotes" Target="footnotes.xml"/><Relationship Id="rId38" Type="http://schemas.openxmlformats.org/officeDocument/2006/relationships/customXml" Target="../customXml/item3.xml"/><Relationship Id="rId2" Type="http://schemas.openxmlformats.org/officeDocument/2006/relationships/styles" Target="styles.xml"/><Relationship Id="rId20" Type="http://schemas.openxmlformats.org/officeDocument/2006/relationships/hyperlink" Target="https://ai.ufl.edu/teaching-with-ai/for-uf-faculty/ai-course-designations/"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hyperlink" Target="mailto:Mackenzie.Donovan@aa.ufl.edu" TargetMode="External"/><Relationship Id="rId37" Type="http://schemas.openxmlformats.org/officeDocument/2006/relationships/customXml" Target="../customXml/item2.xml"/><Relationship Id="rId5" Type="http://schemas.openxmlformats.org/officeDocument/2006/relationships/fontTable" Target="fontTable.xml"/><Relationship Id="rId36" Type="http://schemas.openxmlformats.org/officeDocument/2006/relationships/customXml" Target="../customXml/item1.xml"/><Relationship Id="rId31" Type="http://schemas.openxmlformats.org/officeDocument/2006/relationships/hyperlink" Target="mailto:ai@ufl.edu" TargetMode="External"/><Relationship Id="rId4" Type="http://schemas.openxmlformats.org/officeDocument/2006/relationships/webSettings" Target="webSettings.xml"/><Relationship Id="rId35" Type="http://schemas.openxmlformats.org/officeDocument/2006/relationships/hyperlink" Target="https://tarleton.sharepoint.com/sites/StrategicInsights_njpwtl/Shared%20Documents/University%20AI%20Audit/SCHOOL%20RESEARCH%20FOR%20PAC/SCHOOLS/university-of-florida/summary-report.docx?web=1" TargetMode="External"/></Relationships>
</file>

<file path=word/_rels/footnotes.xml.rels><?xml version="1.0" encoding="UTF-8"?><Relationships xmlns="http://schemas.openxmlformats.org/package/2006/relationships"><Relationship Type="http://schemas.openxmlformats.org/officeDocument/2006/relationships/hyperlink" Id="rId20" Target="https://ai.ufl.edu/teaching-with-ai/for-uf-faculty/ai-course-designations/" TargetMode="External" /><Relationship Type="http://schemas.openxmlformats.org/officeDocument/2006/relationships/hyperlink" Id="rId34"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35" Target="https://tarleton.sharepoint.com/sites/StrategicInsights_njpwtl/Shared%20Documents/University%20AI%20Audit/SCHOOL%20RESEARCH%20FOR%20PAC/SCHOOLS/university-of-florida/summary-report.docx?web=1" TargetMode="External" /><Relationship Type="http://schemas.openxmlformats.org/officeDocument/2006/relationships/hyperlink" Id="rId32" Target="mailto:Mackenzie.Donovan@aa.ufl.edu" TargetMode="External" /><Relationship Type="http://schemas.openxmlformats.org/officeDocument/2006/relationships/hyperlink" Id="rId31" Target="mailto:ai@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60814-F2E8-4C55-B3FB-F8B8CB53242E}"/>
</file>

<file path=customXml/itemProps2.xml><?xml version="1.0" encoding="utf-8"?>
<ds:datastoreItem xmlns:ds="http://schemas.openxmlformats.org/officeDocument/2006/customXml" ds:itemID="{07BBCA5E-2758-49B3-BEDC-99E73391C8C1}"/>
</file>

<file path=customXml/itemProps3.xml><?xml version="1.0" encoding="utf-8"?>
<ds:datastoreItem xmlns:ds="http://schemas.openxmlformats.org/officeDocument/2006/customXml" ds:itemID="{DD2CC08D-89F5-499B-9DF7-7FB8367BF1F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